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38" w:rsidRPr="00F02F61" w:rsidRDefault="00A35BAB" w:rsidP="00647E38">
      <w:pPr>
        <w:rPr>
          <w:rFonts w:asciiTheme="minorHAnsi" w:hAnsiTheme="minorHAnsi" w:cs="Arial"/>
          <w:sz w:val="22"/>
          <w:szCs w:val="22"/>
        </w:rPr>
      </w:pPr>
      <w:r w:rsidRPr="00F02F61">
        <w:rPr>
          <w:rFonts w:asciiTheme="minorHAnsi" w:hAnsiTheme="minorHAnsi" w:cs="Arial"/>
          <w:sz w:val="22"/>
          <w:szCs w:val="22"/>
        </w:rPr>
        <w:t>Informacja Prasowa</w:t>
      </w:r>
    </w:p>
    <w:p w:rsidR="00386892" w:rsidRPr="00F02F61" w:rsidRDefault="00386892" w:rsidP="00647E38">
      <w:pPr>
        <w:spacing w:after="360"/>
        <w:rPr>
          <w:rFonts w:asciiTheme="minorHAnsi" w:hAnsiTheme="minorHAnsi" w:cs="Arial"/>
          <w:sz w:val="22"/>
          <w:szCs w:val="22"/>
        </w:rPr>
      </w:pPr>
      <w:r w:rsidRPr="00F02F61">
        <w:rPr>
          <w:rFonts w:asciiTheme="minorHAnsi" w:hAnsiTheme="minorHAnsi" w:cs="Arial"/>
          <w:sz w:val="22"/>
          <w:szCs w:val="22"/>
        </w:rPr>
        <w:t xml:space="preserve">Wrocław, </w:t>
      </w:r>
      <w:r w:rsidR="00F02F61" w:rsidRPr="00F02F61">
        <w:rPr>
          <w:rFonts w:asciiTheme="minorHAnsi" w:hAnsiTheme="minorHAnsi" w:cs="Arial"/>
          <w:sz w:val="22"/>
          <w:szCs w:val="22"/>
        </w:rPr>
        <w:t>5</w:t>
      </w:r>
      <w:r w:rsidR="00721E59" w:rsidRPr="00F02F61">
        <w:rPr>
          <w:rFonts w:asciiTheme="minorHAnsi" w:hAnsiTheme="minorHAnsi" w:cs="Arial"/>
          <w:sz w:val="22"/>
          <w:szCs w:val="22"/>
        </w:rPr>
        <w:t xml:space="preserve"> września</w:t>
      </w:r>
      <w:r w:rsidRPr="00F02F61">
        <w:rPr>
          <w:rFonts w:asciiTheme="minorHAnsi" w:hAnsiTheme="minorHAnsi" w:cs="Arial"/>
          <w:sz w:val="22"/>
          <w:szCs w:val="22"/>
        </w:rPr>
        <w:t xml:space="preserve"> 2017 </w:t>
      </w:r>
    </w:p>
    <w:p w:rsidR="00135E7C" w:rsidRPr="00F02F61" w:rsidRDefault="00135E7C" w:rsidP="00135E7C">
      <w:pPr>
        <w:spacing w:after="120" w:line="276" w:lineRule="auto"/>
        <w:rPr>
          <w:rFonts w:asciiTheme="minorHAnsi" w:hAnsiTheme="minorHAnsi" w:cs="Arial"/>
          <w:b/>
          <w:color w:val="003300"/>
        </w:rPr>
      </w:pPr>
      <w:r w:rsidRPr="00F02F61">
        <w:rPr>
          <w:rFonts w:asciiTheme="minorHAnsi" w:hAnsiTheme="minorHAnsi" w:cs="Arial"/>
          <w:b/>
          <w:color w:val="003300"/>
        </w:rPr>
        <w:t xml:space="preserve">EFL: </w:t>
      </w:r>
      <w:bookmarkStart w:id="0" w:name="_GoBack"/>
      <w:r w:rsidRPr="00F02F61">
        <w:rPr>
          <w:rFonts w:asciiTheme="minorHAnsi" w:hAnsiTheme="minorHAnsi" w:cs="Arial"/>
          <w:b/>
          <w:color w:val="003300"/>
        </w:rPr>
        <w:t>średnie firmy ciągną polskie MŚP w górę</w:t>
      </w:r>
      <w:bookmarkEnd w:id="0"/>
    </w:p>
    <w:p w:rsidR="00F41F3E" w:rsidRPr="00F02F61" w:rsidRDefault="00135E7C" w:rsidP="00135E7C">
      <w:pPr>
        <w:spacing w:after="120" w:line="276" w:lineRule="auto"/>
        <w:jc w:val="both"/>
        <w:rPr>
          <w:rFonts w:asciiTheme="minorHAnsi" w:hAnsiTheme="minorHAnsi" w:cs="Arial"/>
          <w:b/>
          <w:color w:val="003300"/>
          <w:sz w:val="22"/>
          <w:szCs w:val="22"/>
        </w:rPr>
      </w:pPr>
      <w:r w:rsidRPr="00F02F61">
        <w:rPr>
          <w:rFonts w:asciiTheme="minorHAnsi" w:hAnsiTheme="minorHAnsi" w:cs="Arial"/>
          <w:b/>
          <w:color w:val="003300"/>
          <w:sz w:val="22"/>
          <w:szCs w:val="22"/>
        </w:rPr>
        <w:t>W III kwartale br. średnie firmy po raz trzeci w tym roku najlepiej w całym sekt</w:t>
      </w:r>
      <w:r w:rsidR="009320BF" w:rsidRPr="00F02F61">
        <w:rPr>
          <w:rFonts w:asciiTheme="minorHAnsi" w:hAnsiTheme="minorHAnsi" w:cs="Arial"/>
          <w:b/>
          <w:color w:val="003300"/>
          <w:sz w:val="22"/>
          <w:szCs w:val="22"/>
        </w:rPr>
        <w:t>orze MŚP oceniły</w:t>
      </w:r>
      <w:r w:rsidRPr="00F02F61">
        <w:rPr>
          <w:rFonts w:asciiTheme="minorHAnsi" w:hAnsiTheme="minorHAnsi" w:cs="Arial"/>
          <w:b/>
          <w:color w:val="003300"/>
          <w:sz w:val="22"/>
          <w:szCs w:val="22"/>
        </w:rPr>
        <w:t xml:space="preserve"> swoją sytuację. Wartość </w:t>
      </w:r>
      <w:r w:rsidR="009320BF" w:rsidRPr="00F02F61">
        <w:rPr>
          <w:rFonts w:asciiTheme="minorHAnsi" w:hAnsiTheme="minorHAnsi" w:cs="Arial"/>
          <w:b/>
          <w:color w:val="003300"/>
          <w:sz w:val="22"/>
          <w:szCs w:val="22"/>
        </w:rPr>
        <w:t>„Barometru EFL”</w:t>
      </w:r>
      <w:r w:rsidR="009320BF" w:rsidRPr="00F02F61">
        <w:rPr>
          <w:rStyle w:val="Odwoanieprzypisudolnego"/>
          <w:rFonts w:asciiTheme="minorHAnsi" w:hAnsiTheme="minorHAnsi" w:cs="Arial"/>
          <w:b/>
          <w:color w:val="003300"/>
          <w:sz w:val="22"/>
          <w:szCs w:val="22"/>
        </w:rPr>
        <w:footnoteReference w:id="1"/>
      </w:r>
      <w:r w:rsidR="009320BF" w:rsidRPr="00F02F61">
        <w:rPr>
          <w:rFonts w:asciiTheme="minorHAnsi" w:hAnsiTheme="minorHAnsi" w:cs="Arial"/>
          <w:b/>
          <w:color w:val="003300"/>
          <w:sz w:val="22"/>
          <w:szCs w:val="22"/>
        </w:rPr>
        <w:t xml:space="preserve"> </w:t>
      </w:r>
      <w:r w:rsidR="00F41F3E" w:rsidRPr="00F02F61">
        <w:rPr>
          <w:rFonts w:asciiTheme="minorHAnsi" w:hAnsiTheme="minorHAnsi" w:cs="Arial"/>
          <w:b/>
          <w:color w:val="003300"/>
          <w:sz w:val="22"/>
          <w:szCs w:val="22"/>
        </w:rPr>
        <w:t>dla tej grupy wyniosła</w:t>
      </w:r>
      <w:r w:rsidRPr="00F02F61">
        <w:rPr>
          <w:rFonts w:asciiTheme="minorHAnsi" w:hAnsiTheme="minorHAnsi" w:cs="Arial"/>
          <w:b/>
          <w:color w:val="003300"/>
          <w:sz w:val="22"/>
          <w:szCs w:val="22"/>
        </w:rPr>
        <w:t xml:space="preserve"> 64,8 pkt. Choć jest to wynik niższy niż kwartał temu (rekordowe 67,7 pkt.), to jednak i tak pozostaje jednym z najwyższych od niemal 3 lat. </w:t>
      </w:r>
      <w:r w:rsidR="00F41F3E" w:rsidRPr="00F02F61">
        <w:rPr>
          <w:rFonts w:asciiTheme="minorHAnsi" w:hAnsiTheme="minorHAnsi" w:cs="Arial"/>
          <w:b/>
          <w:color w:val="003300"/>
          <w:sz w:val="22"/>
          <w:szCs w:val="22"/>
        </w:rPr>
        <w:t xml:space="preserve">Odczyty dla mikro i małych firm wyniosły odpowiednio 56,4 pkt. oraz 58,5 pkt. i również są nieco słabsze niż w II kwartale (-5,1 pkt. i -3,3 pkt.). </w:t>
      </w:r>
    </w:p>
    <w:p w:rsidR="00135E7C" w:rsidRPr="00F02F61" w:rsidRDefault="00F41F3E" w:rsidP="00135E7C">
      <w:pPr>
        <w:spacing w:after="120" w:line="276" w:lineRule="auto"/>
        <w:jc w:val="both"/>
        <w:rPr>
          <w:rFonts w:asciiTheme="minorHAnsi" w:hAnsiTheme="minorHAnsi" w:cs="Arial"/>
          <w:sz w:val="22"/>
          <w:szCs w:val="22"/>
        </w:rPr>
      </w:pPr>
      <w:r w:rsidRPr="00F02F61">
        <w:rPr>
          <w:rFonts w:asciiTheme="minorHAnsi" w:hAnsiTheme="minorHAnsi" w:cs="Arial"/>
          <w:sz w:val="22"/>
          <w:szCs w:val="22"/>
        </w:rPr>
        <w:t xml:space="preserve">W szczególności, </w:t>
      </w:r>
      <w:r w:rsidR="009320BF" w:rsidRPr="00F02F61">
        <w:rPr>
          <w:rFonts w:asciiTheme="minorHAnsi" w:hAnsiTheme="minorHAnsi" w:cs="Arial"/>
          <w:sz w:val="22"/>
          <w:szCs w:val="22"/>
        </w:rPr>
        <w:t xml:space="preserve">najwyższy wśród średnich firm jest </w:t>
      </w:r>
      <w:r w:rsidRPr="00F02F61">
        <w:rPr>
          <w:rFonts w:asciiTheme="minorHAnsi" w:hAnsiTheme="minorHAnsi" w:cs="Arial"/>
          <w:sz w:val="22"/>
          <w:szCs w:val="22"/>
        </w:rPr>
        <w:t>odsetek optymistó</w:t>
      </w:r>
      <w:r w:rsidR="009320BF" w:rsidRPr="00F02F61">
        <w:rPr>
          <w:rFonts w:asciiTheme="minorHAnsi" w:hAnsiTheme="minorHAnsi" w:cs="Arial"/>
          <w:sz w:val="22"/>
          <w:szCs w:val="22"/>
        </w:rPr>
        <w:t>w inwestycyjnych</w:t>
      </w:r>
      <w:r w:rsidRPr="00F02F61">
        <w:rPr>
          <w:rFonts w:asciiTheme="minorHAnsi" w:hAnsiTheme="minorHAnsi" w:cs="Arial"/>
          <w:sz w:val="22"/>
          <w:szCs w:val="22"/>
        </w:rPr>
        <w:t xml:space="preserve"> (47,8%), mali przedsiębiorcy liczą na nieco większe zamówienia na ich usługi i produkty niż w poprzednim kwartale, a mikro będą nie tylko więcej sprzedawać, ale i inwestować.</w:t>
      </w:r>
    </w:p>
    <w:p w:rsidR="00B34A50" w:rsidRPr="00F02F61" w:rsidRDefault="00B34A50" w:rsidP="00135E7C">
      <w:pPr>
        <w:spacing w:after="120" w:line="276" w:lineRule="auto"/>
        <w:jc w:val="both"/>
        <w:rPr>
          <w:rFonts w:asciiTheme="minorHAnsi" w:hAnsiTheme="minorHAnsi" w:cs="Arial"/>
          <w:sz w:val="22"/>
          <w:szCs w:val="22"/>
        </w:rPr>
      </w:pPr>
      <w:r w:rsidRPr="00F02F61">
        <w:rPr>
          <w:rFonts w:asciiTheme="minorHAnsi" w:hAnsiTheme="minorHAnsi" w:cs="Arial"/>
          <w:sz w:val="22"/>
          <w:szCs w:val="22"/>
        </w:rPr>
        <w:t xml:space="preserve">- </w:t>
      </w:r>
      <w:r w:rsidRPr="00F02F61">
        <w:rPr>
          <w:rFonts w:asciiTheme="minorHAnsi" w:hAnsiTheme="minorHAnsi" w:cs="Arial"/>
          <w:i/>
          <w:sz w:val="22"/>
          <w:szCs w:val="22"/>
        </w:rPr>
        <w:t>Spoglądając na historyczne wyniki naszego Barometru widać, że w przypadku większości pomiarów, to średnie firmy odnotowują najwyższe pomiary, natomiast mikro – najniższe. Takie wyniki mogą świadczyć o dwóch rzeczach. Po pierwsze, mniejszej skłonności do ryzyka najmniejszych podmiotów, nastawionych w większej mierze na stabilność funkcjonowania. Po drugie, na wciąż jeszcze mniejszą świadomość zalet i korzyści, jakie przynoszą instrumenty finansowania zewnętrznego jak choćby leasing, które doskonale wspierają firmowe inwestycje i zwiększają skalę prowadzonego biznesu</w:t>
      </w:r>
      <w:r w:rsidRPr="00F02F61">
        <w:rPr>
          <w:rFonts w:asciiTheme="minorHAnsi" w:hAnsiTheme="minorHAnsi" w:cs="Arial"/>
          <w:sz w:val="22"/>
          <w:szCs w:val="22"/>
        </w:rPr>
        <w:t xml:space="preserve"> – mówi </w:t>
      </w:r>
      <w:r w:rsidRPr="00F02F61">
        <w:rPr>
          <w:rFonts w:asciiTheme="minorHAnsi" w:hAnsiTheme="minorHAnsi" w:cs="Arial"/>
          <w:b/>
          <w:sz w:val="22"/>
          <w:szCs w:val="22"/>
        </w:rPr>
        <w:t>Radosław Kuczyński, prezes EFL.</w:t>
      </w:r>
    </w:p>
    <w:p w:rsidR="00F41F3E" w:rsidRPr="00F02F61" w:rsidRDefault="00F41F3E" w:rsidP="00F41F3E">
      <w:pPr>
        <w:spacing w:after="120" w:line="276" w:lineRule="auto"/>
        <w:jc w:val="both"/>
        <w:rPr>
          <w:rFonts w:asciiTheme="minorHAnsi" w:hAnsiTheme="minorHAnsi" w:cs="Arial"/>
          <w:b/>
          <w:color w:val="003300"/>
          <w:sz w:val="22"/>
          <w:szCs w:val="22"/>
        </w:rPr>
      </w:pPr>
      <w:r w:rsidRPr="00F02F61">
        <w:rPr>
          <w:rFonts w:asciiTheme="minorHAnsi" w:hAnsiTheme="minorHAnsi" w:cs="Arial"/>
          <w:b/>
          <w:color w:val="003300"/>
          <w:sz w:val="22"/>
          <w:szCs w:val="22"/>
        </w:rPr>
        <w:t>Średnie firmy w najlepszych nastrojach</w:t>
      </w:r>
    </w:p>
    <w:p w:rsidR="00C9070B" w:rsidRPr="00F02F61" w:rsidRDefault="00F41F3E" w:rsidP="00C9070B">
      <w:pPr>
        <w:spacing w:after="120" w:line="276" w:lineRule="auto"/>
        <w:jc w:val="both"/>
        <w:rPr>
          <w:rFonts w:asciiTheme="minorHAnsi" w:hAnsiTheme="minorHAnsi" w:cs="Arial"/>
          <w:sz w:val="22"/>
          <w:szCs w:val="22"/>
        </w:rPr>
      </w:pPr>
      <w:proofErr w:type="spellStart"/>
      <w:r w:rsidRPr="00F02F61">
        <w:rPr>
          <w:rFonts w:asciiTheme="minorHAnsi" w:hAnsiTheme="minorHAnsi" w:cs="Arial"/>
          <w:sz w:val="22"/>
          <w:szCs w:val="22"/>
        </w:rPr>
        <w:t>Subindeks</w:t>
      </w:r>
      <w:proofErr w:type="spellEnd"/>
      <w:r w:rsidRPr="00F02F61">
        <w:rPr>
          <w:rFonts w:asciiTheme="minorHAnsi" w:hAnsiTheme="minorHAnsi" w:cs="Arial"/>
          <w:sz w:val="22"/>
          <w:szCs w:val="22"/>
        </w:rPr>
        <w:t xml:space="preserve"> „Barometru EFL”, który informuje o skłonności firm z sektora MŚP do wzrostu, w III kwartale 2017 roku był ponownie najwyższy wśród średnich przedsiębiorstw i wyniósł 64,8 pkt. Mikro i małe firmy nieco słabiej oceniły swoją sytuacją – wartość odczytu wyniosła odpowiednio 56,4 pkt. oraz 58,5 pkt. Na nieco słabsze nastroje</w:t>
      </w:r>
      <w:r w:rsidR="00C9070B" w:rsidRPr="00F02F61">
        <w:rPr>
          <w:rFonts w:asciiTheme="minorHAnsi" w:hAnsiTheme="minorHAnsi" w:cs="Arial"/>
          <w:sz w:val="22"/>
          <w:szCs w:val="22"/>
        </w:rPr>
        <w:t xml:space="preserve"> wpływ miał m.in. mniejszy odsetek przedsiębiorców oczekujących wzrostu inwestycji w średnich i małych firmach. Jednak warto podkreślić, że w przypadku średnich firm, wciąż niemal połowa zapytanych spodziewa się wzrostu inwestycji, co jest bardzo dobrym wynikiem (47,8% vs. 50% w IIQ2017).</w:t>
      </w:r>
      <w:r w:rsidRPr="00F02F61">
        <w:rPr>
          <w:rFonts w:asciiTheme="minorHAnsi" w:hAnsiTheme="minorHAnsi" w:cs="Arial"/>
          <w:sz w:val="22"/>
          <w:szCs w:val="22"/>
        </w:rPr>
        <w:t xml:space="preserve"> Wśród małych firm odsetek ten wyniósł </w:t>
      </w:r>
      <w:r w:rsidR="00C9070B" w:rsidRPr="00F02F61">
        <w:rPr>
          <w:rFonts w:asciiTheme="minorHAnsi" w:hAnsiTheme="minorHAnsi" w:cs="Arial"/>
          <w:sz w:val="22"/>
          <w:szCs w:val="22"/>
        </w:rPr>
        <w:t xml:space="preserve">30,5% (IIQ2017: </w:t>
      </w:r>
      <w:r w:rsidRPr="00F02F61">
        <w:rPr>
          <w:rFonts w:asciiTheme="minorHAnsi" w:hAnsiTheme="minorHAnsi" w:cs="Arial"/>
          <w:sz w:val="22"/>
          <w:szCs w:val="22"/>
        </w:rPr>
        <w:t>37,7%</w:t>
      </w:r>
      <w:r w:rsidR="00C9070B" w:rsidRPr="00F02F61">
        <w:rPr>
          <w:rFonts w:asciiTheme="minorHAnsi" w:hAnsiTheme="minorHAnsi" w:cs="Arial"/>
          <w:sz w:val="22"/>
          <w:szCs w:val="22"/>
        </w:rPr>
        <w:t>)</w:t>
      </w:r>
      <w:r w:rsidRPr="00F02F61">
        <w:rPr>
          <w:rFonts w:asciiTheme="minorHAnsi" w:hAnsiTheme="minorHAnsi" w:cs="Arial"/>
          <w:sz w:val="22"/>
          <w:szCs w:val="22"/>
        </w:rPr>
        <w:t>, a mikro –</w:t>
      </w:r>
      <w:r w:rsidR="00C9070B" w:rsidRPr="00F02F61">
        <w:rPr>
          <w:rFonts w:asciiTheme="minorHAnsi" w:hAnsiTheme="minorHAnsi" w:cs="Arial"/>
          <w:sz w:val="22"/>
          <w:szCs w:val="22"/>
        </w:rPr>
        <w:t>36% (IIQ2017:</w:t>
      </w:r>
      <w:r w:rsidRPr="00F02F61">
        <w:rPr>
          <w:rFonts w:asciiTheme="minorHAnsi" w:hAnsiTheme="minorHAnsi" w:cs="Arial"/>
          <w:sz w:val="22"/>
          <w:szCs w:val="22"/>
        </w:rPr>
        <w:t xml:space="preserve"> 35,4%</w:t>
      </w:r>
      <w:r w:rsidR="00C9070B" w:rsidRPr="00F02F61">
        <w:rPr>
          <w:rFonts w:asciiTheme="minorHAnsi" w:hAnsiTheme="minorHAnsi" w:cs="Arial"/>
          <w:sz w:val="22"/>
          <w:szCs w:val="22"/>
        </w:rPr>
        <w:t>)</w:t>
      </w:r>
    </w:p>
    <w:p w:rsidR="00F41F3E" w:rsidRPr="00F02F61" w:rsidRDefault="00C9070B" w:rsidP="00C9070B">
      <w:pPr>
        <w:spacing w:after="120" w:line="276" w:lineRule="auto"/>
        <w:jc w:val="both"/>
        <w:rPr>
          <w:rFonts w:asciiTheme="minorHAnsi" w:hAnsiTheme="minorHAnsi" w:cs="Arial"/>
          <w:sz w:val="22"/>
          <w:szCs w:val="22"/>
        </w:rPr>
      </w:pPr>
      <w:r w:rsidRPr="00F02F61">
        <w:rPr>
          <w:rFonts w:asciiTheme="minorHAnsi" w:hAnsiTheme="minorHAnsi" w:cs="Arial"/>
          <w:sz w:val="22"/>
          <w:szCs w:val="22"/>
        </w:rPr>
        <w:t>W przypadku sprzedaży, mikro i małe firmy liczą na większe</w:t>
      </w:r>
      <w:r w:rsidR="00F41F3E" w:rsidRPr="00F02F61">
        <w:rPr>
          <w:rFonts w:asciiTheme="minorHAnsi" w:hAnsiTheme="minorHAnsi" w:cs="Arial"/>
          <w:sz w:val="22"/>
          <w:szCs w:val="22"/>
        </w:rPr>
        <w:t xml:space="preserve"> w porównaniu do poprzedniego kwartału </w:t>
      </w:r>
      <w:r w:rsidRPr="00F02F61">
        <w:rPr>
          <w:rFonts w:asciiTheme="minorHAnsi" w:hAnsiTheme="minorHAnsi" w:cs="Arial"/>
          <w:sz w:val="22"/>
          <w:szCs w:val="22"/>
        </w:rPr>
        <w:t>zamówienia na ich usługi i produkty</w:t>
      </w:r>
      <w:r w:rsidR="00F41F3E" w:rsidRPr="00F02F61">
        <w:rPr>
          <w:rFonts w:asciiTheme="minorHAnsi" w:hAnsiTheme="minorHAnsi" w:cs="Arial"/>
          <w:sz w:val="22"/>
          <w:szCs w:val="22"/>
        </w:rPr>
        <w:t xml:space="preserve">. </w:t>
      </w:r>
      <w:r w:rsidRPr="00F02F61">
        <w:rPr>
          <w:rFonts w:asciiTheme="minorHAnsi" w:hAnsiTheme="minorHAnsi" w:cs="Arial"/>
          <w:sz w:val="22"/>
          <w:szCs w:val="22"/>
        </w:rPr>
        <w:t>30,2% mikro przedsiębiorców (IIQ2017: 23%) oraz 27,9% małych (IIQ2017: 27,2%) optymistycznie patrzy na ten obszar. Jednak n</w:t>
      </w:r>
      <w:r w:rsidR="00F41F3E" w:rsidRPr="00F02F61">
        <w:rPr>
          <w:rFonts w:asciiTheme="minorHAnsi" w:hAnsiTheme="minorHAnsi" w:cs="Arial"/>
          <w:sz w:val="22"/>
          <w:szCs w:val="22"/>
        </w:rPr>
        <w:t>ajliczniejszą grupą</w:t>
      </w:r>
      <w:r w:rsidR="009320BF" w:rsidRPr="00F02F61">
        <w:rPr>
          <w:rFonts w:asciiTheme="minorHAnsi" w:hAnsiTheme="minorHAnsi" w:cs="Arial"/>
          <w:sz w:val="22"/>
          <w:szCs w:val="22"/>
        </w:rPr>
        <w:t xml:space="preserve"> „sprzedażowych”</w:t>
      </w:r>
      <w:r w:rsidR="00F41F3E" w:rsidRPr="00F02F61">
        <w:rPr>
          <w:rFonts w:asciiTheme="minorHAnsi" w:hAnsiTheme="minorHAnsi" w:cs="Arial"/>
          <w:sz w:val="22"/>
          <w:szCs w:val="22"/>
        </w:rPr>
        <w:t xml:space="preserve"> optymistów znajdziemy w</w:t>
      </w:r>
      <w:r w:rsidRPr="00F02F61">
        <w:rPr>
          <w:rFonts w:asciiTheme="minorHAnsi" w:hAnsiTheme="minorHAnsi" w:cs="Arial"/>
          <w:sz w:val="22"/>
          <w:szCs w:val="22"/>
        </w:rPr>
        <w:t xml:space="preserve"> segmencie średnich firm (34,2%, taki sam odsetek jak w IIQ2017</w:t>
      </w:r>
      <w:r w:rsidR="00F41F3E" w:rsidRPr="00F02F61">
        <w:rPr>
          <w:rFonts w:asciiTheme="minorHAnsi" w:hAnsiTheme="minorHAnsi" w:cs="Arial"/>
          <w:sz w:val="22"/>
          <w:szCs w:val="22"/>
        </w:rPr>
        <w:t xml:space="preserve">). </w:t>
      </w:r>
    </w:p>
    <w:p w:rsidR="00B34A50" w:rsidRPr="00F02F61" w:rsidRDefault="00B34A50" w:rsidP="00C9070B">
      <w:pPr>
        <w:spacing w:after="120" w:line="276" w:lineRule="auto"/>
        <w:jc w:val="both"/>
        <w:rPr>
          <w:rFonts w:asciiTheme="minorHAnsi" w:hAnsiTheme="minorHAnsi" w:cs="Arial"/>
          <w:sz w:val="22"/>
          <w:szCs w:val="22"/>
        </w:rPr>
      </w:pPr>
      <w:r w:rsidRPr="00F02F61">
        <w:rPr>
          <w:rFonts w:asciiTheme="minorHAnsi" w:hAnsiTheme="minorHAnsi" w:cs="Arial"/>
          <w:sz w:val="22"/>
          <w:szCs w:val="22"/>
        </w:rPr>
        <w:t>Z najwyższymi planami inwestycyjnymi wśród średnich podmiotów koresponduje najwyższe zapotrzebowanie na finansowanie zewnętrzne w tej grupie. Podczas gdy 16,2% mikro i 14,7% małych firm spodziewa się skorzystać z zewnętrznych instrumentów finansowych, w przypadku przedsiębiorstw zatrudniających od 50 do 249 pracowników ten odsetek w III kwartale br. był dwa razy wyższy niż u „mniejszych kolegów” i wyniósł 31,1%.</w:t>
      </w:r>
    </w:p>
    <w:p w:rsidR="00721E59" w:rsidRPr="00F02F61" w:rsidRDefault="00721E59" w:rsidP="00721E59">
      <w:pPr>
        <w:spacing w:after="120" w:line="276" w:lineRule="auto"/>
        <w:jc w:val="both"/>
        <w:rPr>
          <w:rFonts w:asciiTheme="minorHAnsi" w:hAnsiTheme="minorHAnsi" w:cs="Arial"/>
          <w:b/>
          <w:color w:val="003300"/>
          <w:sz w:val="22"/>
          <w:szCs w:val="22"/>
        </w:rPr>
      </w:pPr>
      <w:r w:rsidRPr="00F02F61">
        <w:rPr>
          <w:rFonts w:asciiTheme="minorHAnsi" w:hAnsiTheme="minorHAnsi" w:cs="Arial"/>
          <w:b/>
          <w:color w:val="003300"/>
          <w:sz w:val="22"/>
          <w:szCs w:val="22"/>
        </w:rPr>
        <w:lastRenderedPageBreak/>
        <w:t>MŚP pozostają w dobrych nastrojach</w:t>
      </w:r>
    </w:p>
    <w:p w:rsidR="00721E59" w:rsidRPr="00F02F61" w:rsidRDefault="00721E59" w:rsidP="00721E59">
      <w:pPr>
        <w:spacing w:after="120" w:line="276" w:lineRule="auto"/>
        <w:jc w:val="both"/>
        <w:rPr>
          <w:rFonts w:asciiTheme="minorHAnsi" w:hAnsiTheme="minorHAnsi" w:cs="Arial"/>
          <w:b/>
          <w:color w:val="003300"/>
          <w:sz w:val="22"/>
          <w:szCs w:val="22"/>
        </w:rPr>
      </w:pPr>
      <w:r w:rsidRPr="00F02F61">
        <w:rPr>
          <w:rFonts w:asciiTheme="minorHAnsi" w:hAnsiTheme="minorHAnsi" w:cs="Arial"/>
          <w:sz w:val="22"/>
          <w:szCs w:val="22"/>
        </w:rPr>
        <w:t>Po najwyższym w historii wyniku dla II kwartału br. na poziomie 63 pkt., główny odczyt „Barometru EFL” za III kwartał 2017 roku wyniósł 59,3 pkt. i wciąż znajduje się ponad progiem OR</w:t>
      </w:r>
      <w:r w:rsidRPr="00F02F61">
        <w:rPr>
          <w:rStyle w:val="Odwoanieprzypisudolnego"/>
          <w:rFonts w:asciiTheme="minorHAnsi" w:hAnsiTheme="minorHAnsi" w:cs="Arial"/>
          <w:sz w:val="22"/>
          <w:szCs w:val="22"/>
        </w:rPr>
        <w:footnoteReference w:id="2"/>
      </w:r>
      <w:r w:rsidRPr="00F02F61">
        <w:rPr>
          <w:rFonts w:asciiTheme="minorHAnsi" w:hAnsiTheme="minorHAnsi" w:cs="Arial"/>
          <w:sz w:val="22"/>
          <w:szCs w:val="22"/>
        </w:rPr>
        <w:t>. Zgodnie z przewidywaniami ekspertów EFL pomiędzy II a III kwartałem br., podobnie jak to miało miejsce rok temu, nastąpiła zmiana trendu z dwóch ostatnich pomiarów i wartość Barometru spadła poniżej 60 pkt. Jednocześnie wartość wskaźnika jest wyższa nie tylko niż w III kwartale ubiegłego roku (56,6 pkt.), ale w porównaniu do wszystkich pomiarów z 2016 roku. To oznacza, że mikro, małe i średnie przedsiębiorstwa, pomimo odrobinę gorszych prognoz, widzą szanse na rozwój w najbliższych miesiącach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tblPr>
      <w:tblGrid>
        <w:gridCol w:w="10632"/>
      </w:tblGrid>
      <w:tr w:rsidR="00377211" w:rsidRPr="00F02F61" w:rsidTr="00377211">
        <w:tc>
          <w:tcPr>
            <w:tcW w:w="10632" w:type="dxa"/>
            <w:shd w:val="clear" w:color="auto" w:fill="22744F"/>
          </w:tcPr>
          <w:p w:rsidR="00377211" w:rsidRPr="00F02F61" w:rsidRDefault="00377211" w:rsidP="00DC0882">
            <w:pPr>
              <w:tabs>
                <w:tab w:val="left" w:pos="4248"/>
                <w:tab w:val="left" w:pos="6684"/>
              </w:tabs>
              <w:outlineLvl w:val="0"/>
              <w:rPr>
                <w:rFonts w:asciiTheme="minorHAnsi" w:hAnsiTheme="minorHAnsi" w:cs="Arial"/>
                <w:color w:val="FFFFFF"/>
                <w:sz w:val="22"/>
              </w:rPr>
            </w:pPr>
            <w:r w:rsidRPr="00F02F61">
              <w:rPr>
                <w:rFonts w:asciiTheme="minorHAnsi" w:hAnsiTheme="minorHAnsi" w:cs="Arial"/>
                <w:color w:val="FFFFFF"/>
                <w:sz w:val="20"/>
                <w:szCs w:val="22"/>
              </w:rPr>
              <w:t>W</w:t>
            </w:r>
            <w:r w:rsidR="00F26F39" w:rsidRPr="00F02F61">
              <w:rPr>
                <w:rFonts w:asciiTheme="minorHAnsi" w:hAnsiTheme="minorHAnsi" w:cs="Arial"/>
                <w:color w:val="FFFFFF"/>
                <w:sz w:val="20"/>
                <w:szCs w:val="22"/>
              </w:rPr>
              <w:t>ięcej informacji udziela:</w:t>
            </w:r>
            <w:r w:rsidRPr="00F02F61">
              <w:rPr>
                <w:rFonts w:asciiTheme="minorHAnsi" w:hAnsiTheme="minorHAnsi" w:cs="Arial"/>
                <w:color w:val="FFFFFF"/>
                <w:sz w:val="20"/>
                <w:szCs w:val="22"/>
              </w:rPr>
              <w:tab/>
            </w:r>
            <w:r w:rsidRPr="00F02F61">
              <w:rPr>
                <w:rFonts w:asciiTheme="minorHAnsi" w:hAnsiTheme="minorHAnsi" w:cs="Arial"/>
                <w:color w:val="FFFFFF"/>
                <w:sz w:val="20"/>
                <w:szCs w:val="22"/>
              </w:rPr>
              <w:tab/>
            </w:r>
          </w:p>
        </w:tc>
      </w:tr>
      <w:tr w:rsidR="00377211" w:rsidRPr="00F02F61" w:rsidTr="00386892">
        <w:trPr>
          <w:trHeight w:val="964"/>
        </w:trPr>
        <w:tc>
          <w:tcPr>
            <w:tcW w:w="10632" w:type="dxa"/>
            <w:shd w:val="clear" w:color="auto" w:fill="auto"/>
            <w:vAlign w:val="center"/>
          </w:tcPr>
          <w:p w:rsidR="00377211" w:rsidRPr="00F02F61" w:rsidRDefault="00377211" w:rsidP="00386892">
            <w:pPr>
              <w:outlineLvl w:val="0"/>
              <w:rPr>
                <w:rFonts w:asciiTheme="minorHAnsi" w:hAnsiTheme="minorHAnsi" w:cs="Arial"/>
                <w:sz w:val="20"/>
                <w:szCs w:val="20"/>
              </w:rPr>
            </w:pPr>
            <w:r w:rsidRPr="00F02F61">
              <w:rPr>
                <w:rFonts w:asciiTheme="minorHAnsi" w:hAnsiTheme="minorHAnsi" w:cs="Arial"/>
                <w:b/>
                <w:sz w:val="20"/>
                <w:szCs w:val="20"/>
              </w:rPr>
              <w:t>Maja Lidke</w:t>
            </w:r>
          </w:p>
          <w:p w:rsidR="00377211" w:rsidRPr="00F02F61" w:rsidRDefault="00377211" w:rsidP="00386892">
            <w:pPr>
              <w:outlineLvl w:val="0"/>
              <w:rPr>
                <w:rFonts w:asciiTheme="minorHAnsi" w:hAnsiTheme="minorHAnsi" w:cs="Arial"/>
                <w:sz w:val="20"/>
                <w:szCs w:val="20"/>
              </w:rPr>
            </w:pPr>
            <w:r w:rsidRPr="00F02F61">
              <w:rPr>
                <w:rFonts w:asciiTheme="minorHAnsi" w:hAnsiTheme="minorHAnsi" w:cs="Arial"/>
                <w:sz w:val="20"/>
                <w:szCs w:val="20"/>
              </w:rPr>
              <w:t>Europejski Fundusz Leasingowy</w:t>
            </w:r>
          </w:p>
          <w:p w:rsidR="00377211" w:rsidRPr="00F02F61" w:rsidRDefault="00377211" w:rsidP="00386892">
            <w:pPr>
              <w:rPr>
                <w:rFonts w:asciiTheme="minorHAnsi" w:hAnsiTheme="minorHAnsi" w:cs="Arial"/>
                <w:sz w:val="20"/>
                <w:szCs w:val="20"/>
              </w:rPr>
            </w:pPr>
            <w:r w:rsidRPr="00F02F61">
              <w:rPr>
                <w:rFonts w:asciiTheme="minorHAnsi" w:hAnsiTheme="minorHAnsi" w:cs="Arial"/>
                <w:sz w:val="20"/>
                <w:szCs w:val="20"/>
              </w:rPr>
              <w:t>Tel.: 603 630 166</w:t>
            </w:r>
          </w:p>
          <w:p w:rsidR="00377211" w:rsidRPr="00F02F61" w:rsidRDefault="00377211" w:rsidP="00386892">
            <w:pPr>
              <w:outlineLvl w:val="0"/>
              <w:rPr>
                <w:rFonts w:asciiTheme="minorHAnsi" w:hAnsiTheme="minorHAnsi" w:cs="Arial"/>
                <w:b/>
                <w:sz w:val="22"/>
                <w:lang w:val="fr-FR"/>
              </w:rPr>
            </w:pPr>
            <w:r w:rsidRPr="00F02F61">
              <w:rPr>
                <w:rFonts w:asciiTheme="minorHAnsi" w:hAnsiTheme="minorHAnsi" w:cs="Arial"/>
                <w:sz w:val="20"/>
                <w:szCs w:val="20"/>
                <w:lang w:val="de-DE"/>
              </w:rPr>
              <w:t>E-</w:t>
            </w:r>
            <w:proofErr w:type="spellStart"/>
            <w:r w:rsidRPr="00F02F61">
              <w:rPr>
                <w:rFonts w:asciiTheme="minorHAnsi" w:hAnsiTheme="minorHAnsi" w:cs="Arial"/>
                <w:sz w:val="20"/>
                <w:szCs w:val="20"/>
                <w:lang w:val="de-DE"/>
              </w:rPr>
              <w:t>mail</w:t>
            </w:r>
            <w:proofErr w:type="spellEnd"/>
            <w:r w:rsidRPr="00F02F61">
              <w:rPr>
                <w:rFonts w:asciiTheme="minorHAnsi" w:hAnsiTheme="minorHAnsi" w:cs="Arial"/>
                <w:sz w:val="20"/>
                <w:szCs w:val="20"/>
                <w:lang w:val="de-DE"/>
              </w:rPr>
              <w:t xml:space="preserve">: </w:t>
            </w:r>
            <w:hyperlink r:id="rId11" w:history="1">
              <w:r w:rsidRPr="00F02F61">
                <w:rPr>
                  <w:rStyle w:val="Hipercze"/>
                  <w:rFonts w:asciiTheme="minorHAnsi" w:hAnsiTheme="minorHAnsi" w:cs="Arial"/>
                  <w:sz w:val="20"/>
                  <w:szCs w:val="20"/>
                  <w:lang w:val="fr-FR"/>
                </w:rPr>
                <w:t>maja.lidke@efl.com.pl</w:t>
              </w:r>
            </w:hyperlink>
          </w:p>
        </w:tc>
      </w:tr>
    </w:tbl>
    <w:p w:rsidR="00377211" w:rsidRPr="00F02F61" w:rsidRDefault="00377211" w:rsidP="00906C03">
      <w:pPr>
        <w:spacing w:before="120" w:after="120"/>
        <w:jc w:val="center"/>
        <w:rPr>
          <w:rFonts w:asciiTheme="minorHAnsi" w:hAnsiTheme="minorHAnsi" w:cs="Arial"/>
          <w:b/>
          <w:sz w:val="22"/>
          <w:lang w:val="fr-FR"/>
        </w:rPr>
      </w:pPr>
      <w:r w:rsidRPr="00F02F61">
        <w:rPr>
          <w:rFonts w:asciiTheme="minorHAnsi" w:hAnsiTheme="minorHAnsi" w:cs="Arial"/>
          <w:b/>
          <w:sz w:val="22"/>
          <w:lang w:val="fr-FR"/>
        </w:rPr>
        <w:t>***</w:t>
      </w:r>
    </w:p>
    <w:p w:rsidR="00377211" w:rsidRPr="00F02F61" w:rsidRDefault="00377211" w:rsidP="004441B5">
      <w:pPr>
        <w:autoSpaceDE w:val="0"/>
        <w:spacing w:after="120"/>
        <w:jc w:val="both"/>
        <w:rPr>
          <w:rFonts w:asciiTheme="minorHAnsi" w:hAnsiTheme="minorHAnsi" w:cs="Arial"/>
          <w:sz w:val="20"/>
          <w:szCs w:val="18"/>
        </w:rPr>
      </w:pPr>
      <w:r w:rsidRPr="00F02F61">
        <w:rPr>
          <w:rFonts w:asciiTheme="minorHAnsi" w:hAnsiTheme="minorHAnsi" w:cs="Arial"/>
          <w:b/>
          <w:bCs/>
          <w:sz w:val="20"/>
          <w:szCs w:val="18"/>
        </w:rPr>
        <w:t xml:space="preserve">Europejski Fundusz Leasingowy SA </w:t>
      </w:r>
      <w:r w:rsidRPr="00F02F61">
        <w:rPr>
          <w:rFonts w:asciiTheme="minorHAnsi" w:hAnsiTheme="minorHAnsi" w:cs="Arial"/>
          <w:sz w:val="20"/>
          <w:szCs w:val="18"/>
        </w:rPr>
        <w:t xml:space="preserve">powstał w 1991 roku, jako jedna z pierwszych firm leasingowych w Polsce. Od 2001 roku EFL jest częścią Grupy </w:t>
      </w:r>
      <w:proofErr w:type="spellStart"/>
      <w:r w:rsidRPr="00F02F61">
        <w:rPr>
          <w:rFonts w:asciiTheme="minorHAnsi" w:hAnsiTheme="minorHAnsi" w:cs="Arial"/>
          <w:sz w:val="20"/>
          <w:szCs w:val="18"/>
        </w:rPr>
        <w:t>Crédit</w:t>
      </w:r>
      <w:proofErr w:type="spellEnd"/>
      <w:r w:rsidRPr="00F02F61">
        <w:rPr>
          <w:rFonts w:asciiTheme="minorHAnsi" w:hAnsiTheme="minorHAnsi" w:cs="Arial"/>
          <w:sz w:val="20"/>
          <w:szCs w:val="18"/>
        </w:rPr>
        <w:t xml:space="preserve"> Agricole, co gwarantuje firmie finansową stabilność i bezpieczeństwo oraz pozwala korzystać z wiedzy i doświadczeń instytucji finansowej o międzynarodowym zasięgu. EFL konsekwentnie poszerza zakres rozwiązań dla biznesu. Spółka oferuje szeroki pakiet produktów: leasing, pożyczkę, wynajem długoterminowy, ubezpieczenia i faktoring. Od 1991 roku współpracuje z najbardziej liczącymi się producentami i dostawcami maszyn, urządzeń, pojazdów oraz innych środków trwał</w:t>
      </w:r>
      <w:r w:rsidR="00F02F61">
        <w:rPr>
          <w:rFonts w:asciiTheme="minorHAnsi" w:hAnsiTheme="minorHAnsi" w:cs="Arial"/>
          <w:sz w:val="20"/>
          <w:szCs w:val="18"/>
        </w:rPr>
        <w:t>ych. Firmę wyróżniono m.in. sześci</w:t>
      </w:r>
      <w:r w:rsidRPr="00F02F61">
        <w:rPr>
          <w:rFonts w:asciiTheme="minorHAnsi" w:hAnsiTheme="minorHAnsi" w:cs="Arial"/>
          <w:sz w:val="20"/>
          <w:szCs w:val="18"/>
        </w:rPr>
        <w:t>okrotnie tytułem: Firmy</w:t>
      </w:r>
      <w:r w:rsidR="00F02F61">
        <w:rPr>
          <w:rFonts w:asciiTheme="minorHAnsi" w:hAnsiTheme="minorHAnsi" w:cs="Arial"/>
          <w:sz w:val="20"/>
          <w:szCs w:val="18"/>
        </w:rPr>
        <w:t xml:space="preserve"> Przyjaznej Klientowi i pięci</w:t>
      </w:r>
      <w:r w:rsidRPr="00F02F61">
        <w:rPr>
          <w:rFonts w:asciiTheme="minorHAnsi" w:hAnsiTheme="minorHAnsi" w:cs="Arial"/>
          <w:sz w:val="20"/>
          <w:szCs w:val="18"/>
        </w:rPr>
        <w:t>okrotnie Fin</w:t>
      </w:r>
      <w:r w:rsidR="00F02F61">
        <w:rPr>
          <w:rFonts w:asciiTheme="minorHAnsi" w:hAnsiTheme="minorHAnsi" w:cs="Arial"/>
          <w:sz w:val="20"/>
          <w:szCs w:val="18"/>
        </w:rPr>
        <w:t>ansowej Marki Roku. Już ponad 2</w:t>
      </w:r>
      <w:r w:rsidRPr="00F02F61">
        <w:rPr>
          <w:rFonts w:asciiTheme="minorHAnsi" w:hAnsiTheme="minorHAnsi" w:cs="Arial"/>
          <w:sz w:val="20"/>
          <w:szCs w:val="18"/>
        </w:rPr>
        <w:t>9</w:t>
      </w:r>
      <w:r w:rsidR="00F02F61">
        <w:rPr>
          <w:rFonts w:asciiTheme="minorHAnsi" w:hAnsiTheme="minorHAnsi" w:cs="Arial"/>
          <w:sz w:val="20"/>
          <w:szCs w:val="18"/>
        </w:rPr>
        <w:t>0</w:t>
      </w:r>
      <w:r w:rsidRPr="00F02F61">
        <w:rPr>
          <w:rFonts w:asciiTheme="minorHAnsi" w:hAnsiTheme="minorHAnsi" w:cs="Arial"/>
          <w:sz w:val="20"/>
          <w:szCs w:val="18"/>
        </w:rPr>
        <w:t xml:space="preserve"> tysięcy klientów wybrało EFL na swojego partnera w biznesie. Więcej na: </w:t>
      </w:r>
      <w:hyperlink r:id="rId12" w:history="1">
        <w:r w:rsidRPr="00F02F61">
          <w:rPr>
            <w:rStyle w:val="Hipercze"/>
            <w:rFonts w:asciiTheme="minorHAnsi" w:hAnsiTheme="minorHAnsi" w:cs="Arial"/>
            <w:sz w:val="20"/>
            <w:szCs w:val="18"/>
          </w:rPr>
          <w:t>www.efl.pl</w:t>
        </w:r>
      </w:hyperlink>
      <w:r w:rsidRPr="00F02F61">
        <w:rPr>
          <w:rStyle w:val="Hipercze"/>
          <w:rFonts w:asciiTheme="minorHAnsi" w:hAnsiTheme="minorHAnsi" w:cs="Arial"/>
          <w:sz w:val="20"/>
          <w:szCs w:val="18"/>
        </w:rPr>
        <w:t>.</w:t>
      </w:r>
    </w:p>
    <w:p w:rsidR="00377211" w:rsidRPr="00F02F61" w:rsidRDefault="00377211" w:rsidP="003207B1">
      <w:pPr>
        <w:spacing w:after="120"/>
        <w:jc w:val="both"/>
        <w:rPr>
          <w:rFonts w:asciiTheme="minorHAnsi" w:hAnsiTheme="minorHAnsi" w:cs="Arial"/>
          <w:sz w:val="22"/>
          <w:szCs w:val="22"/>
        </w:rPr>
      </w:pPr>
      <w:r w:rsidRPr="00F02F61">
        <w:rPr>
          <w:rFonts w:asciiTheme="minorHAnsi" w:hAnsiTheme="minorHAnsi" w:cs="Arial"/>
          <w:b/>
          <w:bCs/>
          <w:color w:val="000000"/>
          <w:sz w:val="20"/>
          <w:szCs w:val="18"/>
        </w:rPr>
        <w:t xml:space="preserve">Grupa </w:t>
      </w:r>
      <w:proofErr w:type="spellStart"/>
      <w:r w:rsidRPr="00F02F61">
        <w:rPr>
          <w:rFonts w:asciiTheme="minorHAnsi" w:hAnsiTheme="minorHAnsi" w:cs="Arial"/>
          <w:b/>
          <w:sz w:val="20"/>
          <w:szCs w:val="18"/>
        </w:rPr>
        <w:t>Crédit</w:t>
      </w:r>
      <w:proofErr w:type="spellEnd"/>
      <w:r w:rsidRPr="00F02F61">
        <w:rPr>
          <w:rFonts w:asciiTheme="minorHAnsi" w:hAnsiTheme="minorHAnsi" w:cs="Arial"/>
          <w:b/>
          <w:bCs/>
          <w:color w:val="000000"/>
          <w:sz w:val="20"/>
          <w:szCs w:val="18"/>
        </w:rPr>
        <w:t xml:space="preserve"> Agricole SA </w:t>
      </w:r>
      <w:r w:rsidRPr="00F02F61">
        <w:rPr>
          <w:rFonts w:asciiTheme="minorHAnsi" w:hAnsiTheme="minorHAnsi" w:cs="Arial"/>
          <w:bCs/>
          <w:color w:val="000000"/>
          <w:sz w:val="20"/>
          <w:szCs w:val="18"/>
        </w:rPr>
        <w:t xml:space="preserve">debiutowała na polskim rynku finansowym w 2001 roku. Oferuje swoim klientom szeroką gamę rozwiązań finansowych w zakresie usług bankowych, leasingowych, ubezpieczeniowych i faktoringowych. W skład grupy wchodzą między innymi </w:t>
      </w:r>
      <w:proofErr w:type="spellStart"/>
      <w:r w:rsidRPr="00F02F61">
        <w:rPr>
          <w:rFonts w:asciiTheme="minorHAnsi" w:hAnsiTheme="minorHAnsi" w:cs="Arial"/>
          <w:sz w:val="20"/>
          <w:szCs w:val="18"/>
        </w:rPr>
        <w:t>Crédit</w:t>
      </w:r>
      <w:proofErr w:type="spellEnd"/>
      <w:r w:rsidRPr="00F02F61">
        <w:rPr>
          <w:rFonts w:asciiTheme="minorHAnsi" w:hAnsiTheme="minorHAnsi" w:cs="Arial"/>
          <w:bCs/>
          <w:color w:val="000000"/>
          <w:sz w:val="20"/>
          <w:szCs w:val="18"/>
        </w:rPr>
        <w:t xml:space="preserve"> Agricole Bank Polska (dawny Lukas Bank), Grupa Europejskiego Funduszu Leasingowego (EFL, </w:t>
      </w:r>
      <w:proofErr w:type="spellStart"/>
      <w:r w:rsidRPr="00F02F61">
        <w:rPr>
          <w:rFonts w:asciiTheme="minorHAnsi" w:hAnsiTheme="minorHAnsi" w:cs="Arial"/>
          <w:bCs/>
          <w:color w:val="000000"/>
          <w:sz w:val="20"/>
          <w:szCs w:val="18"/>
        </w:rPr>
        <w:t>Carefleet</w:t>
      </w:r>
      <w:proofErr w:type="spellEnd"/>
      <w:r w:rsidRPr="00F02F61">
        <w:rPr>
          <w:rFonts w:asciiTheme="minorHAnsi" w:hAnsiTheme="minorHAnsi" w:cs="Arial"/>
          <w:bCs/>
          <w:color w:val="000000"/>
          <w:sz w:val="20"/>
          <w:szCs w:val="18"/>
        </w:rPr>
        <w:t xml:space="preserve">, EFL Finance, EFL Service, Eurofactor Polska SA), a także </w:t>
      </w:r>
      <w:proofErr w:type="spellStart"/>
      <w:r w:rsidRPr="00F02F61">
        <w:rPr>
          <w:rFonts w:asciiTheme="minorHAnsi" w:hAnsiTheme="minorHAnsi" w:cs="Arial"/>
          <w:sz w:val="20"/>
          <w:szCs w:val="18"/>
        </w:rPr>
        <w:t>Crédit</w:t>
      </w:r>
      <w:proofErr w:type="spellEnd"/>
      <w:r w:rsidRPr="00F02F61">
        <w:rPr>
          <w:rFonts w:asciiTheme="minorHAnsi" w:hAnsiTheme="minorHAnsi" w:cs="Arial"/>
          <w:bCs/>
          <w:color w:val="000000"/>
          <w:sz w:val="20"/>
          <w:szCs w:val="18"/>
        </w:rPr>
        <w:t xml:space="preserve"> Agricole Ubezpieczenia na Życie SA Więcej o Grupie CA Polska na </w:t>
      </w:r>
      <w:hyperlink r:id="rId13" w:history="1">
        <w:r w:rsidRPr="00F02F61">
          <w:rPr>
            <w:rStyle w:val="Hipercze"/>
            <w:rFonts w:asciiTheme="minorHAnsi" w:hAnsiTheme="minorHAnsi" w:cs="Arial"/>
            <w:bCs/>
            <w:sz w:val="20"/>
            <w:szCs w:val="18"/>
          </w:rPr>
          <w:t>www.ca-polska.com</w:t>
        </w:r>
      </w:hyperlink>
      <w:r w:rsidRPr="00F02F61">
        <w:rPr>
          <w:rStyle w:val="Hipercze"/>
          <w:rFonts w:asciiTheme="minorHAnsi" w:hAnsiTheme="minorHAnsi" w:cs="Arial"/>
          <w:bCs/>
          <w:sz w:val="20"/>
          <w:szCs w:val="18"/>
        </w:rPr>
        <w:t>.</w:t>
      </w:r>
    </w:p>
    <w:sectPr w:rsidR="00377211" w:rsidRPr="00F02F61" w:rsidSect="007C2F54">
      <w:headerReference w:type="default" r:id="rId14"/>
      <w:pgSz w:w="11906" w:h="16838" w:code="9"/>
      <w:pgMar w:top="2230" w:right="624" w:bottom="1985" w:left="62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49" w:rsidRDefault="00DE5C49">
      <w:r>
        <w:separator/>
      </w:r>
    </w:p>
  </w:endnote>
  <w:endnote w:type="continuationSeparator" w:id="0">
    <w:p w:rsidR="00DE5C49" w:rsidRDefault="00DE5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W1)">
    <w:charset w:val="EE"/>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49" w:rsidRDefault="00DE5C49">
      <w:r>
        <w:separator/>
      </w:r>
    </w:p>
  </w:footnote>
  <w:footnote w:type="continuationSeparator" w:id="0">
    <w:p w:rsidR="00DE5C49" w:rsidRDefault="00DE5C49">
      <w:r>
        <w:continuationSeparator/>
      </w:r>
    </w:p>
  </w:footnote>
  <w:footnote w:id="1">
    <w:p w:rsidR="009320BF" w:rsidRPr="000D37B1" w:rsidRDefault="009320BF" w:rsidP="009320BF">
      <w:pPr>
        <w:pStyle w:val="Tekstprzypisudolnego"/>
        <w:rPr>
          <w:rFonts w:ascii="Arial" w:hAnsi="Arial" w:cs="Arial"/>
          <w:sz w:val="16"/>
        </w:rPr>
      </w:pPr>
      <w:r w:rsidRPr="00B27CA4">
        <w:rPr>
          <w:rStyle w:val="Odwoanieprzypisudolnego"/>
          <w:rFonts w:ascii="Arial" w:hAnsi="Arial" w:cs="Arial"/>
          <w:sz w:val="16"/>
        </w:rPr>
        <w:footnoteRef/>
      </w:r>
      <w:r w:rsidRPr="00B27CA4">
        <w:rPr>
          <w:rFonts w:ascii="Arial" w:hAnsi="Arial" w:cs="Arial"/>
          <w:sz w:val="16"/>
        </w:rPr>
        <w:t xml:space="preserve"> </w:t>
      </w:r>
      <w:r w:rsidRPr="00B27CA4">
        <w:rPr>
          <w:rFonts w:ascii="Arial" w:hAnsi="Arial" w:cs="Arial"/>
          <w:b/>
          <w:sz w:val="16"/>
        </w:rPr>
        <w:t>„Barometr EFL</w:t>
      </w:r>
      <w:r w:rsidRPr="00B27CA4">
        <w:rPr>
          <w:rFonts w:ascii="Arial" w:hAnsi="Arial" w:cs="Arial"/>
          <w:sz w:val="16"/>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w:t>
      </w:r>
      <w:proofErr w:type="spellStart"/>
      <w:r w:rsidRPr="00B27CA4">
        <w:rPr>
          <w:rFonts w:ascii="Arial" w:hAnsi="Arial" w:cs="Arial"/>
          <w:sz w:val="16"/>
        </w:rPr>
        <w:t>Ecorys</w:t>
      </w:r>
      <w:proofErr w:type="spellEnd"/>
      <w:r w:rsidRPr="00B27CA4">
        <w:rPr>
          <w:rFonts w:ascii="Arial" w:hAnsi="Arial" w:cs="Arial"/>
          <w:sz w:val="16"/>
        </w:rPr>
        <w:t xml:space="preserve"> na zlecenie Europejskiego Funduszu Leasingowego SA., a jego wyniki są publikowane co kwartał. Jego uczestnicy to mikro, małe i średnie firmy terenu całej Polski. W badaniu wzięła udział reprezentatywna grupa 600 mikro, małych i średnich firm. Aktualna edyc</w:t>
      </w:r>
      <w:r>
        <w:rPr>
          <w:rFonts w:ascii="Arial" w:hAnsi="Arial" w:cs="Arial"/>
          <w:sz w:val="16"/>
        </w:rPr>
        <w:t>ja badania odbyła się w dniach 3-11 sierpnia</w:t>
      </w:r>
      <w:r w:rsidRPr="00B27CA4">
        <w:rPr>
          <w:rFonts w:ascii="Arial" w:hAnsi="Arial" w:cs="Arial"/>
          <w:sz w:val="16"/>
        </w:rPr>
        <w:t xml:space="preserve"> 2017 r.</w:t>
      </w:r>
    </w:p>
  </w:footnote>
  <w:footnote w:id="2">
    <w:p w:rsidR="00721E59" w:rsidRPr="000D37B1" w:rsidRDefault="00721E59" w:rsidP="00721E59">
      <w:pPr>
        <w:pStyle w:val="Tekstprzypisudolnego"/>
        <w:rPr>
          <w:lang w:val="pl-PL"/>
        </w:rPr>
      </w:pPr>
      <w:r w:rsidRPr="000D37B1">
        <w:rPr>
          <w:rFonts w:ascii="Arial" w:hAnsi="Arial" w:cs="Arial"/>
          <w:sz w:val="16"/>
        </w:rPr>
        <w:footnoteRef/>
      </w:r>
      <w:r w:rsidRPr="000D37B1">
        <w:rPr>
          <w:rFonts w:ascii="Arial" w:hAnsi="Arial" w:cs="Arial"/>
          <w:sz w:val="16"/>
        </w:rPr>
        <w:t xml:space="preserve"> </w:t>
      </w:r>
      <w:r w:rsidRPr="000D37B1">
        <w:rPr>
          <w:rFonts w:ascii="Arial" w:hAnsi="Arial" w:cs="Arial"/>
          <w:b/>
          <w:sz w:val="16"/>
        </w:rPr>
        <w:t>Próg OR</w:t>
      </w:r>
      <w:r w:rsidRPr="000D37B1">
        <w:rPr>
          <w:rFonts w:ascii="Arial" w:hAnsi="Arial" w:cs="Arial"/>
          <w:sz w:val="16"/>
        </w:rPr>
        <w:t xml:space="preserve"> jest podstawową miarą analityczną zastosowaną do wyników badania, który stanowi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22" w:rsidRDefault="009C7022">
    <w:pPr>
      <w:pStyle w:val="Nagwek"/>
    </w:pPr>
    <w:r>
      <w:rPr>
        <w:noProof/>
        <w:szCs w:val="20"/>
      </w:rPr>
      <w:drawing>
        <wp:anchor distT="0" distB="0" distL="114300" distR="114300" simplePos="0" relativeHeight="251659264" behindDoc="1" locked="1" layoutInCell="1" allowOverlap="1">
          <wp:simplePos x="0" y="0"/>
          <wp:positionH relativeFrom="page">
            <wp:posOffset>2540</wp:posOffset>
          </wp:positionH>
          <wp:positionV relativeFrom="page">
            <wp:posOffset>0</wp:posOffset>
          </wp:positionV>
          <wp:extent cx="7554923" cy="10692000"/>
          <wp:effectExtent l="0" t="0" r="0" b="0"/>
          <wp:wrapNone/>
          <wp:docPr id="3" name="Obraz 3" descr="Mac HD:Users:tomasz.kornek:Desktop:EFL papier firmowy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tomasz.kornek:Desktop:EFL papier firmowy b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4923" cy="10692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6F7D"/>
    <w:multiLevelType w:val="multilevel"/>
    <w:tmpl w:val="4C8AB5BE"/>
    <w:lvl w:ilvl="0">
      <w:start w:val="1"/>
      <w:numFmt w:val="decimal"/>
      <w:lvlText w:val="%1."/>
      <w:lvlJc w:val="left"/>
      <w:pPr>
        <w:tabs>
          <w:tab w:val="num" w:pos="454"/>
        </w:tabs>
        <w:ind w:left="454" w:hanging="454"/>
      </w:pPr>
      <w:rPr>
        <w:rFonts w:hint="default"/>
        <w:b w:val="0"/>
        <w:i w:val="0"/>
        <w:sz w:val="20"/>
      </w:rPr>
    </w:lvl>
    <w:lvl w:ilvl="1">
      <w:start w:val="1"/>
      <w:numFmt w:val="decimal"/>
      <w:lvlText w:val="%2."/>
      <w:lvlJc w:val="left"/>
      <w:pPr>
        <w:tabs>
          <w:tab w:val="num" w:pos="454"/>
        </w:tabs>
        <w:ind w:left="454" w:hanging="454"/>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16113C"/>
    <w:multiLevelType w:val="hybridMultilevel"/>
    <w:tmpl w:val="56E85298"/>
    <w:lvl w:ilvl="0" w:tplc="27821E48">
      <w:start w:val="1"/>
      <w:numFmt w:val="decimal"/>
      <w:pStyle w:val="Tytuakapitu1"/>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5F7D3F"/>
    <w:multiLevelType w:val="multilevel"/>
    <w:tmpl w:val="601C6E66"/>
    <w:lvl w:ilvl="0">
      <w:start w:val="1"/>
      <w:numFmt w:val="decimal"/>
      <w:lvlText w:val="%1."/>
      <w:lvlJc w:val="left"/>
      <w:pPr>
        <w:tabs>
          <w:tab w:val="num" w:pos="454"/>
        </w:tabs>
        <w:ind w:left="454" w:hanging="454"/>
      </w:pPr>
      <w:rPr>
        <w:rFonts w:hint="default"/>
        <w:b w:val="0"/>
        <w:i w:val="0"/>
        <w:sz w:val="24"/>
      </w:rPr>
    </w:lvl>
    <w:lvl w:ilvl="1">
      <w:start w:val="1"/>
      <w:numFmt w:val="decimal"/>
      <w:lvlText w:val="%2."/>
      <w:lvlJc w:val="left"/>
      <w:pPr>
        <w:tabs>
          <w:tab w:val="num" w:pos="454"/>
        </w:tabs>
        <w:ind w:left="454" w:hanging="454"/>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38303F6"/>
    <w:multiLevelType w:val="hybridMultilevel"/>
    <w:tmpl w:val="2CD43D24"/>
    <w:lvl w:ilvl="0" w:tplc="82E0447A">
      <w:start w:val="1"/>
      <w:numFmt w:val="decimal"/>
      <w:lvlText w:val="%1."/>
      <w:lvlJc w:val="left"/>
      <w:pPr>
        <w:ind w:left="1077" w:hanging="360"/>
      </w:pPr>
      <w:rPr>
        <w:rFonts w:hint="default"/>
        <w:b w:val="0"/>
        <w:i w:val="0"/>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55916D88"/>
    <w:multiLevelType w:val="multilevel"/>
    <w:tmpl w:val="558EBAAC"/>
    <w:lvl w:ilvl="0">
      <w:start w:val="1"/>
      <w:numFmt w:val="bullet"/>
      <w:pStyle w:val="NormTekstnumerowanie"/>
      <w:lvlText w:val=""/>
      <w:lvlJc w:val="left"/>
      <w:pPr>
        <w:tabs>
          <w:tab w:val="num" w:pos="491"/>
        </w:tabs>
        <w:ind w:left="491" w:hanging="491"/>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56234E92"/>
    <w:multiLevelType w:val="hybridMultilevel"/>
    <w:tmpl w:val="4C8AB5BE"/>
    <w:lvl w:ilvl="0" w:tplc="82E0447A">
      <w:start w:val="1"/>
      <w:numFmt w:val="decimal"/>
      <w:lvlText w:val="%1."/>
      <w:lvlJc w:val="left"/>
      <w:pPr>
        <w:tabs>
          <w:tab w:val="num" w:pos="454"/>
        </w:tabs>
        <w:ind w:left="454" w:hanging="454"/>
      </w:pPr>
      <w:rPr>
        <w:rFonts w:hint="default"/>
        <w:b w:val="0"/>
        <w:i w:val="0"/>
        <w:sz w:val="20"/>
      </w:rPr>
    </w:lvl>
    <w:lvl w:ilvl="1" w:tplc="82E0447A">
      <w:start w:val="1"/>
      <w:numFmt w:val="decimal"/>
      <w:lvlText w:val="%2."/>
      <w:lvlJc w:val="left"/>
      <w:pPr>
        <w:tabs>
          <w:tab w:val="num" w:pos="454"/>
        </w:tabs>
        <w:ind w:left="454" w:hanging="454"/>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F9A6746"/>
    <w:multiLevelType w:val="multilevel"/>
    <w:tmpl w:val="52B8D12A"/>
    <w:lvl w:ilvl="0">
      <w:start w:val="1"/>
      <w:numFmt w:val="decimal"/>
      <w:lvlText w:val="%1."/>
      <w:lvlJc w:val="left"/>
      <w:pPr>
        <w:tabs>
          <w:tab w:val="num" w:pos="454"/>
        </w:tabs>
        <w:ind w:left="454" w:hanging="454"/>
      </w:pPr>
      <w:rPr>
        <w:rFonts w:hint="default"/>
        <w:b w:val="0"/>
        <w:i w:val="0"/>
        <w:sz w:val="24"/>
      </w:rPr>
    </w:lvl>
    <w:lvl w:ilvl="1">
      <w:start w:val="1"/>
      <w:numFmt w:val="decimal"/>
      <w:lvlText w:val="%2."/>
      <w:lvlJc w:val="left"/>
      <w:pPr>
        <w:tabs>
          <w:tab w:val="num" w:pos="454"/>
        </w:tabs>
        <w:ind w:left="454" w:hanging="454"/>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4E41971"/>
    <w:multiLevelType w:val="hybridMultilevel"/>
    <w:tmpl w:val="7EB68A8E"/>
    <w:lvl w:ilvl="0" w:tplc="82E0447A">
      <w:start w:val="1"/>
      <w:numFmt w:val="decimal"/>
      <w:lvlText w:val="%1."/>
      <w:lvlJc w:val="left"/>
      <w:pPr>
        <w:ind w:left="1077" w:hanging="360"/>
      </w:pPr>
      <w:rPr>
        <w:rFonts w:hint="default"/>
        <w:b w:val="0"/>
        <w:i w:val="0"/>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907"/>
  <w:hyphenationZone w:val="425"/>
  <w:characterSpacingControl w:val="doNotCompress"/>
  <w:hdrShapeDefaults>
    <o:shapedefaults v:ext="edit" spidmax="5122"/>
  </w:hdrShapeDefaults>
  <w:footnotePr>
    <w:footnote w:id="-1"/>
    <w:footnote w:id="0"/>
  </w:footnotePr>
  <w:endnotePr>
    <w:endnote w:id="-1"/>
    <w:endnote w:id="0"/>
  </w:endnotePr>
  <w:compat/>
  <w:rsids>
    <w:rsidRoot w:val="009C7022"/>
    <w:rsid w:val="0001355E"/>
    <w:rsid w:val="00025226"/>
    <w:rsid w:val="0003040A"/>
    <w:rsid w:val="00033F76"/>
    <w:rsid w:val="00040A74"/>
    <w:rsid w:val="00043516"/>
    <w:rsid w:val="00045DDD"/>
    <w:rsid w:val="00057A92"/>
    <w:rsid w:val="000718EA"/>
    <w:rsid w:val="00073EF3"/>
    <w:rsid w:val="000768E2"/>
    <w:rsid w:val="00080D83"/>
    <w:rsid w:val="000A3B00"/>
    <w:rsid w:val="000B082C"/>
    <w:rsid w:val="000B2DE9"/>
    <w:rsid w:val="000B594B"/>
    <w:rsid w:val="000C389B"/>
    <w:rsid w:val="000C6D52"/>
    <w:rsid w:val="000D37B1"/>
    <w:rsid w:val="000D50FD"/>
    <w:rsid w:val="000D7E66"/>
    <w:rsid w:val="000E01C1"/>
    <w:rsid w:val="000F16BF"/>
    <w:rsid w:val="000F36C0"/>
    <w:rsid w:val="000F3C21"/>
    <w:rsid w:val="001023E1"/>
    <w:rsid w:val="00123698"/>
    <w:rsid w:val="00126AD7"/>
    <w:rsid w:val="00135E7C"/>
    <w:rsid w:val="00136023"/>
    <w:rsid w:val="00153905"/>
    <w:rsid w:val="00165EBE"/>
    <w:rsid w:val="00166B04"/>
    <w:rsid w:val="00170471"/>
    <w:rsid w:val="00180C10"/>
    <w:rsid w:val="001810D7"/>
    <w:rsid w:val="00183F4D"/>
    <w:rsid w:val="001848C4"/>
    <w:rsid w:val="00191F90"/>
    <w:rsid w:val="00192475"/>
    <w:rsid w:val="00192574"/>
    <w:rsid w:val="00195AF5"/>
    <w:rsid w:val="00196DC9"/>
    <w:rsid w:val="001A4FCF"/>
    <w:rsid w:val="001A506D"/>
    <w:rsid w:val="001B7AE7"/>
    <w:rsid w:val="001C2AC6"/>
    <w:rsid w:val="001C470A"/>
    <w:rsid w:val="001D76A4"/>
    <w:rsid w:val="001E0D8D"/>
    <w:rsid w:val="00203312"/>
    <w:rsid w:val="002058EA"/>
    <w:rsid w:val="00205B7E"/>
    <w:rsid w:val="00210986"/>
    <w:rsid w:val="00220546"/>
    <w:rsid w:val="00220FE5"/>
    <w:rsid w:val="00221BC6"/>
    <w:rsid w:val="00230734"/>
    <w:rsid w:val="0023142D"/>
    <w:rsid w:val="00234141"/>
    <w:rsid w:val="00254D4D"/>
    <w:rsid w:val="002634F6"/>
    <w:rsid w:val="00263D4A"/>
    <w:rsid w:val="00270B11"/>
    <w:rsid w:val="00273177"/>
    <w:rsid w:val="0027333A"/>
    <w:rsid w:val="00273D68"/>
    <w:rsid w:val="0027581F"/>
    <w:rsid w:val="00276046"/>
    <w:rsid w:val="00277BCC"/>
    <w:rsid w:val="002A14BF"/>
    <w:rsid w:val="002A2D5A"/>
    <w:rsid w:val="002A5398"/>
    <w:rsid w:val="002B0253"/>
    <w:rsid w:val="002B32D8"/>
    <w:rsid w:val="002B3BF3"/>
    <w:rsid w:val="002B6BCF"/>
    <w:rsid w:val="002C10EC"/>
    <w:rsid w:val="002C1AE0"/>
    <w:rsid w:val="002C7997"/>
    <w:rsid w:val="002C7C92"/>
    <w:rsid w:val="002D1C45"/>
    <w:rsid w:val="002D312F"/>
    <w:rsid w:val="002E543B"/>
    <w:rsid w:val="002E6094"/>
    <w:rsid w:val="002F0D86"/>
    <w:rsid w:val="0030220E"/>
    <w:rsid w:val="0031350B"/>
    <w:rsid w:val="00315A6C"/>
    <w:rsid w:val="003207B1"/>
    <w:rsid w:val="003306D2"/>
    <w:rsid w:val="00332977"/>
    <w:rsid w:val="00340789"/>
    <w:rsid w:val="00341A29"/>
    <w:rsid w:val="00343D36"/>
    <w:rsid w:val="00351F0B"/>
    <w:rsid w:val="00353C88"/>
    <w:rsid w:val="00357AF0"/>
    <w:rsid w:val="00376A3C"/>
    <w:rsid w:val="00376B79"/>
    <w:rsid w:val="00377211"/>
    <w:rsid w:val="00377471"/>
    <w:rsid w:val="00380F5C"/>
    <w:rsid w:val="00383626"/>
    <w:rsid w:val="0038421F"/>
    <w:rsid w:val="00384624"/>
    <w:rsid w:val="00386892"/>
    <w:rsid w:val="0039118B"/>
    <w:rsid w:val="00391460"/>
    <w:rsid w:val="003A00E5"/>
    <w:rsid w:val="003A2B97"/>
    <w:rsid w:val="003A642A"/>
    <w:rsid w:val="003B0BAD"/>
    <w:rsid w:val="003B6A8A"/>
    <w:rsid w:val="003C31D2"/>
    <w:rsid w:val="003D3799"/>
    <w:rsid w:val="003E5871"/>
    <w:rsid w:val="003F2C2E"/>
    <w:rsid w:val="00401266"/>
    <w:rsid w:val="004013F2"/>
    <w:rsid w:val="004018AB"/>
    <w:rsid w:val="00415D49"/>
    <w:rsid w:val="00431AC5"/>
    <w:rsid w:val="00433D5C"/>
    <w:rsid w:val="00433F98"/>
    <w:rsid w:val="004441B5"/>
    <w:rsid w:val="0045148C"/>
    <w:rsid w:val="00457EE4"/>
    <w:rsid w:val="0046598F"/>
    <w:rsid w:val="00466C57"/>
    <w:rsid w:val="0047325E"/>
    <w:rsid w:val="00477B1F"/>
    <w:rsid w:val="00481F72"/>
    <w:rsid w:val="00485C5F"/>
    <w:rsid w:val="00491DFC"/>
    <w:rsid w:val="004B0E30"/>
    <w:rsid w:val="004B1882"/>
    <w:rsid w:val="004B34C6"/>
    <w:rsid w:val="004B5C08"/>
    <w:rsid w:val="004C33AF"/>
    <w:rsid w:val="004C4424"/>
    <w:rsid w:val="004C5258"/>
    <w:rsid w:val="004D6F52"/>
    <w:rsid w:val="004F2B1B"/>
    <w:rsid w:val="004F69B1"/>
    <w:rsid w:val="004F79F5"/>
    <w:rsid w:val="00502EC2"/>
    <w:rsid w:val="0051524F"/>
    <w:rsid w:val="00517681"/>
    <w:rsid w:val="00523386"/>
    <w:rsid w:val="00527BD6"/>
    <w:rsid w:val="00527D75"/>
    <w:rsid w:val="005355E6"/>
    <w:rsid w:val="00551270"/>
    <w:rsid w:val="00560491"/>
    <w:rsid w:val="00562D8D"/>
    <w:rsid w:val="00577977"/>
    <w:rsid w:val="00585952"/>
    <w:rsid w:val="0059445C"/>
    <w:rsid w:val="005954B2"/>
    <w:rsid w:val="00597F10"/>
    <w:rsid w:val="005A32C8"/>
    <w:rsid w:val="005B1742"/>
    <w:rsid w:val="005B2E70"/>
    <w:rsid w:val="005B2EBA"/>
    <w:rsid w:val="005C67BF"/>
    <w:rsid w:val="005D0303"/>
    <w:rsid w:val="005D2B9E"/>
    <w:rsid w:val="005D5916"/>
    <w:rsid w:val="005D5AFC"/>
    <w:rsid w:val="005E24C5"/>
    <w:rsid w:val="005E4986"/>
    <w:rsid w:val="005E5B67"/>
    <w:rsid w:val="005E698D"/>
    <w:rsid w:val="005F4739"/>
    <w:rsid w:val="00601581"/>
    <w:rsid w:val="006025C0"/>
    <w:rsid w:val="00604264"/>
    <w:rsid w:val="00604A84"/>
    <w:rsid w:val="00605B3F"/>
    <w:rsid w:val="006061E0"/>
    <w:rsid w:val="00613E27"/>
    <w:rsid w:val="006214C9"/>
    <w:rsid w:val="006307BC"/>
    <w:rsid w:val="00634165"/>
    <w:rsid w:val="00635B86"/>
    <w:rsid w:val="006402F6"/>
    <w:rsid w:val="00647E38"/>
    <w:rsid w:val="00650DB8"/>
    <w:rsid w:val="006536FD"/>
    <w:rsid w:val="00656E79"/>
    <w:rsid w:val="006613EE"/>
    <w:rsid w:val="00673979"/>
    <w:rsid w:val="00685125"/>
    <w:rsid w:val="00694594"/>
    <w:rsid w:val="006A23DD"/>
    <w:rsid w:val="006B444F"/>
    <w:rsid w:val="006B4FBD"/>
    <w:rsid w:val="006B6B43"/>
    <w:rsid w:val="006C1D93"/>
    <w:rsid w:val="006C2BE2"/>
    <w:rsid w:val="006C40BB"/>
    <w:rsid w:val="006C5D44"/>
    <w:rsid w:val="006D0A4E"/>
    <w:rsid w:val="006D2520"/>
    <w:rsid w:val="006D7F20"/>
    <w:rsid w:val="006E1312"/>
    <w:rsid w:val="006E5FEC"/>
    <w:rsid w:val="006F73C6"/>
    <w:rsid w:val="00703FB7"/>
    <w:rsid w:val="00711322"/>
    <w:rsid w:val="00720C55"/>
    <w:rsid w:val="007216CE"/>
    <w:rsid w:val="00721E59"/>
    <w:rsid w:val="00722094"/>
    <w:rsid w:val="00726E20"/>
    <w:rsid w:val="00727E94"/>
    <w:rsid w:val="00731081"/>
    <w:rsid w:val="00733671"/>
    <w:rsid w:val="00736B6E"/>
    <w:rsid w:val="00743496"/>
    <w:rsid w:val="0075030D"/>
    <w:rsid w:val="00756738"/>
    <w:rsid w:val="00763338"/>
    <w:rsid w:val="00763E72"/>
    <w:rsid w:val="0077254E"/>
    <w:rsid w:val="00772878"/>
    <w:rsid w:val="00782069"/>
    <w:rsid w:val="00782337"/>
    <w:rsid w:val="007B1B81"/>
    <w:rsid w:val="007B7431"/>
    <w:rsid w:val="007C2F54"/>
    <w:rsid w:val="007C4936"/>
    <w:rsid w:val="007D08D7"/>
    <w:rsid w:val="007D113C"/>
    <w:rsid w:val="007D1146"/>
    <w:rsid w:val="007D151F"/>
    <w:rsid w:val="007E1340"/>
    <w:rsid w:val="007F3D32"/>
    <w:rsid w:val="00802FB3"/>
    <w:rsid w:val="00803840"/>
    <w:rsid w:val="008106CD"/>
    <w:rsid w:val="0081630C"/>
    <w:rsid w:val="008252E9"/>
    <w:rsid w:val="008333C4"/>
    <w:rsid w:val="00835519"/>
    <w:rsid w:val="0083783A"/>
    <w:rsid w:val="00837C27"/>
    <w:rsid w:val="0084711B"/>
    <w:rsid w:val="0085166C"/>
    <w:rsid w:val="00860620"/>
    <w:rsid w:val="00866E96"/>
    <w:rsid w:val="008730A2"/>
    <w:rsid w:val="008772E3"/>
    <w:rsid w:val="00881C22"/>
    <w:rsid w:val="008860DA"/>
    <w:rsid w:val="00893E30"/>
    <w:rsid w:val="008A2296"/>
    <w:rsid w:val="008A797B"/>
    <w:rsid w:val="008B087E"/>
    <w:rsid w:val="008C573E"/>
    <w:rsid w:val="008D0E21"/>
    <w:rsid w:val="008D5384"/>
    <w:rsid w:val="008D6EA6"/>
    <w:rsid w:val="008E05F0"/>
    <w:rsid w:val="008E42B1"/>
    <w:rsid w:val="008E5697"/>
    <w:rsid w:val="008E7F55"/>
    <w:rsid w:val="008F1664"/>
    <w:rsid w:val="008F45BA"/>
    <w:rsid w:val="008F72E1"/>
    <w:rsid w:val="00901959"/>
    <w:rsid w:val="00902432"/>
    <w:rsid w:val="00906126"/>
    <w:rsid w:val="00906C03"/>
    <w:rsid w:val="00910A57"/>
    <w:rsid w:val="0091225B"/>
    <w:rsid w:val="0091517D"/>
    <w:rsid w:val="009162EA"/>
    <w:rsid w:val="00922362"/>
    <w:rsid w:val="00927DF0"/>
    <w:rsid w:val="00930B22"/>
    <w:rsid w:val="00930FC4"/>
    <w:rsid w:val="009320BF"/>
    <w:rsid w:val="0093467F"/>
    <w:rsid w:val="00942EAF"/>
    <w:rsid w:val="009469A6"/>
    <w:rsid w:val="00947CD2"/>
    <w:rsid w:val="009531FE"/>
    <w:rsid w:val="00962F76"/>
    <w:rsid w:val="00971444"/>
    <w:rsid w:val="00973E03"/>
    <w:rsid w:val="00976110"/>
    <w:rsid w:val="009767AD"/>
    <w:rsid w:val="009778A4"/>
    <w:rsid w:val="0099056B"/>
    <w:rsid w:val="009B3910"/>
    <w:rsid w:val="009B7262"/>
    <w:rsid w:val="009C7022"/>
    <w:rsid w:val="009D5626"/>
    <w:rsid w:val="009E3206"/>
    <w:rsid w:val="009E33C5"/>
    <w:rsid w:val="009E5092"/>
    <w:rsid w:val="009F77C1"/>
    <w:rsid w:val="00A02823"/>
    <w:rsid w:val="00A0385A"/>
    <w:rsid w:val="00A05352"/>
    <w:rsid w:val="00A11641"/>
    <w:rsid w:val="00A23B98"/>
    <w:rsid w:val="00A24BF1"/>
    <w:rsid w:val="00A314D7"/>
    <w:rsid w:val="00A3592C"/>
    <w:rsid w:val="00A35BAB"/>
    <w:rsid w:val="00A46D6D"/>
    <w:rsid w:val="00A76622"/>
    <w:rsid w:val="00A7692D"/>
    <w:rsid w:val="00A77F10"/>
    <w:rsid w:val="00A868F2"/>
    <w:rsid w:val="00A91B55"/>
    <w:rsid w:val="00AA4B1B"/>
    <w:rsid w:val="00AD5484"/>
    <w:rsid w:val="00AD56CD"/>
    <w:rsid w:val="00AE47FD"/>
    <w:rsid w:val="00AF4212"/>
    <w:rsid w:val="00AF5194"/>
    <w:rsid w:val="00AF6666"/>
    <w:rsid w:val="00B07044"/>
    <w:rsid w:val="00B078C4"/>
    <w:rsid w:val="00B168A0"/>
    <w:rsid w:val="00B27366"/>
    <w:rsid w:val="00B27CA4"/>
    <w:rsid w:val="00B33308"/>
    <w:rsid w:val="00B34A50"/>
    <w:rsid w:val="00B35B27"/>
    <w:rsid w:val="00B41F05"/>
    <w:rsid w:val="00B4234C"/>
    <w:rsid w:val="00B43554"/>
    <w:rsid w:val="00B448AC"/>
    <w:rsid w:val="00B4604E"/>
    <w:rsid w:val="00B47066"/>
    <w:rsid w:val="00B47AC4"/>
    <w:rsid w:val="00B52EF4"/>
    <w:rsid w:val="00B6599D"/>
    <w:rsid w:val="00B66E8B"/>
    <w:rsid w:val="00B749FE"/>
    <w:rsid w:val="00B77BC2"/>
    <w:rsid w:val="00B81C01"/>
    <w:rsid w:val="00B82C71"/>
    <w:rsid w:val="00B872F6"/>
    <w:rsid w:val="00B9248D"/>
    <w:rsid w:val="00BA0960"/>
    <w:rsid w:val="00BA2122"/>
    <w:rsid w:val="00BA3098"/>
    <w:rsid w:val="00BA45C4"/>
    <w:rsid w:val="00BA64F2"/>
    <w:rsid w:val="00BB0BD2"/>
    <w:rsid w:val="00BB246C"/>
    <w:rsid w:val="00BB6D21"/>
    <w:rsid w:val="00BC0AF0"/>
    <w:rsid w:val="00BC1768"/>
    <w:rsid w:val="00BC3A04"/>
    <w:rsid w:val="00BD369E"/>
    <w:rsid w:val="00BE3A8F"/>
    <w:rsid w:val="00BE6E81"/>
    <w:rsid w:val="00BF3A69"/>
    <w:rsid w:val="00BF611C"/>
    <w:rsid w:val="00C035D5"/>
    <w:rsid w:val="00C0440F"/>
    <w:rsid w:val="00C05E83"/>
    <w:rsid w:val="00C13CB2"/>
    <w:rsid w:val="00C1536A"/>
    <w:rsid w:val="00C23E2D"/>
    <w:rsid w:val="00C2557E"/>
    <w:rsid w:val="00C32E9E"/>
    <w:rsid w:val="00C3672F"/>
    <w:rsid w:val="00C442EA"/>
    <w:rsid w:val="00C44EE7"/>
    <w:rsid w:val="00C52908"/>
    <w:rsid w:val="00C52936"/>
    <w:rsid w:val="00C53ECF"/>
    <w:rsid w:val="00C7030C"/>
    <w:rsid w:val="00C71C0D"/>
    <w:rsid w:val="00C740CE"/>
    <w:rsid w:val="00C8348D"/>
    <w:rsid w:val="00C85451"/>
    <w:rsid w:val="00C9070B"/>
    <w:rsid w:val="00C9482F"/>
    <w:rsid w:val="00CA32C0"/>
    <w:rsid w:val="00CB00ED"/>
    <w:rsid w:val="00CB1C4B"/>
    <w:rsid w:val="00CC3BA6"/>
    <w:rsid w:val="00CC54BF"/>
    <w:rsid w:val="00CE3521"/>
    <w:rsid w:val="00CE352C"/>
    <w:rsid w:val="00CE5433"/>
    <w:rsid w:val="00CF6004"/>
    <w:rsid w:val="00CF7353"/>
    <w:rsid w:val="00D02A24"/>
    <w:rsid w:val="00D15ADE"/>
    <w:rsid w:val="00D1767E"/>
    <w:rsid w:val="00D3028F"/>
    <w:rsid w:val="00D4745E"/>
    <w:rsid w:val="00D47DF7"/>
    <w:rsid w:val="00D52995"/>
    <w:rsid w:val="00D55B32"/>
    <w:rsid w:val="00D602BA"/>
    <w:rsid w:val="00D655BF"/>
    <w:rsid w:val="00D65D68"/>
    <w:rsid w:val="00D65E40"/>
    <w:rsid w:val="00D71A1F"/>
    <w:rsid w:val="00D80EC9"/>
    <w:rsid w:val="00D81AB1"/>
    <w:rsid w:val="00D864B4"/>
    <w:rsid w:val="00DB5760"/>
    <w:rsid w:val="00DB7622"/>
    <w:rsid w:val="00DC5A1D"/>
    <w:rsid w:val="00DC69C6"/>
    <w:rsid w:val="00DD0C47"/>
    <w:rsid w:val="00DE5C49"/>
    <w:rsid w:val="00DF4346"/>
    <w:rsid w:val="00DF5C80"/>
    <w:rsid w:val="00E13E99"/>
    <w:rsid w:val="00E15655"/>
    <w:rsid w:val="00E227B1"/>
    <w:rsid w:val="00E256F7"/>
    <w:rsid w:val="00E27E6A"/>
    <w:rsid w:val="00E3011B"/>
    <w:rsid w:val="00E349D6"/>
    <w:rsid w:val="00E3624F"/>
    <w:rsid w:val="00E376FF"/>
    <w:rsid w:val="00E42E98"/>
    <w:rsid w:val="00E46937"/>
    <w:rsid w:val="00E523D7"/>
    <w:rsid w:val="00E55B79"/>
    <w:rsid w:val="00E70BC0"/>
    <w:rsid w:val="00E716F7"/>
    <w:rsid w:val="00E81C67"/>
    <w:rsid w:val="00E94381"/>
    <w:rsid w:val="00E96A71"/>
    <w:rsid w:val="00EA3A01"/>
    <w:rsid w:val="00EA5682"/>
    <w:rsid w:val="00EB00F6"/>
    <w:rsid w:val="00EB4761"/>
    <w:rsid w:val="00EC0A24"/>
    <w:rsid w:val="00EC18CD"/>
    <w:rsid w:val="00EC25EA"/>
    <w:rsid w:val="00EC670C"/>
    <w:rsid w:val="00ED2D88"/>
    <w:rsid w:val="00ED42D2"/>
    <w:rsid w:val="00ED554B"/>
    <w:rsid w:val="00EE2560"/>
    <w:rsid w:val="00EE65EA"/>
    <w:rsid w:val="00F00C75"/>
    <w:rsid w:val="00F02F61"/>
    <w:rsid w:val="00F03D8A"/>
    <w:rsid w:val="00F07195"/>
    <w:rsid w:val="00F0753F"/>
    <w:rsid w:val="00F21D93"/>
    <w:rsid w:val="00F26F39"/>
    <w:rsid w:val="00F30069"/>
    <w:rsid w:val="00F31DDF"/>
    <w:rsid w:val="00F41F3E"/>
    <w:rsid w:val="00F45CE3"/>
    <w:rsid w:val="00F47402"/>
    <w:rsid w:val="00F52179"/>
    <w:rsid w:val="00F54369"/>
    <w:rsid w:val="00F65DB1"/>
    <w:rsid w:val="00F7075E"/>
    <w:rsid w:val="00F715F5"/>
    <w:rsid w:val="00F71A02"/>
    <w:rsid w:val="00F75C5F"/>
    <w:rsid w:val="00F7650C"/>
    <w:rsid w:val="00F9001F"/>
    <w:rsid w:val="00FA15E7"/>
    <w:rsid w:val="00FA2F98"/>
    <w:rsid w:val="00FA5154"/>
    <w:rsid w:val="00FC2699"/>
    <w:rsid w:val="00FC45D2"/>
    <w:rsid w:val="00FC76B4"/>
    <w:rsid w:val="00FC7EE7"/>
    <w:rsid w:val="00FD3F80"/>
    <w:rsid w:val="00FF3119"/>
    <w:rsid w:val="00FF31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0A2"/>
    <w:rPr>
      <w:rFonts w:eastAsia="Calibri"/>
      <w:sz w:val="24"/>
      <w:szCs w:val="24"/>
    </w:rPr>
  </w:style>
  <w:style w:type="paragraph" w:styleId="Nagwek1">
    <w:name w:val="heading 1"/>
    <w:basedOn w:val="Normalny"/>
    <w:next w:val="Normalny"/>
    <w:link w:val="Nagwek1Znak"/>
    <w:qFormat/>
    <w:rsid w:val="00B448AC"/>
    <w:pPr>
      <w:keepNext/>
      <w:spacing w:before="240" w:after="60" w:line="360" w:lineRule="auto"/>
      <w:jc w:val="both"/>
      <w:outlineLvl w:val="0"/>
    </w:pPr>
    <w:rPr>
      <w:rFonts w:ascii="Cambria" w:eastAsia="Times New Roman" w:hAnsi="Cambria"/>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4234C"/>
    <w:pPr>
      <w:tabs>
        <w:tab w:val="center" w:pos="4536"/>
        <w:tab w:val="right" w:pos="9072"/>
      </w:tabs>
    </w:pPr>
  </w:style>
  <w:style w:type="paragraph" w:styleId="Stopka">
    <w:name w:val="footer"/>
    <w:basedOn w:val="Normalny"/>
    <w:link w:val="StopkaZnak"/>
    <w:rsid w:val="00B4234C"/>
    <w:pPr>
      <w:tabs>
        <w:tab w:val="center" w:pos="4536"/>
        <w:tab w:val="right" w:pos="9072"/>
      </w:tabs>
    </w:pPr>
  </w:style>
  <w:style w:type="paragraph" w:styleId="Tekstpodstawowy2">
    <w:name w:val="Body Text 2"/>
    <w:basedOn w:val="Normalny"/>
    <w:link w:val="Tekstpodstawowy2Znak"/>
    <w:rsid w:val="00377471"/>
    <w:pPr>
      <w:spacing w:after="120" w:line="480" w:lineRule="auto"/>
    </w:pPr>
    <w:rPr>
      <w:rFonts w:eastAsia="Times New Roman"/>
    </w:rPr>
  </w:style>
  <w:style w:type="character" w:customStyle="1" w:styleId="Tekstpodstawowy2Znak">
    <w:name w:val="Tekst podstawowy 2 Znak"/>
    <w:link w:val="Tekstpodstawowy2"/>
    <w:semiHidden/>
    <w:locked/>
    <w:rsid w:val="00377471"/>
    <w:rPr>
      <w:sz w:val="24"/>
      <w:szCs w:val="24"/>
      <w:lang w:val="pl-PL" w:eastAsia="pl-PL" w:bidi="ar-SA"/>
    </w:rPr>
  </w:style>
  <w:style w:type="paragraph" w:styleId="Tekstpodstawowywcity">
    <w:name w:val="Body Text Indent"/>
    <w:basedOn w:val="Normalny"/>
    <w:link w:val="TekstpodstawowywcityZnak"/>
    <w:rsid w:val="00377471"/>
    <w:pPr>
      <w:spacing w:after="120"/>
      <w:ind w:left="283"/>
    </w:pPr>
    <w:rPr>
      <w:rFonts w:eastAsia="Times New Roman"/>
    </w:rPr>
  </w:style>
  <w:style w:type="character" w:customStyle="1" w:styleId="TekstpodstawowywcityZnak">
    <w:name w:val="Tekst podstawowy wcięty Znak"/>
    <w:link w:val="Tekstpodstawowywcity"/>
    <w:semiHidden/>
    <w:locked/>
    <w:rsid w:val="00377471"/>
    <w:rPr>
      <w:sz w:val="24"/>
      <w:szCs w:val="24"/>
      <w:lang w:val="pl-PL" w:eastAsia="pl-PL" w:bidi="ar-SA"/>
    </w:rPr>
  </w:style>
  <w:style w:type="paragraph" w:styleId="Tekstdymka">
    <w:name w:val="Balloon Text"/>
    <w:basedOn w:val="Normalny"/>
    <w:link w:val="TekstdymkaZnak"/>
    <w:rsid w:val="005B2E70"/>
    <w:rPr>
      <w:rFonts w:ascii="Tahoma" w:eastAsia="Times New Roman" w:hAnsi="Tahoma"/>
      <w:sz w:val="16"/>
      <w:szCs w:val="16"/>
    </w:rPr>
  </w:style>
  <w:style w:type="character" w:customStyle="1" w:styleId="TekstdymkaZnak">
    <w:name w:val="Tekst dymka Znak"/>
    <w:link w:val="Tekstdymka"/>
    <w:rsid w:val="005B2E70"/>
    <w:rPr>
      <w:rFonts w:ascii="Tahoma" w:hAnsi="Tahoma" w:cs="Tahoma"/>
      <w:sz w:val="16"/>
      <w:szCs w:val="16"/>
    </w:rPr>
  </w:style>
  <w:style w:type="paragraph" w:customStyle="1" w:styleId="text">
    <w:name w:val="!text"/>
    <w:basedOn w:val="Normalny"/>
    <w:rsid w:val="00E13E99"/>
    <w:pPr>
      <w:keepLines/>
      <w:spacing w:line="360" w:lineRule="auto"/>
      <w:jc w:val="both"/>
    </w:pPr>
    <w:rPr>
      <w:rFonts w:ascii="Arial" w:hAnsi="Arial" w:cs="Arial"/>
      <w:sz w:val="20"/>
      <w:szCs w:val="20"/>
    </w:rPr>
  </w:style>
  <w:style w:type="table" w:styleId="Tabela-Siatka">
    <w:name w:val="Table Grid"/>
    <w:basedOn w:val="Standardowy"/>
    <w:rsid w:val="00650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link w:val="Stopka"/>
    <w:locked/>
    <w:rsid w:val="00491DFC"/>
    <w:rPr>
      <w:rFonts w:eastAsia="Calibri"/>
      <w:sz w:val="24"/>
      <w:szCs w:val="24"/>
      <w:lang w:val="pl-PL" w:eastAsia="pl-PL" w:bidi="ar-SA"/>
    </w:rPr>
  </w:style>
  <w:style w:type="paragraph" w:styleId="Tekstpodstawowy">
    <w:name w:val="Body Text"/>
    <w:basedOn w:val="Normalny"/>
    <w:rsid w:val="00B448AC"/>
    <w:pPr>
      <w:spacing w:after="120"/>
    </w:pPr>
  </w:style>
  <w:style w:type="paragraph" w:styleId="Tytu">
    <w:name w:val="Title"/>
    <w:basedOn w:val="Normalny"/>
    <w:link w:val="TytuZnak"/>
    <w:qFormat/>
    <w:rsid w:val="00B448AC"/>
    <w:pPr>
      <w:spacing w:before="240" w:after="60" w:line="360" w:lineRule="auto"/>
      <w:jc w:val="both"/>
      <w:outlineLvl w:val="0"/>
    </w:pPr>
    <w:rPr>
      <w:rFonts w:ascii="Tahoma" w:eastAsia="Times New Roman" w:hAnsi="Tahoma" w:cs="Tahoma"/>
      <w:b/>
      <w:bCs/>
      <w:kern w:val="28"/>
      <w:szCs w:val="32"/>
      <w:lang w:val="en-US"/>
    </w:rPr>
  </w:style>
  <w:style w:type="character" w:customStyle="1" w:styleId="TytuZnak">
    <w:name w:val="Tytuł Znak"/>
    <w:link w:val="Tytu"/>
    <w:rsid w:val="00B448AC"/>
    <w:rPr>
      <w:rFonts w:ascii="Tahoma" w:hAnsi="Tahoma" w:cs="Tahoma"/>
      <w:b/>
      <w:bCs/>
      <w:kern w:val="28"/>
      <w:sz w:val="24"/>
      <w:szCs w:val="32"/>
      <w:lang w:val="en-US" w:eastAsia="pl-PL" w:bidi="ar-SA"/>
    </w:rPr>
  </w:style>
  <w:style w:type="paragraph" w:customStyle="1" w:styleId="Tabelka">
    <w:name w:val="Tabelka"/>
    <w:basedOn w:val="Normalny"/>
    <w:rsid w:val="00B448AC"/>
    <w:pPr>
      <w:spacing w:before="40" w:after="40" w:line="360" w:lineRule="auto"/>
      <w:jc w:val="both"/>
    </w:pPr>
    <w:rPr>
      <w:rFonts w:ascii="Tahoma" w:eastAsia="Times New Roman" w:hAnsi="Tahoma" w:cs="Tahoma"/>
      <w:snapToGrid w:val="0"/>
      <w:sz w:val="16"/>
      <w:szCs w:val="20"/>
    </w:rPr>
  </w:style>
  <w:style w:type="paragraph" w:customStyle="1" w:styleId="Tabelkanagwek">
    <w:name w:val="Tabelka_nagłówek"/>
    <w:basedOn w:val="Tabelka"/>
    <w:rsid w:val="00B448AC"/>
    <w:rPr>
      <w:b/>
      <w:bCs/>
    </w:rPr>
  </w:style>
  <w:style w:type="paragraph" w:customStyle="1" w:styleId="NormTekst">
    <w:name w:val="Norm Tekst"/>
    <w:basedOn w:val="Normalny"/>
    <w:autoRedefine/>
    <w:rsid w:val="00263D4A"/>
    <w:pPr>
      <w:spacing w:line="360" w:lineRule="auto"/>
      <w:jc w:val="both"/>
    </w:pPr>
    <w:rPr>
      <w:rFonts w:ascii="Arial" w:eastAsia="Times New Roman" w:hAnsi="Arial" w:cs="Arial"/>
    </w:rPr>
  </w:style>
  <w:style w:type="paragraph" w:customStyle="1" w:styleId="NormTekstbezwciecia">
    <w:name w:val="Norm Tekst bez wciecia"/>
    <w:basedOn w:val="NormTekst"/>
    <w:autoRedefine/>
    <w:rsid w:val="00B448AC"/>
  </w:style>
  <w:style w:type="paragraph" w:customStyle="1" w:styleId="Tytuakapitu1">
    <w:name w:val="Tytuł akapitu 1"/>
    <w:basedOn w:val="Normalny"/>
    <w:qFormat/>
    <w:rsid w:val="00B448AC"/>
    <w:pPr>
      <w:numPr>
        <w:numId w:val="1"/>
      </w:numPr>
      <w:spacing w:line="360" w:lineRule="auto"/>
      <w:jc w:val="both"/>
    </w:pPr>
    <w:rPr>
      <w:rFonts w:ascii="Verdana" w:hAnsi="Verdana"/>
      <w:b/>
      <w:sz w:val="32"/>
      <w:szCs w:val="22"/>
      <w:lang w:eastAsia="en-US"/>
    </w:rPr>
  </w:style>
  <w:style w:type="paragraph" w:customStyle="1" w:styleId="Tytupodrozdziaubeznumeru">
    <w:name w:val="Tytuł podrozdziału bez numeru"/>
    <w:basedOn w:val="Normalny"/>
    <w:autoRedefine/>
    <w:rsid w:val="00B448AC"/>
    <w:pPr>
      <w:spacing w:line="360" w:lineRule="auto"/>
      <w:jc w:val="both"/>
    </w:pPr>
    <w:rPr>
      <w:rFonts w:eastAsia="Times New Roman"/>
      <w:b/>
      <w:szCs w:val="20"/>
    </w:rPr>
  </w:style>
  <w:style w:type="paragraph" w:customStyle="1" w:styleId="Zawartotabeli">
    <w:name w:val="Zawartość tabeli"/>
    <w:basedOn w:val="NormTekst"/>
    <w:autoRedefine/>
    <w:rsid w:val="00B448AC"/>
    <w:pPr>
      <w:spacing w:line="240" w:lineRule="auto"/>
      <w:jc w:val="left"/>
    </w:pPr>
    <w:rPr>
      <w:iCs/>
      <w:sz w:val="20"/>
    </w:rPr>
  </w:style>
  <w:style w:type="paragraph" w:customStyle="1" w:styleId="NormTekstnumerowanie">
    <w:name w:val="Norm Tekst numerowanie"/>
    <w:basedOn w:val="NormTekst"/>
    <w:autoRedefine/>
    <w:rsid w:val="00971444"/>
    <w:pPr>
      <w:numPr>
        <w:numId w:val="2"/>
      </w:numPr>
      <w:spacing w:line="240" w:lineRule="auto"/>
    </w:pPr>
  </w:style>
  <w:style w:type="paragraph" w:customStyle="1" w:styleId="NormTekstbezwcicia">
    <w:name w:val="Norm Tekst bez wcięcia"/>
    <w:basedOn w:val="NormTekst"/>
    <w:autoRedefine/>
    <w:rsid w:val="006E1312"/>
    <w:pPr>
      <w:ind w:left="357"/>
    </w:pPr>
    <w:rPr>
      <w:sz w:val="20"/>
      <w:szCs w:val="20"/>
    </w:rPr>
  </w:style>
  <w:style w:type="character" w:customStyle="1" w:styleId="Nagwek1Znak">
    <w:name w:val="Nagłówek 1 Znak"/>
    <w:link w:val="Nagwek1"/>
    <w:rsid w:val="00B448AC"/>
    <w:rPr>
      <w:rFonts w:ascii="Cambria" w:hAnsi="Cambria"/>
      <w:b/>
      <w:bCs/>
      <w:kern w:val="32"/>
      <w:sz w:val="32"/>
      <w:szCs w:val="32"/>
      <w:lang w:val="pl-PL" w:eastAsia="en-US" w:bidi="ar-SA"/>
    </w:rPr>
  </w:style>
  <w:style w:type="paragraph" w:styleId="Spistreci1">
    <w:name w:val="toc 1"/>
    <w:basedOn w:val="Normalny"/>
    <w:next w:val="Normalny"/>
    <w:autoRedefine/>
    <w:unhideWhenUsed/>
    <w:rsid w:val="00B448AC"/>
    <w:pPr>
      <w:tabs>
        <w:tab w:val="left" w:pos="312"/>
        <w:tab w:val="left" w:pos="340"/>
        <w:tab w:val="left" w:pos="540"/>
        <w:tab w:val="decimal" w:leader="dot" w:pos="9062"/>
      </w:tabs>
      <w:jc w:val="both"/>
    </w:pPr>
    <w:rPr>
      <w:rFonts w:ascii="Times New (W1)" w:hAnsi="Times New (W1)"/>
      <w:szCs w:val="22"/>
      <w:lang w:eastAsia="en-US"/>
    </w:rPr>
  </w:style>
  <w:style w:type="character" w:styleId="Hipercze">
    <w:name w:val="Hyperlink"/>
    <w:unhideWhenUsed/>
    <w:rsid w:val="00B448AC"/>
    <w:rPr>
      <w:color w:val="0000FF"/>
      <w:u w:val="single"/>
    </w:rPr>
  </w:style>
  <w:style w:type="paragraph" w:styleId="Tekstprzypisudolnego">
    <w:name w:val="footnote text"/>
    <w:basedOn w:val="Normalny"/>
    <w:link w:val="TekstprzypisudolnegoZnak"/>
    <w:rsid w:val="00377211"/>
    <w:rPr>
      <w:sz w:val="20"/>
      <w:szCs w:val="20"/>
      <w:lang/>
    </w:rPr>
  </w:style>
  <w:style w:type="character" w:customStyle="1" w:styleId="TekstprzypisudolnegoZnak">
    <w:name w:val="Tekst przypisu dolnego Znak"/>
    <w:basedOn w:val="Domylnaczcionkaakapitu"/>
    <w:link w:val="Tekstprzypisudolnego"/>
    <w:rsid w:val="00377211"/>
    <w:rPr>
      <w:rFonts w:eastAsia="Calibri"/>
      <w:lang/>
    </w:rPr>
  </w:style>
  <w:style w:type="character" w:styleId="Odwoanieprzypisudolnego">
    <w:name w:val="footnote reference"/>
    <w:rsid w:val="00377211"/>
    <w:rPr>
      <w:vertAlign w:val="superscript"/>
    </w:rPr>
  </w:style>
  <w:style w:type="character" w:customStyle="1" w:styleId="apple-converted-space">
    <w:name w:val="apple-converted-space"/>
    <w:basedOn w:val="Domylnaczcionkaakapitu"/>
    <w:rsid w:val="00D80EC9"/>
  </w:style>
  <w:style w:type="character" w:styleId="Odwoaniedokomentarza">
    <w:name w:val="annotation reference"/>
    <w:basedOn w:val="Domylnaczcionkaakapitu"/>
    <w:semiHidden/>
    <w:unhideWhenUsed/>
    <w:rsid w:val="008E5697"/>
    <w:rPr>
      <w:sz w:val="16"/>
      <w:szCs w:val="16"/>
    </w:rPr>
  </w:style>
  <w:style w:type="paragraph" w:styleId="Tekstkomentarza">
    <w:name w:val="annotation text"/>
    <w:basedOn w:val="Normalny"/>
    <w:link w:val="TekstkomentarzaZnak"/>
    <w:semiHidden/>
    <w:unhideWhenUsed/>
    <w:rsid w:val="008E5697"/>
    <w:rPr>
      <w:sz w:val="20"/>
      <w:szCs w:val="20"/>
    </w:rPr>
  </w:style>
  <w:style w:type="character" w:customStyle="1" w:styleId="TekstkomentarzaZnak">
    <w:name w:val="Tekst komentarza Znak"/>
    <w:basedOn w:val="Domylnaczcionkaakapitu"/>
    <w:link w:val="Tekstkomentarza"/>
    <w:semiHidden/>
    <w:rsid w:val="008E5697"/>
    <w:rPr>
      <w:rFonts w:eastAsia="Calibri"/>
    </w:rPr>
  </w:style>
  <w:style w:type="paragraph" w:styleId="Tematkomentarza">
    <w:name w:val="annotation subject"/>
    <w:basedOn w:val="Tekstkomentarza"/>
    <w:next w:val="Tekstkomentarza"/>
    <w:link w:val="TematkomentarzaZnak"/>
    <w:semiHidden/>
    <w:unhideWhenUsed/>
    <w:rsid w:val="008E5697"/>
    <w:rPr>
      <w:b/>
      <w:bCs/>
    </w:rPr>
  </w:style>
  <w:style w:type="character" w:customStyle="1" w:styleId="TematkomentarzaZnak">
    <w:name w:val="Temat komentarza Znak"/>
    <w:basedOn w:val="TekstkomentarzaZnak"/>
    <w:link w:val="Tematkomentarza"/>
    <w:semiHidden/>
    <w:rsid w:val="008E5697"/>
    <w:rPr>
      <w:rFonts w:eastAsia="Calibri"/>
      <w:b/>
      <w:bCs/>
    </w:rPr>
  </w:style>
  <w:style w:type="character" w:styleId="Pogrubienie">
    <w:name w:val="Strong"/>
    <w:basedOn w:val="Domylnaczcionkaakapitu"/>
    <w:uiPriority w:val="22"/>
    <w:qFormat/>
    <w:rsid w:val="006C40BB"/>
    <w:rPr>
      <w:b/>
      <w:bCs/>
    </w:rPr>
  </w:style>
  <w:style w:type="paragraph" w:styleId="Tekstprzypisukocowego">
    <w:name w:val="endnote text"/>
    <w:basedOn w:val="Normalny"/>
    <w:link w:val="TekstprzypisukocowegoZnak"/>
    <w:semiHidden/>
    <w:unhideWhenUsed/>
    <w:rsid w:val="00477B1F"/>
    <w:rPr>
      <w:sz w:val="20"/>
      <w:szCs w:val="20"/>
    </w:rPr>
  </w:style>
  <w:style w:type="character" w:customStyle="1" w:styleId="TekstprzypisukocowegoZnak">
    <w:name w:val="Tekst przypisu końcowego Znak"/>
    <w:basedOn w:val="Domylnaczcionkaakapitu"/>
    <w:link w:val="Tekstprzypisukocowego"/>
    <w:semiHidden/>
    <w:rsid w:val="00477B1F"/>
    <w:rPr>
      <w:rFonts w:eastAsia="Calibri"/>
    </w:rPr>
  </w:style>
  <w:style w:type="character" w:styleId="Odwoanieprzypisukocowego">
    <w:name w:val="endnote reference"/>
    <w:basedOn w:val="Domylnaczcionkaakapitu"/>
    <w:semiHidden/>
    <w:unhideWhenUsed/>
    <w:rsid w:val="00477B1F"/>
    <w:rPr>
      <w:vertAlign w:val="superscript"/>
    </w:rPr>
  </w:style>
  <w:style w:type="paragraph" w:styleId="Akapitzlist">
    <w:name w:val="List Paragraph"/>
    <w:basedOn w:val="Normalny"/>
    <w:uiPriority w:val="34"/>
    <w:qFormat/>
    <w:rsid w:val="00481F72"/>
    <w:pPr>
      <w:ind w:left="720"/>
      <w:contextualSpacing/>
    </w:pPr>
  </w:style>
</w:styles>
</file>

<file path=word/webSettings.xml><?xml version="1.0" encoding="utf-8"?>
<w:webSettings xmlns:r="http://schemas.openxmlformats.org/officeDocument/2006/relationships" xmlns:w="http://schemas.openxmlformats.org/wordprocessingml/2006/main">
  <w:divs>
    <w:div w:id="129371458">
      <w:bodyDiv w:val="1"/>
      <w:marLeft w:val="0"/>
      <w:marRight w:val="0"/>
      <w:marTop w:val="0"/>
      <w:marBottom w:val="0"/>
      <w:divBdr>
        <w:top w:val="none" w:sz="0" w:space="0" w:color="auto"/>
        <w:left w:val="none" w:sz="0" w:space="0" w:color="auto"/>
        <w:bottom w:val="none" w:sz="0" w:space="0" w:color="auto"/>
        <w:right w:val="none" w:sz="0" w:space="0" w:color="auto"/>
      </w:divBdr>
    </w:div>
    <w:div w:id="279461704">
      <w:bodyDiv w:val="1"/>
      <w:marLeft w:val="0"/>
      <w:marRight w:val="0"/>
      <w:marTop w:val="0"/>
      <w:marBottom w:val="0"/>
      <w:divBdr>
        <w:top w:val="none" w:sz="0" w:space="0" w:color="auto"/>
        <w:left w:val="none" w:sz="0" w:space="0" w:color="auto"/>
        <w:bottom w:val="none" w:sz="0" w:space="0" w:color="auto"/>
        <w:right w:val="none" w:sz="0" w:space="0" w:color="auto"/>
      </w:divBdr>
    </w:div>
    <w:div w:id="995185580">
      <w:bodyDiv w:val="1"/>
      <w:marLeft w:val="0"/>
      <w:marRight w:val="0"/>
      <w:marTop w:val="0"/>
      <w:marBottom w:val="0"/>
      <w:divBdr>
        <w:top w:val="none" w:sz="0" w:space="0" w:color="auto"/>
        <w:left w:val="none" w:sz="0" w:space="0" w:color="auto"/>
        <w:bottom w:val="none" w:sz="0" w:space="0" w:color="auto"/>
        <w:right w:val="none" w:sz="0" w:space="0" w:color="auto"/>
      </w:divBdr>
    </w:div>
    <w:div w:id="1094517273">
      <w:bodyDiv w:val="1"/>
      <w:marLeft w:val="0"/>
      <w:marRight w:val="0"/>
      <w:marTop w:val="0"/>
      <w:marBottom w:val="0"/>
      <w:divBdr>
        <w:top w:val="none" w:sz="0" w:space="0" w:color="auto"/>
        <w:left w:val="none" w:sz="0" w:space="0" w:color="auto"/>
        <w:bottom w:val="none" w:sz="0" w:space="0" w:color="auto"/>
        <w:right w:val="none" w:sz="0" w:space="0" w:color="auto"/>
      </w:divBdr>
    </w:div>
    <w:div w:id="1115099129">
      <w:bodyDiv w:val="1"/>
      <w:marLeft w:val="0"/>
      <w:marRight w:val="0"/>
      <w:marTop w:val="0"/>
      <w:marBottom w:val="0"/>
      <w:divBdr>
        <w:top w:val="none" w:sz="0" w:space="0" w:color="auto"/>
        <w:left w:val="none" w:sz="0" w:space="0" w:color="auto"/>
        <w:bottom w:val="none" w:sz="0" w:space="0" w:color="auto"/>
        <w:right w:val="none" w:sz="0" w:space="0" w:color="auto"/>
      </w:divBdr>
    </w:div>
    <w:div w:id="1290554656">
      <w:bodyDiv w:val="1"/>
      <w:marLeft w:val="0"/>
      <w:marRight w:val="0"/>
      <w:marTop w:val="0"/>
      <w:marBottom w:val="0"/>
      <w:divBdr>
        <w:top w:val="none" w:sz="0" w:space="0" w:color="auto"/>
        <w:left w:val="none" w:sz="0" w:space="0" w:color="auto"/>
        <w:bottom w:val="none" w:sz="0" w:space="0" w:color="auto"/>
        <w:right w:val="none" w:sz="0" w:space="0" w:color="auto"/>
      </w:divBdr>
    </w:div>
    <w:div w:id="1504860000">
      <w:bodyDiv w:val="1"/>
      <w:marLeft w:val="0"/>
      <w:marRight w:val="0"/>
      <w:marTop w:val="0"/>
      <w:marBottom w:val="0"/>
      <w:divBdr>
        <w:top w:val="none" w:sz="0" w:space="0" w:color="auto"/>
        <w:left w:val="none" w:sz="0" w:space="0" w:color="auto"/>
        <w:bottom w:val="none" w:sz="0" w:space="0" w:color="auto"/>
        <w:right w:val="none" w:sz="0" w:space="0" w:color="auto"/>
      </w:divBdr>
    </w:div>
    <w:div w:id="1777939273">
      <w:bodyDiv w:val="1"/>
      <w:marLeft w:val="0"/>
      <w:marRight w:val="0"/>
      <w:marTop w:val="0"/>
      <w:marBottom w:val="0"/>
      <w:divBdr>
        <w:top w:val="none" w:sz="0" w:space="0" w:color="auto"/>
        <w:left w:val="none" w:sz="0" w:space="0" w:color="auto"/>
        <w:bottom w:val="none" w:sz="0" w:space="0" w:color="auto"/>
        <w:right w:val="none" w:sz="0" w:space="0" w:color="auto"/>
      </w:divBdr>
    </w:div>
    <w:div w:id="1834254016">
      <w:bodyDiv w:val="1"/>
      <w:marLeft w:val="0"/>
      <w:marRight w:val="0"/>
      <w:marTop w:val="0"/>
      <w:marBottom w:val="0"/>
      <w:divBdr>
        <w:top w:val="none" w:sz="0" w:space="0" w:color="auto"/>
        <w:left w:val="none" w:sz="0" w:space="0" w:color="auto"/>
        <w:bottom w:val="none" w:sz="0" w:space="0" w:color="auto"/>
        <w:right w:val="none" w:sz="0" w:space="0" w:color="auto"/>
      </w:divBdr>
    </w:div>
    <w:div w:id="1913465397">
      <w:bodyDiv w:val="1"/>
      <w:marLeft w:val="0"/>
      <w:marRight w:val="0"/>
      <w:marTop w:val="0"/>
      <w:marBottom w:val="0"/>
      <w:divBdr>
        <w:top w:val="none" w:sz="0" w:space="0" w:color="auto"/>
        <w:left w:val="none" w:sz="0" w:space="0" w:color="auto"/>
        <w:bottom w:val="none" w:sz="0" w:space="0" w:color="auto"/>
        <w:right w:val="none" w:sz="0" w:space="0" w:color="auto"/>
      </w:divBdr>
    </w:div>
    <w:div w:id="2048529527">
      <w:bodyDiv w:val="1"/>
      <w:marLeft w:val="0"/>
      <w:marRight w:val="0"/>
      <w:marTop w:val="0"/>
      <w:marBottom w:val="0"/>
      <w:divBdr>
        <w:top w:val="none" w:sz="0" w:space="0" w:color="auto"/>
        <w:left w:val="none" w:sz="0" w:space="0" w:color="auto"/>
        <w:bottom w:val="none" w:sz="0" w:space="0" w:color="auto"/>
        <w:right w:val="none" w:sz="0" w:space="0" w:color="auto"/>
      </w:divBdr>
    </w:div>
    <w:div w:id="2077391805">
      <w:bodyDiv w:val="1"/>
      <w:marLeft w:val="0"/>
      <w:marRight w:val="0"/>
      <w:marTop w:val="0"/>
      <w:marBottom w:val="0"/>
      <w:divBdr>
        <w:top w:val="none" w:sz="0" w:space="0" w:color="auto"/>
        <w:left w:val="none" w:sz="0" w:space="0" w:color="auto"/>
        <w:bottom w:val="none" w:sz="0" w:space="0" w:color="auto"/>
        <w:right w:val="none" w:sz="0" w:space="0" w:color="auto"/>
      </w:divBdr>
    </w:div>
    <w:div w:id="2105108154">
      <w:bodyDiv w:val="1"/>
      <w:marLeft w:val="0"/>
      <w:marRight w:val="0"/>
      <w:marTop w:val="0"/>
      <w:marBottom w:val="0"/>
      <w:divBdr>
        <w:top w:val="none" w:sz="0" w:space="0" w:color="auto"/>
        <w:left w:val="none" w:sz="0" w:space="0" w:color="auto"/>
        <w:bottom w:val="none" w:sz="0" w:space="0" w:color="auto"/>
        <w:right w:val="none" w:sz="0" w:space="0" w:color="auto"/>
      </w:divBdr>
    </w:div>
    <w:div w:id="21095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olsk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fl.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lidke@efl.com.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ako\AppData\Local\Microsoft\Windows\Temporary%20Internet%20Files\Content.Outlook\8BC8PEA2\papier%20firmowy%2025%20la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523C6362C0D64A8EA9BBCE3467C3FA" ma:contentTypeVersion="1" ma:contentTypeDescription="Utwórz nowy dokument." ma:contentTypeScope="" ma:versionID="e278c82fb55b059082948336e2a5926c">
  <xsd:schema xmlns:xsd="http://www.w3.org/2001/XMLSchema" xmlns:xs="http://www.w3.org/2001/XMLSchema" xmlns:p="http://schemas.microsoft.com/office/2006/metadata/properties" xmlns:ns2="f9654d01-3c3b-4dd3-abec-1afffd83b5ce" targetNamespace="http://schemas.microsoft.com/office/2006/metadata/properties" ma:root="true" ma:fieldsID="231a1ae8981fb99cbaa102e510d84ee2" ns2:_="">
    <xsd:import namespace="f9654d01-3c3b-4dd3-abec-1afffd83b5ce"/>
    <xsd:element name="properties">
      <xsd:complexType>
        <xsd:sequence>
          <xsd:element name="documentManagement">
            <xsd:complexType>
              <xsd:all>
                <xsd:element ref="ns2:Rodza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54d01-3c3b-4dd3-abec-1afffd83b5ce" elementFormDefault="qualified">
    <xsd:import namespace="http://schemas.microsoft.com/office/2006/documentManagement/types"/>
    <xsd:import namespace="http://schemas.microsoft.com/office/infopath/2007/PartnerControls"/>
    <xsd:element name="Rodzaj" ma:index="8" nillable="true" ma:displayName="Rodzaj" ma:internalName="Rodza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dzaj xmlns="f9654d01-3c3b-4dd3-abec-1afffd83b5ce">Szablony dokumentów z logo</Rodzaj>
  </documentManagement>
</p:properties>
</file>

<file path=customXml/itemProps1.xml><?xml version="1.0" encoding="utf-8"?>
<ds:datastoreItem xmlns:ds="http://schemas.openxmlformats.org/officeDocument/2006/customXml" ds:itemID="{5FDC225D-482E-4FFE-9A90-D6F399293E9E}">
  <ds:schemaRefs>
    <ds:schemaRef ds:uri="http://schemas.microsoft.com/office/2006/metadata/longProperties"/>
  </ds:schemaRefs>
</ds:datastoreItem>
</file>

<file path=customXml/itemProps2.xml><?xml version="1.0" encoding="utf-8"?>
<ds:datastoreItem xmlns:ds="http://schemas.openxmlformats.org/officeDocument/2006/customXml" ds:itemID="{7B60C756-78C3-4720-AAE4-D29E29A9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54d01-3c3b-4dd3-abec-1afffd83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05014-BD8C-4BB8-9ACE-37210A905ACD}">
  <ds:schemaRefs>
    <ds:schemaRef ds:uri="http://schemas.microsoft.com/sharepoint/v3/contenttype/forms"/>
  </ds:schemaRefs>
</ds:datastoreItem>
</file>

<file path=customXml/itemProps4.xml><?xml version="1.0" encoding="utf-8"?>
<ds:datastoreItem xmlns:ds="http://schemas.openxmlformats.org/officeDocument/2006/customXml" ds:itemID="{7A3DF2B8-F34F-40F7-A89A-136B321E151B}">
  <ds:schemaRefs>
    <ds:schemaRef ds:uri="http://schemas.microsoft.com/office/2006/metadata/properties"/>
    <ds:schemaRef ds:uri="http://schemas.microsoft.com/office/infopath/2007/PartnerControls"/>
    <ds:schemaRef ds:uri="f9654d01-3c3b-4dd3-abec-1afffd83b5ce"/>
  </ds:schemaRefs>
</ds:datastoreItem>
</file>

<file path=docProps/app.xml><?xml version="1.0" encoding="utf-8"?>
<Properties xmlns="http://schemas.openxmlformats.org/officeDocument/2006/extended-properties" xmlns:vt="http://schemas.openxmlformats.org/officeDocument/2006/docPropsVTypes">
  <Template>papier firmowy 25 lat.dotx</Template>
  <TotalTime>941</TotalTime>
  <Pages>2</Pages>
  <Words>750</Words>
  <Characters>4505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Europejski Fundusz Leasingowy SA</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Kornek</dc:creator>
  <cp:lastModifiedBy>Użytkownik systemu Windows</cp:lastModifiedBy>
  <cp:revision>90</cp:revision>
  <cp:lastPrinted>2008-06-05T11:18:00Z</cp:lastPrinted>
  <dcterms:created xsi:type="dcterms:W3CDTF">2017-02-21T09:03:00Z</dcterms:created>
  <dcterms:modified xsi:type="dcterms:W3CDTF">2017-09-04T09:30:00Z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dzaj">
    <vt:lpwstr>Szablony dokumentów z logo</vt:lpwstr>
  </property>
  <property fmtid="{D5CDD505-2E9C-101B-9397-08002B2CF9AE}" pid="3" name="ContentTypeId">
    <vt:lpwstr>0x010100C2523C6362C0D64A8EA9BBCE3467C3FA</vt:lpwstr>
  </property>
</Properties>
</file>