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42" w:rsidRPr="006D5AB3" w:rsidRDefault="009C7753" w:rsidP="00AA6C29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 w:val="22"/>
          <w:szCs w:val="22"/>
        </w:rPr>
      </w:pPr>
      <w:bookmarkStart w:id="0" w:name="_GoBack"/>
      <w:r w:rsidRPr="006D5AB3">
        <w:rPr>
          <w:rFonts w:ascii="StoneSansPl" w:hAnsi="StoneSansPl" w:cs="Arial"/>
          <w:bCs/>
          <w:color w:val="000000"/>
          <w:sz w:val="22"/>
          <w:szCs w:val="22"/>
        </w:rPr>
        <w:t>I</w:t>
      </w:r>
      <w:r w:rsidR="008505D8">
        <w:rPr>
          <w:rFonts w:ascii="StoneSansPl" w:hAnsi="StoneSansPl" w:cs="Arial"/>
          <w:bCs/>
          <w:color w:val="000000"/>
          <w:sz w:val="22"/>
          <w:szCs w:val="22"/>
        </w:rPr>
        <w:t>nformacja prasowa</w:t>
      </w:r>
    </w:p>
    <w:p w:rsidR="00484CE4" w:rsidRPr="00262C8D" w:rsidRDefault="009C7753" w:rsidP="00262C8D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  </w:t>
      </w:r>
      <w:r w:rsidR="00F00C40"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Warszawa, </w:t>
      </w:r>
      <w:r w:rsidR="00836095">
        <w:rPr>
          <w:rFonts w:ascii="StoneSansPl" w:hAnsi="StoneSansPl" w:cs="Arial"/>
          <w:bCs/>
          <w:sz w:val="22"/>
          <w:szCs w:val="22"/>
        </w:rPr>
        <w:t>XX</w:t>
      </w:r>
      <w:r w:rsidR="00A140ED">
        <w:rPr>
          <w:rFonts w:ascii="StoneSansPl" w:hAnsi="StoneSansPl" w:cs="Arial"/>
          <w:bCs/>
          <w:sz w:val="22"/>
          <w:szCs w:val="22"/>
        </w:rPr>
        <w:t xml:space="preserve"> marca </w:t>
      </w:r>
      <w:r w:rsidR="00CD6AD0">
        <w:rPr>
          <w:rFonts w:ascii="StoneSansPl" w:hAnsi="StoneSansPl" w:cs="Arial"/>
          <w:bCs/>
          <w:sz w:val="22"/>
          <w:szCs w:val="22"/>
        </w:rPr>
        <w:t>2</w:t>
      </w:r>
      <w:r w:rsidR="00636229">
        <w:rPr>
          <w:rFonts w:ascii="StoneSansPl" w:hAnsi="StoneSansPl" w:cs="Arial"/>
          <w:bCs/>
          <w:sz w:val="22"/>
          <w:szCs w:val="22"/>
        </w:rPr>
        <w:t>017</w:t>
      </w:r>
      <w:r w:rsidR="00C82442" w:rsidRPr="00A7383B">
        <w:rPr>
          <w:rFonts w:ascii="StoneSansPl" w:hAnsi="StoneSansPl" w:cs="Arial"/>
          <w:bCs/>
          <w:sz w:val="22"/>
          <w:szCs w:val="22"/>
        </w:rPr>
        <w:t xml:space="preserve"> r.</w:t>
      </w:r>
    </w:p>
    <w:p w:rsidR="00484CE4" w:rsidRPr="00E02823" w:rsidRDefault="00484CE4" w:rsidP="00AA6C29">
      <w:pPr>
        <w:spacing w:line="276" w:lineRule="auto"/>
        <w:rPr>
          <w:rFonts w:ascii="StoneSansPl" w:hAnsi="StoneSansPl" w:cs="Arial"/>
          <w:b/>
          <w:sz w:val="32"/>
          <w:szCs w:val="32"/>
        </w:rPr>
      </w:pPr>
    </w:p>
    <w:p w:rsidR="009542E6" w:rsidRPr="00840F43" w:rsidRDefault="00952EB3" w:rsidP="008360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 w:cs="Arial"/>
          <w:b/>
          <w:color w:val="000000"/>
          <w:sz w:val="32"/>
          <w:szCs w:val="32"/>
        </w:rPr>
      </w:pPr>
      <w:r>
        <w:rPr>
          <w:rFonts w:ascii="StoneSansPl" w:hAnsi="StoneSansPl" w:cs="Arial"/>
          <w:b/>
          <w:color w:val="000000"/>
          <w:sz w:val="32"/>
          <w:szCs w:val="32"/>
        </w:rPr>
        <w:t>Wzrost sprzedaży w UNIQA w 2016 r</w:t>
      </w:r>
      <w:r w:rsidR="00526AF1">
        <w:rPr>
          <w:rFonts w:ascii="StoneSansPl" w:hAnsi="StoneSansPl" w:cs="Arial"/>
          <w:b/>
          <w:color w:val="000000"/>
          <w:sz w:val="32"/>
          <w:szCs w:val="32"/>
        </w:rPr>
        <w:t>oku</w:t>
      </w:r>
    </w:p>
    <w:p w:rsidR="002D6594" w:rsidRPr="00FA60BB" w:rsidRDefault="002D6594" w:rsidP="00836095">
      <w:pPr>
        <w:spacing w:line="276" w:lineRule="auto"/>
        <w:rPr>
          <w:rFonts w:ascii="StoneSansPl" w:hAnsi="StoneSansPl" w:cs="Arial"/>
          <w:b/>
          <w:sz w:val="22"/>
          <w:szCs w:val="22"/>
        </w:rPr>
      </w:pPr>
    </w:p>
    <w:p w:rsidR="00163A42" w:rsidRPr="00163A42" w:rsidRDefault="00DF3F6A" w:rsidP="008505D8">
      <w:pPr>
        <w:pStyle w:val="Bezodstpw"/>
        <w:numPr>
          <w:ilvl w:val="1"/>
          <w:numId w:val="41"/>
        </w:numPr>
        <w:spacing w:line="276" w:lineRule="auto"/>
        <w:jc w:val="both"/>
        <w:rPr>
          <w:rStyle w:val="Pogrubienie"/>
          <w:rFonts w:ascii="StoneSansPl" w:hAnsi="StoneSansPl"/>
          <w:bCs w:val="0"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Spółki UNIQA w Polsce zebrały 1,44 mld zł składki przypisanej brutto w 2016 r</w:t>
      </w:r>
      <w:r w:rsidR="00526AF1">
        <w:rPr>
          <w:rFonts w:ascii="StoneSansPl" w:hAnsi="StoneSansPl"/>
          <w:b/>
          <w:sz w:val="28"/>
          <w:szCs w:val="28"/>
        </w:rPr>
        <w:t>oku</w:t>
      </w:r>
      <w:r>
        <w:rPr>
          <w:rFonts w:ascii="StoneSansPl" w:hAnsi="StoneSansPl"/>
          <w:b/>
          <w:sz w:val="28"/>
          <w:szCs w:val="28"/>
        </w:rPr>
        <w:t xml:space="preserve"> </w:t>
      </w:r>
    </w:p>
    <w:p w:rsidR="00A140ED" w:rsidRPr="00163A42" w:rsidRDefault="00DF3F6A" w:rsidP="008505D8">
      <w:pPr>
        <w:pStyle w:val="Bezodstpw"/>
        <w:numPr>
          <w:ilvl w:val="1"/>
          <w:numId w:val="41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Przypis składki w ubezpieczeniach na życie zwiększył się ponad dwukrotnie</w:t>
      </w:r>
    </w:p>
    <w:p w:rsidR="00163A42" w:rsidRPr="00163A42" w:rsidRDefault="00DF3F6A" w:rsidP="008505D8">
      <w:pPr>
        <w:pStyle w:val="Bezodstpw"/>
        <w:numPr>
          <w:ilvl w:val="1"/>
          <w:numId w:val="41"/>
        </w:numPr>
        <w:spacing w:line="276" w:lineRule="auto"/>
        <w:jc w:val="both"/>
        <w:rPr>
          <w:rStyle w:val="Pogrubienie"/>
          <w:rFonts w:ascii="StoneSansPl" w:hAnsi="StoneSansPl"/>
          <w:bCs w:val="0"/>
          <w:sz w:val="28"/>
          <w:szCs w:val="28"/>
        </w:rPr>
      </w:pPr>
      <w:r>
        <w:rPr>
          <w:rStyle w:val="Pogrubienie"/>
          <w:rFonts w:ascii="StoneSansPl" w:hAnsi="StoneSansPl"/>
          <w:sz w:val="28"/>
          <w:szCs w:val="28"/>
        </w:rPr>
        <w:t>Wzrósł zysk brutto w spółce życiowej, zmniejszył się w spółce majątkowej</w:t>
      </w:r>
    </w:p>
    <w:p w:rsidR="00163A42" w:rsidRPr="00163A42" w:rsidRDefault="00DF3F6A" w:rsidP="008505D8">
      <w:pPr>
        <w:pStyle w:val="Bezodstpw"/>
        <w:numPr>
          <w:ilvl w:val="1"/>
          <w:numId w:val="41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Style w:val="Pogrubienie"/>
          <w:rFonts w:ascii="StoneSansPl" w:hAnsi="StoneSansPl"/>
          <w:sz w:val="28"/>
          <w:szCs w:val="28"/>
        </w:rPr>
        <w:t>Na spadek zysku największy wpływ miał rosnący poziom odszkodowań w ubezpieczeniach komunikacyjnych</w:t>
      </w:r>
    </w:p>
    <w:p w:rsidR="00617214" w:rsidRDefault="00617214" w:rsidP="008505D8">
      <w:pPr>
        <w:pStyle w:val="Bezodstpw"/>
        <w:spacing w:line="276" w:lineRule="auto"/>
        <w:ind w:left="720"/>
        <w:jc w:val="both"/>
        <w:rPr>
          <w:rFonts w:ascii="StoneSansPl" w:hAnsi="StoneSansPl" w:cs="Arial"/>
          <w:b/>
        </w:rPr>
      </w:pPr>
    </w:p>
    <w:p w:rsidR="006F6AF3" w:rsidRDefault="006F6AF3" w:rsidP="00836095">
      <w:pPr>
        <w:spacing w:line="276" w:lineRule="auto"/>
        <w:jc w:val="both"/>
        <w:rPr>
          <w:rStyle w:val="Pogrubienie"/>
          <w:rFonts w:ascii="StoneSansPl" w:hAnsi="StoneSansPl"/>
        </w:rPr>
      </w:pPr>
    </w:p>
    <w:p w:rsidR="00C03087" w:rsidRPr="00FA58D2" w:rsidRDefault="00FA58D2" w:rsidP="008505D8">
      <w:pPr>
        <w:spacing w:line="276" w:lineRule="auto"/>
        <w:jc w:val="both"/>
        <w:rPr>
          <w:rStyle w:val="Pogrubienie"/>
          <w:rFonts w:ascii="StoneSansPl" w:hAnsi="StoneSansPl"/>
          <w:b w:val="0"/>
        </w:rPr>
      </w:pPr>
      <w:r>
        <w:rPr>
          <w:rStyle w:val="Pogrubienie"/>
          <w:rFonts w:ascii="StoneSansPl" w:hAnsi="StoneSansPl"/>
        </w:rPr>
        <w:t>O 25 proc. wzrosła wartość składki brutto zebranej przez spółki UNIQA w Polsce w 2016 roku</w:t>
      </w:r>
      <w:r w:rsidR="00526AF1">
        <w:rPr>
          <w:rStyle w:val="Pogrubienie"/>
          <w:rFonts w:ascii="StoneSansPl" w:hAnsi="StoneSansPl"/>
        </w:rPr>
        <w:t xml:space="preserve"> i w</w:t>
      </w:r>
      <w:r>
        <w:rPr>
          <w:rStyle w:val="Pogrubienie"/>
          <w:rFonts w:ascii="StoneSansPl" w:hAnsi="StoneSansPl"/>
        </w:rPr>
        <w:t xml:space="preserve">yniosła 1,44 mld zł, wobec 1,15 mld zł rok wcześniej. Przypis zwiększył się zarówno w spółce majątkowej, jak i życiowej. </w:t>
      </w:r>
      <w:r w:rsidRPr="00FA58D2">
        <w:rPr>
          <w:rFonts w:ascii="StoneSansPl" w:hAnsi="StoneSansPl" w:cs="Arial"/>
          <w:b/>
        </w:rPr>
        <w:t xml:space="preserve">O wzroście </w:t>
      </w:r>
      <w:r>
        <w:rPr>
          <w:rFonts w:ascii="StoneSansPl" w:hAnsi="StoneSansPl" w:cs="Arial"/>
          <w:b/>
        </w:rPr>
        <w:t>z</w:t>
      </w:r>
      <w:r w:rsidRPr="00FA58D2">
        <w:rPr>
          <w:rFonts w:ascii="StoneSansPl" w:hAnsi="StoneSansPl" w:cs="Arial"/>
          <w:b/>
        </w:rPr>
        <w:t xml:space="preserve">decydowała głównie rosnąca sprzedaż ubezpieczeń komunikacyjnych </w:t>
      </w:r>
      <w:r w:rsidR="00526AF1">
        <w:rPr>
          <w:rFonts w:ascii="StoneSansPl" w:hAnsi="StoneSansPl" w:cs="Arial"/>
          <w:b/>
        </w:rPr>
        <w:t>i</w:t>
      </w:r>
      <w:r w:rsidR="00526AF1" w:rsidRPr="00FA58D2">
        <w:rPr>
          <w:rFonts w:ascii="StoneSansPl" w:hAnsi="StoneSansPl" w:cs="Arial"/>
          <w:b/>
        </w:rPr>
        <w:t xml:space="preserve"> </w:t>
      </w:r>
      <w:r w:rsidRPr="00FA58D2">
        <w:rPr>
          <w:rFonts w:ascii="StoneSansPl" w:hAnsi="StoneSansPl" w:cs="Arial"/>
          <w:b/>
        </w:rPr>
        <w:t xml:space="preserve">na życie ze składką jednorazową. </w:t>
      </w:r>
      <w:r w:rsidR="007C2901">
        <w:rPr>
          <w:rFonts w:ascii="StoneSansPl" w:hAnsi="StoneSansPl" w:cs="Arial"/>
          <w:b/>
        </w:rPr>
        <w:t>Wartość wypłaconych odszkodowań i świadczeń brutto wzrosła o 4 proc. do 877,25 mln zł. Zysk finansowy brutto według międzynarodowych standardów rachunkowości wyniósł 26,66 mln zł i był o 60 proc. niższy niż po 12 miesiącach 2015 r</w:t>
      </w:r>
      <w:r w:rsidR="00526AF1">
        <w:rPr>
          <w:rFonts w:ascii="StoneSansPl" w:hAnsi="StoneSansPl" w:cs="Arial"/>
          <w:b/>
        </w:rPr>
        <w:t>oku.</w:t>
      </w:r>
    </w:p>
    <w:p w:rsidR="00836095" w:rsidRDefault="00836095" w:rsidP="008505D8">
      <w:pPr>
        <w:spacing w:line="276" w:lineRule="auto"/>
        <w:jc w:val="both"/>
        <w:rPr>
          <w:rFonts w:ascii="StoneSansPl" w:hAnsi="StoneSansPl"/>
          <w:sz w:val="22"/>
        </w:rPr>
      </w:pPr>
    </w:p>
    <w:p w:rsidR="00836095" w:rsidRDefault="00836095" w:rsidP="008505D8">
      <w:pPr>
        <w:spacing w:line="276" w:lineRule="auto"/>
        <w:jc w:val="both"/>
        <w:rPr>
          <w:rFonts w:ascii="StoneSansPl" w:hAnsi="StoneSansPl"/>
          <w:sz w:val="22"/>
        </w:rPr>
      </w:pPr>
    </w:p>
    <w:p w:rsidR="00836095" w:rsidRDefault="008E2D68" w:rsidP="008505D8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  <w:r w:rsidRPr="00E16E22">
        <w:rPr>
          <w:rFonts w:ascii="StoneSansPl" w:hAnsi="StoneSansPl" w:cs="Arial"/>
          <w:b/>
          <w:sz w:val="22"/>
          <w:szCs w:val="22"/>
        </w:rPr>
        <w:t>UNIQA Towarzystwo Ubezpieczeń</w:t>
      </w:r>
    </w:p>
    <w:p w:rsidR="005F609D" w:rsidRPr="00E16E22" w:rsidRDefault="005F609D" w:rsidP="008505D8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:rsidR="00836095" w:rsidRPr="00E16E22" w:rsidRDefault="007B0328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 xml:space="preserve">Spółka majątkowa UNIQA zebrała składkę przypisaną brutto na poziomie 1,11 mld zł w 2016 roku (I-XII 2015: 1,01 mld zł). Oznacza to 10,4-proc. wzrost w porównaniu z rokiem 2015. </w:t>
      </w:r>
      <w:r w:rsidR="00836095" w:rsidRPr="00E16E22">
        <w:rPr>
          <w:rFonts w:ascii="StoneSansPl" w:hAnsi="StoneSansPl" w:cs="Arial"/>
          <w:sz w:val="22"/>
          <w:szCs w:val="22"/>
        </w:rPr>
        <w:t>Wzro</w:t>
      </w:r>
      <w:r w:rsidRPr="00E16E22">
        <w:rPr>
          <w:rFonts w:ascii="StoneSansPl" w:hAnsi="StoneSansPl" w:cs="Arial"/>
          <w:sz w:val="22"/>
          <w:szCs w:val="22"/>
        </w:rPr>
        <w:t>st składki przypisanej za ostatni kwartał 2016 roku</w:t>
      </w:r>
      <w:r w:rsidR="00836095" w:rsidRPr="00E16E22">
        <w:rPr>
          <w:rFonts w:ascii="StoneSansPl" w:hAnsi="StoneSansPl" w:cs="Arial"/>
          <w:sz w:val="22"/>
          <w:szCs w:val="22"/>
        </w:rPr>
        <w:t xml:space="preserve"> </w:t>
      </w:r>
      <w:r w:rsidRPr="00E16E22">
        <w:rPr>
          <w:rFonts w:ascii="StoneSansPl" w:hAnsi="StoneSansPl" w:cs="Arial"/>
          <w:sz w:val="22"/>
          <w:szCs w:val="22"/>
        </w:rPr>
        <w:t>wyniósł 13,9 proc.</w:t>
      </w:r>
    </w:p>
    <w:p w:rsidR="007B0328" w:rsidRPr="00E16E22" w:rsidRDefault="007B0328" w:rsidP="008505D8">
      <w:pPr>
        <w:spacing w:line="276" w:lineRule="auto"/>
        <w:jc w:val="both"/>
        <w:rPr>
          <w:rFonts w:ascii="StoneSansPl" w:hAnsi="StoneSansPl" w:cs="Arial"/>
          <w:color w:val="FF0000"/>
          <w:sz w:val="22"/>
          <w:szCs w:val="22"/>
        </w:rPr>
      </w:pPr>
    </w:p>
    <w:p w:rsidR="00836095" w:rsidRPr="00D7293D" w:rsidRDefault="00D7293D" w:rsidP="00D7293D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D7293D">
        <w:rPr>
          <w:rFonts w:ascii="StoneSansPl" w:hAnsi="StoneSansPl" w:cs="Arial"/>
          <w:i/>
          <w:sz w:val="22"/>
          <w:szCs w:val="22"/>
        </w:rPr>
        <w:t>- 2016 rok był niewątpliwie jednym z najtrudniejszych w ostatnich latach dla branży ubezpieczeniowej. Zarówno ze względu na wzrost cen ubezpieczeń komunikacyjnych, jak i wejście w życie nowego prawa, rekomendacji, ugód</w:t>
      </w:r>
      <w:r w:rsidR="00E77F5B">
        <w:rPr>
          <w:rFonts w:ascii="StoneSansPl" w:hAnsi="StoneSansPl" w:cs="Arial"/>
          <w:i/>
          <w:sz w:val="22"/>
          <w:szCs w:val="22"/>
        </w:rPr>
        <w:t xml:space="preserve"> i zaleceń dotyczących branży. W biznesie majątkowym o</w:t>
      </w:r>
      <w:r w:rsidR="00836095" w:rsidRPr="00D7293D">
        <w:rPr>
          <w:rFonts w:ascii="StoneSansPl" w:hAnsi="StoneSansPl" w:cs="Arial"/>
          <w:i/>
          <w:sz w:val="22"/>
          <w:szCs w:val="22"/>
        </w:rPr>
        <w:t xml:space="preserve"> wzroście sprzedaży decydowała głównie rosnąca sprzeda</w:t>
      </w:r>
      <w:r w:rsidRPr="00D7293D">
        <w:rPr>
          <w:rFonts w:ascii="StoneSansPl" w:hAnsi="StoneSansPl" w:cs="Arial"/>
          <w:i/>
          <w:sz w:val="22"/>
          <w:szCs w:val="22"/>
        </w:rPr>
        <w:t xml:space="preserve">ż ubezpieczeń komunikacyjnych </w:t>
      </w:r>
      <w:r w:rsidR="007B0328" w:rsidRPr="00D7293D">
        <w:rPr>
          <w:rFonts w:ascii="StoneSansPl" w:hAnsi="StoneSansPl" w:cs="Arial"/>
          <w:i/>
          <w:sz w:val="22"/>
          <w:szCs w:val="22"/>
        </w:rPr>
        <w:t xml:space="preserve">– </w:t>
      </w:r>
      <w:r w:rsidR="007B0328" w:rsidRPr="00D7293D">
        <w:rPr>
          <w:rFonts w:ascii="StoneSansPl" w:hAnsi="StoneSansPl" w:cs="Arial"/>
          <w:sz w:val="22"/>
          <w:szCs w:val="22"/>
        </w:rPr>
        <w:t xml:space="preserve">mówi </w:t>
      </w:r>
      <w:r w:rsidR="007B0328" w:rsidRPr="00D7293D">
        <w:rPr>
          <w:rFonts w:ascii="StoneSansPl" w:hAnsi="StoneSansPl" w:cs="Arial"/>
          <w:b/>
          <w:sz w:val="22"/>
          <w:szCs w:val="22"/>
        </w:rPr>
        <w:t>Jarosław Matusiewicz</w:t>
      </w:r>
      <w:r w:rsidR="007B0328" w:rsidRPr="00D7293D">
        <w:rPr>
          <w:rFonts w:ascii="StoneSansPl" w:hAnsi="StoneSansPl" w:cs="Arial"/>
          <w:sz w:val="22"/>
          <w:szCs w:val="22"/>
        </w:rPr>
        <w:t>, prezes UNIQA Polska.</w:t>
      </w:r>
    </w:p>
    <w:p w:rsidR="00D7293D" w:rsidRDefault="00D7293D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505D8" w:rsidRPr="00E16E22" w:rsidRDefault="008505D8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36095" w:rsidRPr="00E77F5B" w:rsidRDefault="00526AF1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>
        <w:rPr>
          <w:rFonts w:ascii="StoneSansPl" w:hAnsi="StoneSansPl" w:cs="Arial"/>
          <w:sz w:val="22"/>
          <w:szCs w:val="22"/>
        </w:rPr>
        <w:lastRenderedPageBreak/>
        <w:t>S</w:t>
      </w:r>
      <w:r w:rsidRPr="00E16E22">
        <w:rPr>
          <w:rFonts w:ascii="StoneSansPl" w:hAnsi="StoneSansPl" w:cs="Arial"/>
          <w:sz w:val="22"/>
          <w:szCs w:val="22"/>
        </w:rPr>
        <w:t xml:space="preserve">kładka przypisana </w:t>
      </w:r>
      <w:r>
        <w:rPr>
          <w:rFonts w:ascii="StoneSansPl" w:hAnsi="StoneSansPl" w:cs="Arial"/>
          <w:sz w:val="22"/>
          <w:szCs w:val="22"/>
        </w:rPr>
        <w:t>u</w:t>
      </w:r>
      <w:r w:rsidR="00347106" w:rsidRPr="00E16E22">
        <w:rPr>
          <w:rFonts w:ascii="StoneSansPl" w:hAnsi="StoneSansPl" w:cs="Arial"/>
          <w:sz w:val="22"/>
          <w:szCs w:val="22"/>
        </w:rPr>
        <w:t>zyskana</w:t>
      </w:r>
      <w:r w:rsidR="00836095" w:rsidRPr="00E16E22">
        <w:rPr>
          <w:rFonts w:ascii="StoneSansPl" w:hAnsi="StoneSansPl" w:cs="Arial"/>
          <w:sz w:val="22"/>
          <w:szCs w:val="22"/>
        </w:rPr>
        <w:t xml:space="preserve"> przez UNIQA </w:t>
      </w:r>
      <w:r w:rsidR="00347106" w:rsidRPr="00E16E22">
        <w:rPr>
          <w:rFonts w:ascii="StoneSansPl" w:hAnsi="StoneSansPl" w:cs="Arial"/>
          <w:sz w:val="22"/>
          <w:szCs w:val="22"/>
        </w:rPr>
        <w:t xml:space="preserve">wyłącznie </w:t>
      </w:r>
      <w:r w:rsidR="00836095" w:rsidRPr="00E16E22">
        <w:rPr>
          <w:rFonts w:ascii="StoneSansPl" w:hAnsi="StoneSansPl" w:cs="Arial"/>
          <w:sz w:val="22"/>
          <w:szCs w:val="22"/>
        </w:rPr>
        <w:t>z ubezpieczeń OC komunikacyj</w:t>
      </w:r>
      <w:r w:rsidR="00347106" w:rsidRPr="00E16E22">
        <w:rPr>
          <w:rFonts w:ascii="StoneSansPl" w:hAnsi="StoneSansPl" w:cs="Arial"/>
          <w:sz w:val="22"/>
          <w:szCs w:val="22"/>
        </w:rPr>
        <w:t>nych wzrosła w 2016 roku o 30,5 proc.,</w:t>
      </w:r>
      <w:r w:rsidR="00836095" w:rsidRPr="00E16E22">
        <w:rPr>
          <w:rFonts w:ascii="StoneSansPl" w:hAnsi="StoneSansPl" w:cs="Arial"/>
          <w:sz w:val="22"/>
          <w:szCs w:val="22"/>
        </w:rPr>
        <w:t xml:space="preserve"> a z ubezpieczeń auto-casco o 24,9</w:t>
      </w:r>
      <w:r w:rsidR="00347106" w:rsidRPr="00E16E22">
        <w:rPr>
          <w:rFonts w:ascii="StoneSansPl" w:hAnsi="StoneSansPl" w:cs="Arial"/>
          <w:sz w:val="22"/>
          <w:szCs w:val="22"/>
        </w:rPr>
        <w:t xml:space="preserve"> proc</w:t>
      </w:r>
      <w:r w:rsidR="00836095" w:rsidRPr="00E16E22">
        <w:rPr>
          <w:rFonts w:ascii="StoneSansPl" w:hAnsi="StoneSansPl" w:cs="Arial"/>
          <w:sz w:val="22"/>
          <w:szCs w:val="22"/>
        </w:rPr>
        <w:t>. Równolegle ze wzrostem sprzedaży ubezpieczeń komunikacyjnych rośnie przypis z ubezpi</w:t>
      </w:r>
      <w:r w:rsidR="00D4255E" w:rsidRPr="00E16E22">
        <w:rPr>
          <w:rFonts w:ascii="StoneSansPl" w:hAnsi="StoneSansPl" w:cs="Arial"/>
          <w:sz w:val="22"/>
          <w:szCs w:val="22"/>
        </w:rPr>
        <w:t xml:space="preserve">eczeń </w:t>
      </w:r>
      <w:proofErr w:type="spellStart"/>
      <w:r w:rsidR="00D4255E" w:rsidRPr="00E16E22">
        <w:rPr>
          <w:rFonts w:ascii="StoneSansPl" w:hAnsi="StoneSansPl" w:cs="Arial"/>
          <w:sz w:val="22"/>
          <w:szCs w:val="22"/>
        </w:rPr>
        <w:t>assistance</w:t>
      </w:r>
      <w:proofErr w:type="spellEnd"/>
      <w:r w:rsidR="00D4255E" w:rsidRPr="00E16E22">
        <w:rPr>
          <w:rFonts w:ascii="StoneSansPl" w:hAnsi="StoneSansPl" w:cs="Arial"/>
          <w:sz w:val="22"/>
          <w:szCs w:val="22"/>
        </w:rPr>
        <w:t xml:space="preserve"> (wzrost o 36,7 proc.</w:t>
      </w:r>
      <w:r w:rsidR="00836095" w:rsidRPr="00E16E22">
        <w:rPr>
          <w:rFonts w:ascii="StoneSansPl" w:hAnsi="StoneSansPl" w:cs="Arial"/>
          <w:sz w:val="22"/>
          <w:szCs w:val="22"/>
        </w:rPr>
        <w:t xml:space="preserve">) oraz wypadkowych (wzrost o </w:t>
      </w:r>
      <w:r w:rsidR="00836095" w:rsidRPr="00E77F5B">
        <w:rPr>
          <w:rFonts w:ascii="StoneSansPl" w:hAnsi="StoneSansPl" w:cs="Arial"/>
          <w:sz w:val="22"/>
          <w:szCs w:val="22"/>
        </w:rPr>
        <w:t>6,</w:t>
      </w:r>
      <w:r w:rsidR="00FB7A09" w:rsidRPr="00E77F5B">
        <w:rPr>
          <w:rFonts w:ascii="StoneSansPl" w:hAnsi="StoneSansPl" w:cs="Arial"/>
          <w:sz w:val="22"/>
          <w:szCs w:val="22"/>
        </w:rPr>
        <w:t>7</w:t>
      </w:r>
      <w:r w:rsidR="00D4255E" w:rsidRPr="00E77F5B">
        <w:rPr>
          <w:rFonts w:ascii="StoneSansPl" w:hAnsi="StoneSansPl" w:cs="Arial"/>
          <w:sz w:val="22"/>
          <w:szCs w:val="22"/>
        </w:rPr>
        <w:t xml:space="preserve"> proc.</w:t>
      </w:r>
      <w:r w:rsidR="00836095" w:rsidRPr="00E77F5B">
        <w:rPr>
          <w:rFonts w:ascii="StoneSansPl" w:hAnsi="StoneSansPl" w:cs="Arial"/>
          <w:sz w:val="22"/>
          <w:szCs w:val="22"/>
        </w:rPr>
        <w:t>).</w:t>
      </w:r>
    </w:p>
    <w:p w:rsidR="00A25A60" w:rsidRPr="00E77F5B" w:rsidRDefault="00A25A60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505D8" w:rsidRPr="00E16E22" w:rsidRDefault="00836095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77F5B">
        <w:rPr>
          <w:rFonts w:ascii="StoneSansPl" w:hAnsi="StoneSansPl" w:cs="Arial"/>
          <w:sz w:val="22"/>
          <w:szCs w:val="22"/>
        </w:rPr>
        <w:t xml:space="preserve">W ubezpieczeniach majątkowych </w:t>
      </w:r>
      <w:r w:rsidR="00526AF1">
        <w:rPr>
          <w:rFonts w:ascii="StoneSansPl" w:hAnsi="StoneSansPl" w:cs="Arial"/>
          <w:sz w:val="22"/>
          <w:szCs w:val="22"/>
        </w:rPr>
        <w:t xml:space="preserve">- </w:t>
      </w:r>
      <w:r w:rsidRPr="00E77F5B">
        <w:rPr>
          <w:rFonts w:ascii="StoneSansPl" w:hAnsi="StoneSansPl" w:cs="Arial"/>
          <w:sz w:val="22"/>
          <w:szCs w:val="22"/>
        </w:rPr>
        <w:t>po słabym p</w:t>
      </w:r>
      <w:r w:rsidR="00D4255E" w:rsidRPr="00E77F5B">
        <w:rPr>
          <w:rFonts w:ascii="StoneSansPl" w:hAnsi="StoneSansPl" w:cs="Arial"/>
          <w:sz w:val="22"/>
          <w:szCs w:val="22"/>
        </w:rPr>
        <w:t xml:space="preserve">oczątku roku </w:t>
      </w:r>
      <w:r w:rsidR="00526AF1">
        <w:rPr>
          <w:rFonts w:ascii="StoneSansPl" w:hAnsi="StoneSansPl" w:cs="Arial"/>
          <w:sz w:val="22"/>
          <w:szCs w:val="22"/>
        </w:rPr>
        <w:t xml:space="preserve">- </w:t>
      </w:r>
      <w:r w:rsidR="00D4255E" w:rsidRPr="00E77F5B">
        <w:rPr>
          <w:rFonts w:ascii="StoneSansPl" w:hAnsi="StoneSansPl" w:cs="Arial"/>
          <w:sz w:val="22"/>
          <w:szCs w:val="22"/>
        </w:rPr>
        <w:t>w czwartym k</w:t>
      </w:r>
      <w:r w:rsidRPr="00E77F5B">
        <w:rPr>
          <w:rFonts w:ascii="StoneSansPl" w:hAnsi="StoneSansPl" w:cs="Arial"/>
          <w:sz w:val="22"/>
          <w:szCs w:val="22"/>
        </w:rPr>
        <w:t xml:space="preserve">wartale </w:t>
      </w:r>
      <w:r w:rsidR="00526AF1" w:rsidRPr="00E77F5B">
        <w:rPr>
          <w:rFonts w:ascii="StoneSansPl" w:hAnsi="StoneSansPl" w:cs="Arial"/>
          <w:sz w:val="22"/>
          <w:szCs w:val="22"/>
        </w:rPr>
        <w:t xml:space="preserve">UNIQA uzyskała </w:t>
      </w:r>
      <w:r w:rsidRPr="00E77F5B">
        <w:rPr>
          <w:rFonts w:ascii="StoneSansPl" w:hAnsi="StoneSansPl" w:cs="Arial"/>
          <w:sz w:val="22"/>
          <w:szCs w:val="22"/>
        </w:rPr>
        <w:t>wzrost na poziomie 7,</w:t>
      </w:r>
      <w:r w:rsidR="00FB7A09" w:rsidRPr="00E77F5B">
        <w:rPr>
          <w:rFonts w:ascii="StoneSansPl" w:hAnsi="StoneSansPl" w:cs="Arial"/>
          <w:sz w:val="22"/>
          <w:szCs w:val="22"/>
        </w:rPr>
        <w:t>4</w:t>
      </w:r>
      <w:r w:rsidR="00D4255E" w:rsidRPr="00E77F5B">
        <w:rPr>
          <w:rFonts w:ascii="StoneSansPl" w:hAnsi="StoneSansPl" w:cs="Arial"/>
          <w:sz w:val="22"/>
          <w:szCs w:val="22"/>
        </w:rPr>
        <w:t xml:space="preserve"> proc</w:t>
      </w:r>
      <w:r w:rsidRPr="00E16E22">
        <w:rPr>
          <w:rFonts w:ascii="StoneSansPl" w:hAnsi="StoneSansPl" w:cs="Arial"/>
          <w:sz w:val="22"/>
          <w:szCs w:val="22"/>
        </w:rPr>
        <w:t xml:space="preserve">. Dynamicznie rosnącą sprzedaż notuje </w:t>
      </w:r>
      <w:r w:rsidR="008505D8">
        <w:rPr>
          <w:rFonts w:ascii="StoneSansPl" w:hAnsi="StoneSansPl" w:cs="Arial"/>
          <w:sz w:val="22"/>
          <w:szCs w:val="22"/>
        </w:rPr>
        <w:t>wprowadzony w 2016 roku</w:t>
      </w:r>
      <w:r w:rsidRPr="00E16E22">
        <w:rPr>
          <w:rFonts w:ascii="StoneSansPl" w:hAnsi="StoneSansPl" w:cs="Arial"/>
          <w:sz w:val="22"/>
          <w:szCs w:val="22"/>
        </w:rPr>
        <w:t xml:space="preserve"> </w:t>
      </w:r>
      <w:r w:rsidR="008505D8">
        <w:rPr>
          <w:rFonts w:ascii="StoneSansPl" w:hAnsi="StoneSansPl" w:cs="Arial"/>
          <w:sz w:val="22"/>
          <w:szCs w:val="22"/>
        </w:rPr>
        <w:t>pakiet</w:t>
      </w:r>
      <w:r w:rsidRPr="00E16E22">
        <w:rPr>
          <w:rFonts w:ascii="StoneSansPl" w:hAnsi="StoneSansPl" w:cs="Arial"/>
          <w:sz w:val="22"/>
          <w:szCs w:val="22"/>
        </w:rPr>
        <w:t xml:space="preserve"> dla małych i średnich przedsiębiorstw</w:t>
      </w:r>
      <w:r w:rsidR="00D4255E" w:rsidRPr="00E16E22">
        <w:rPr>
          <w:rFonts w:ascii="StoneSansPl" w:hAnsi="StoneSansPl" w:cs="Arial"/>
          <w:sz w:val="22"/>
          <w:szCs w:val="22"/>
        </w:rPr>
        <w:t xml:space="preserve"> – Twój Biznes Plus, który w czwartym k</w:t>
      </w:r>
      <w:r w:rsidRPr="00E16E22">
        <w:rPr>
          <w:rFonts w:ascii="StoneSansPl" w:hAnsi="StoneSansPl" w:cs="Arial"/>
          <w:sz w:val="22"/>
          <w:szCs w:val="22"/>
        </w:rPr>
        <w:t>wartale 201</w:t>
      </w:r>
      <w:r w:rsidR="00D4255E" w:rsidRPr="00E16E22">
        <w:rPr>
          <w:rFonts w:ascii="StoneSansPl" w:hAnsi="StoneSansPl" w:cs="Arial"/>
          <w:sz w:val="22"/>
          <w:szCs w:val="22"/>
        </w:rPr>
        <w:t>6</w:t>
      </w:r>
      <w:r w:rsidRPr="00E16E22">
        <w:rPr>
          <w:rFonts w:ascii="StoneSansPl" w:hAnsi="StoneSansPl" w:cs="Arial"/>
          <w:sz w:val="22"/>
          <w:szCs w:val="22"/>
        </w:rPr>
        <w:t xml:space="preserve"> roku zanoto</w:t>
      </w:r>
      <w:r w:rsidR="00D4255E" w:rsidRPr="00E16E22">
        <w:rPr>
          <w:rFonts w:ascii="StoneSansPl" w:hAnsi="StoneSansPl" w:cs="Arial"/>
          <w:sz w:val="22"/>
          <w:szCs w:val="22"/>
        </w:rPr>
        <w:t xml:space="preserve">wał wzrost na poziomie </w:t>
      </w:r>
      <w:r w:rsidR="008505D8">
        <w:rPr>
          <w:rFonts w:ascii="StoneSansPl" w:hAnsi="StoneSansPl" w:cs="Arial"/>
          <w:sz w:val="22"/>
          <w:szCs w:val="22"/>
        </w:rPr>
        <w:t>prawie 40</w:t>
      </w:r>
      <w:r w:rsidR="00D4255E" w:rsidRPr="00E16E22">
        <w:rPr>
          <w:rFonts w:ascii="StoneSansPl" w:hAnsi="StoneSansPl" w:cs="Arial"/>
          <w:sz w:val="22"/>
          <w:szCs w:val="22"/>
        </w:rPr>
        <w:t xml:space="preserve"> proc</w:t>
      </w:r>
      <w:r w:rsidRPr="00E16E22">
        <w:rPr>
          <w:rFonts w:ascii="StoneSansPl" w:hAnsi="StoneSansPl" w:cs="Arial"/>
          <w:sz w:val="22"/>
          <w:szCs w:val="22"/>
        </w:rPr>
        <w:t>. Również sprzedaż ubezpieczeń</w:t>
      </w:r>
      <w:r w:rsidR="00D4255E" w:rsidRPr="00E16E22">
        <w:rPr>
          <w:rFonts w:ascii="StoneSansPl" w:hAnsi="StoneSansPl" w:cs="Arial"/>
          <w:sz w:val="22"/>
          <w:szCs w:val="22"/>
        </w:rPr>
        <w:t xml:space="preserve"> mieszkań rosła </w:t>
      </w:r>
      <w:r w:rsidR="00526AF1" w:rsidRPr="00E16E22">
        <w:rPr>
          <w:rFonts w:ascii="StoneSansPl" w:hAnsi="StoneSansPl" w:cs="Arial"/>
          <w:sz w:val="22"/>
          <w:szCs w:val="22"/>
        </w:rPr>
        <w:t xml:space="preserve">dynamicznie </w:t>
      </w:r>
      <w:r w:rsidR="00D4255E" w:rsidRPr="00E16E22">
        <w:rPr>
          <w:rFonts w:ascii="StoneSansPl" w:hAnsi="StoneSansPl" w:cs="Arial"/>
          <w:sz w:val="22"/>
          <w:szCs w:val="22"/>
        </w:rPr>
        <w:t xml:space="preserve">w czwartym </w:t>
      </w:r>
      <w:r w:rsidRPr="00E16E22">
        <w:rPr>
          <w:rFonts w:ascii="StoneSansPl" w:hAnsi="StoneSansPl" w:cs="Arial"/>
          <w:sz w:val="22"/>
          <w:szCs w:val="22"/>
        </w:rPr>
        <w:t xml:space="preserve">kwartale </w:t>
      </w:r>
      <w:r w:rsidR="008505D8">
        <w:rPr>
          <w:rFonts w:ascii="StoneSansPl" w:hAnsi="StoneSansPl" w:cs="Arial"/>
          <w:sz w:val="22"/>
          <w:szCs w:val="22"/>
        </w:rPr>
        <w:t xml:space="preserve">(o </w:t>
      </w:r>
      <w:r w:rsidR="00D4255E" w:rsidRPr="00E16E22">
        <w:rPr>
          <w:rFonts w:ascii="StoneSansPl" w:hAnsi="StoneSansPl" w:cs="Arial"/>
          <w:sz w:val="22"/>
          <w:szCs w:val="22"/>
        </w:rPr>
        <w:t>9,2 proc.</w:t>
      </w:r>
      <w:r w:rsidR="008505D8">
        <w:rPr>
          <w:rFonts w:ascii="StoneSansPl" w:hAnsi="StoneSansPl" w:cs="Arial"/>
          <w:sz w:val="22"/>
          <w:szCs w:val="22"/>
        </w:rPr>
        <w:t>). Z kolei n</w:t>
      </w:r>
      <w:r w:rsidRPr="008505D8">
        <w:rPr>
          <w:rFonts w:ascii="StoneSansPl" w:hAnsi="StoneSansPl" w:cs="Arial"/>
          <w:sz w:val="22"/>
          <w:szCs w:val="22"/>
        </w:rPr>
        <w:t xml:space="preserve">a dynamikę </w:t>
      </w:r>
      <w:r w:rsidR="004742B2" w:rsidRPr="008505D8">
        <w:rPr>
          <w:rFonts w:ascii="StoneSansPl" w:hAnsi="StoneSansPl" w:cs="Arial"/>
          <w:sz w:val="22"/>
          <w:szCs w:val="22"/>
        </w:rPr>
        <w:t xml:space="preserve">ubezpieczeń majątkowych korporacyjnych </w:t>
      </w:r>
      <w:r w:rsidRPr="008505D8">
        <w:rPr>
          <w:rFonts w:ascii="StoneSansPl" w:hAnsi="StoneSansPl" w:cs="Arial"/>
          <w:sz w:val="22"/>
          <w:szCs w:val="22"/>
        </w:rPr>
        <w:t xml:space="preserve">w całym 2016 roku wpłynął jednorazowy efekt związany z dwiema dużymi umowami budowlano-montażowymi, które podwyższały wysokość przypisu w roku 2015. </w:t>
      </w:r>
      <w:r w:rsidR="008505D8" w:rsidRPr="008505D8">
        <w:rPr>
          <w:rFonts w:ascii="StoneSansPl" w:hAnsi="StoneSansPl" w:cs="Arial"/>
          <w:sz w:val="22"/>
          <w:szCs w:val="22"/>
        </w:rPr>
        <w:t>Mimo tego faktu</w:t>
      </w:r>
      <w:r w:rsidR="008505D8" w:rsidRPr="008505D8">
        <w:rPr>
          <w:rFonts w:ascii="StoneSansPl" w:hAnsi="StoneSansPl"/>
          <w:sz w:val="22"/>
          <w:szCs w:val="22"/>
        </w:rPr>
        <w:t xml:space="preserve"> została wypracowana znacząca marża i to pomimo spadających</w:t>
      </w:r>
      <w:r w:rsidR="008505D8">
        <w:rPr>
          <w:rFonts w:ascii="StoneSansPl" w:hAnsi="StoneSansPl"/>
          <w:sz w:val="22"/>
          <w:szCs w:val="22"/>
        </w:rPr>
        <w:t xml:space="preserve"> </w:t>
      </w:r>
      <w:r w:rsidR="008505D8" w:rsidRPr="008505D8">
        <w:rPr>
          <w:rFonts w:ascii="StoneSansPl" w:hAnsi="StoneSansPl"/>
          <w:sz w:val="22"/>
          <w:szCs w:val="22"/>
        </w:rPr>
        <w:t xml:space="preserve">cen i zwiększającego </w:t>
      </w:r>
      <w:r w:rsidR="008505D8">
        <w:rPr>
          <w:rFonts w:ascii="StoneSansPl" w:hAnsi="StoneSansPl"/>
          <w:sz w:val="22"/>
          <w:szCs w:val="22"/>
        </w:rPr>
        <w:t>się zakresu ochrony</w:t>
      </w:r>
      <w:r w:rsidR="00526AF1">
        <w:rPr>
          <w:rFonts w:ascii="StoneSansPl" w:hAnsi="StoneSansPl"/>
          <w:sz w:val="22"/>
          <w:szCs w:val="22"/>
        </w:rPr>
        <w:t>,</w:t>
      </w:r>
      <w:r w:rsidR="008505D8">
        <w:rPr>
          <w:rFonts w:ascii="StoneSansPl" w:hAnsi="StoneSansPl"/>
          <w:sz w:val="22"/>
          <w:szCs w:val="22"/>
        </w:rPr>
        <w:t xml:space="preserve"> wynikających</w:t>
      </w:r>
      <w:r w:rsidR="008505D8" w:rsidRPr="008505D8">
        <w:rPr>
          <w:rFonts w:ascii="StoneSansPl" w:hAnsi="StoneSansPl"/>
          <w:sz w:val="22"/>
          <w:szCs w:val="22"/>
        </w:rPr>
        <w:t xml:space="preserve"> z wojny cenowej w ubezpieczeniach majątkowych niekomunikacyjnych.</w:t>
      </w:r>
      <w:r w:rsidR="00A25A60">
        <w:rPr>
          <w:rFonts w:ascii="StoneSansPl" w:hAnsi="StoneSansPl"/>
          <w:sz w:val="22"/>
          <w:szCs w:val="22"/>
        </w:rPr>
        <w:t xml:space="preserve"> </w:t>
      </w:r>
      <w:r w:rsidR="008505D8">
        <w:rPr>
          <w:rFonts w:ascii="StoneSansPl" w:hAnsi="StoneSansPl" w:cs="Arial"/>
          <w:sz w:val="22"/>
          <w:szCs w:val="22"/>
        </w:rPr>
        <w:t xml:space="preserve">UNIQA odnotowała </w:t>
      </w:r>
      <w:r w:rsidR="00A25A60">
        <w:rPr>
          <w:rFonts w:ascii="StoneSansPl" w:hAnsi="StoneSansPl" w:cs="Arial"/>
          <w:sz w:val="22"/>
          <w:szCs w:val="22"/>
        </w:rPr>
        <w:t>również</w:t>
      </w:r>
      <w:r w:rsidR="00526AF1">
        <w:rPr>
          <w:rFonts w:ascii="StoneSansPl" w:hAnsi="StoneSansPl" w:cs="Arial"/>
          <w:sz w:val="22"/>
          <w:szCs w:val="22"/>
        </w:rPr>
        <w:t>,</w:t>
      </w:r>
      <w:r w:rsidR="00A25A60">
        <w:rPr>
          <w:rFonts w:ascii="StoneSansPl" w:hAnsi="StoneSansPl" w:cs="Arial"/>
          <w:sz w:val="22"/>
          <w:szCs w:val="22"/>
        </w:rPr>
        <w:t xml:space="preserve"> </w:t>
      </w:r>
      <w:r w:rsidR="008505D8">
        <w:rPr>
          <w:rFonts w:ascii="StoneSansPl" w:hAnsi="StoneSansPl" w:cs="Arial"/>
          <w:sz w:val="22"/>
          <w:szCs w:val="22"/>
        </w:rPr>
        <w:t>kolejny rok</w:t>
      </w:r>
      <w:r w:rsidR="00526AF1">
        <w:rPr>
          <w:rFonts w:ascii="StoneSansPl" w:hAnsi="StoneSansPl" w:cs="Arial"/>
          <w:sz w:val="22"/>
          <w:szCs w:val="22"/>
        </w:rPr>
        <w:t xml:space="preserve"> z</w:t>
      </w:r>
      <w:r w:rsidR="008505D8">
        <w:rPr>
          <w:rFonts w:ascii="StoneSansPl" w:hAnsi="StoneSansPl" w:cs="Arial"/>
          <w:sz w:val="22"/>
          <w:szCs w:val="22"/>
        </w:rPr>
        <w:t xml:space="preserve"> rzędu</w:t>
      </w:r>
      <w:r w:rsidR="00526AF1">
        <w:rPr>
          <w:rFonts w:ascii="StoneSansPl" w:hAnsi="StoneSansPl" w:cs="Arial"/>
          <w:sz w:val="22"/>
          <w:szCs w:val="22"/>
        </w:rPr>
        <w:t>,</w:t>
      </w:r>
      <w:r w:rsidR="008505D8">
        <w:rPr>
          <w:rFonts w:ascii="StoneSansPl" w:hAnsi="StoneSansPl" w:cs="Arial"/>
          <w:sz w:val="22"/>
          <w:szCs w:val="22"/>
        </w:rPr>
        <w:t xml:space="preserve"> </w:t>
      </w:r>
      <w:r w:rsidR="00526AF1">
        <w:rPr>
          <w:rFonts w:ascii="StoneSansPl" w:hAnsi="StoneSansPl" w:cs="Arial"/>
          <w:sz w:val="22"/>
          <w:szCs w:val="22"/>
        </w:rPr>
        <w:t xml:space="preserve">5-proc. </w:t>
      </w:r>
      <w:r w:rsidR="008505D8">
        <w:rPr>
          <w:rFonts w:ascii="StoneSansPl" w:hAnsi="StoneSansPl" w:cs="Arial"/>
          <w:sz w:val="22"/>
          <w:szCs w:val="22"/>
        </w:rPr>
        <w:t>wzrost w segmencie ubezpieczeń dla spółdzielni i wspólnot mieszkaniowych</w:t>
      </w:r>
      <w:r w:rsidR="00526AF1">
        <w:rPr>
          <w:rFonts w:ascii="StoneSansPl" w:hAnsi="StoneSansPl" w:cs="Arial"/>
          <w:sz w:val="22"/>
          <w:szCs w:val="22"/>
        </w:rPr>
        <w:t>, w którym jest niekwestionowanym liderem.</w:t>
      </w:r>
    </w:p>
    <w:p w:rsidR="004742B2" w:rsidRPr="00E16E22" w:rsidRDefault="004742B2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4742B2" w:rsidRDefault="004742B2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 xml:space="preserve">- </w:t>
      </w:r>
      <w:r w:rsidR="00836095" w:rsidRPr="00E16E22">
        <w:rPr>
          <w:rFonts w:ascii="StoneSansPl" w:hAnsi="StoneSansPl" w:cs="Arial"/>
          <w:i/>
          <w:sz w:val="22"/>
          <w:szCs w:val="22"/>
        </w:rPr>
        <w:t>W dalszym ciągu UNIQA - podobnie jak cały rynek - musi mierzyć się z problemem rosnącego poziomu średniej szkody rzeczowej w komunikacj</w:t>
      </w:r>
      <w:r w:rsidRPr="00E16E22">
        <w:rPr>
          <w:rFonts w:ascii="StoneSansPl" w:hAnsi="StoneSansPl" w:cs="Arial"/>
          <w:i/>
          <w:sz w:val="22"/>
          <w:szCs w:val="22"/>
        </w:rPr>
        <w:t>i</w:t>
      </w:r>
      <w:r w:rsidR="003C68EE">
        <w:rPr>
          <w:rFonts w:ascii="StoneSansPl" w:hAnsi="StoneSansPl" w:cs="Arial"/>
          <w:i/>
          <w:sz w:val="22"/>
          <w:szCs w:val="22"/>
        </w:rPr>
        <w:t>.</w:t>
      </w:r>
      <w:r w:rsidR="009E4BB6">
        <w:rPr>
          <w:rFonts w:ascii="StoneSansPl" w:hAnsi="StoneSansPl" w:cs="Arial"/>
          <w:i/>
          <w:sz w:val="22"/>
          <w:szCs w:val="22"/>
        </w:rPr>
        <w:t xml:space="preserve"> Rośnie także liczba szkód osobowych zgłaszanych zarówno z nowego portfela, jak i historycznego</w:t>
      </w:r>
      <w:r w:rsidR="00824415">
        <w:rPr>
          <w:rFonts w:ascii="StoneSansPl" w:hAnsi="StoneSansPl" w:cs="Arial"/>
          <w:i/>
          <w:sz w:val="22"/>
          <w:szCs w:val="22"/>
        </w:rPr>
        <w:t xml:space="preserve"> -</w:t>
      </w:r>
      <w:r w:rsidR="009E4BB6">
        <w:rPr>
          <w:rFonts w:ascii="StoneSansPl" w:hAnsi="StoneSansPl" w:cs="Arial"/>
          <w:i/>
          <w:sz w:val="22"/>
          <w:szCs w:val="22"/>
        </w:rPr>
        <w:t xml:space="preserve"> do 20 lat wstecz, co dziś umożliwia prawo. </w:t>
      </w:r>
      <w:r w:rsidR="00836095" w:rsidRPr="00E16E22">
        <w:rPr>
          <w:rFonts w:ascii="StoneSansPl" w:hAnsi="StoneSansPl" w:cs="Arial"/>
          <w:i/>
          <w:sz w:val="22"/>
          <w:szCs w:val="22"/>
        </w:rPr>
        <w:t>Te czynniki negatywnie wpływają na poziom szkodowości i w znacznym stopniu „konsumują” pozytywny wpływ rosnących cen na wynik techniczny ub</w:t>
      </w:r>
      <w:r w:rsidRPr="00E16E22">
        <w:rPr>
          <w:rFonts w:ascii="StoneSansPl" w:hAnsi="StoneSansPl" w:cs="Arial"/>
          <w:i/>
          <w:sz w:val="22"/>
          <w:szCs w:val="22"/>
        </w:rPr>
        <w:t>ezpieczeń komunikacyjnych</w:t>
      </w:r>
      <w:r w:rsidRPr="00E16E22">
        <w:rPr>
          <w:rFonts w:ascii="StoneSansPl" w:hAnsi="StoneSansPl" w:cs="Arial"/>
          <w:sz w:val="22"/>
          <w:szCs w:val="22"/>
        </w:rPr>
        <w:t xml:space="preserve"> – mówi Jarosław Matusiewicz.</w:t>
      </w:r>
    </w:p>
    <w:p w:rsidR="004742B2" w:rsidRPr="00E16E22" w:rsidRDefault="004742B2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9E5056" w:rsidRPr="008505D8" w:rsidRDefault="00836095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>Rosnący poziom odszkodowań w ubezpieczeniach komunikacyjnych był głównym czynnikiem decydującym o pogors</w:t>
      </w:r>
      <w:r w:rsidR="00643FB7" w:rsidRPr="00E16E22">
        <w:rPr>
          <w:rFonts w:ascii="StoneSansPl" w:hAnsi="StoneSansPl" w:cs="Arial"/>
          <w:sz w:val="22"/>
          <w:szCs w:val="22"/>
        </w:rPr>
        <w:t xml:space="preserve">zeniu wyników finansowych UNIQA. </w:t>
      </w:r>
      <w:r w:rsidRPr="00E16E22">
        <w:rPr>
          <w:rFonts w:ascii="StoneSansPl" w:hAnsi="StoneSansPl" w:cs="Arial"/>
          <w:sz w:val="22"/>
          <w:szCs w:val="22"/>
        </w:rPr>
        <w:t xml:space="preserve">Zysk finansowy brutto za rok 2016 liczony </w:t>
      </w:r>
      <w:r w:rsidR="00643FB7" w:rsidRPr="00E16E22">
        <w:rPr>
          <w:rFonts w:ascii="StoneSansPl" w:hAnsi="StoneSansPl" w:cs="Arial"/>
          <w:sz w:val="22"/>
          <w:szCs w:val="22"/>
        </w:rPr>
        <w:t xml:space="preserve">według międzynarodowych standardów rachunkowości </w:t>
      </w:r>
      <w:r w:rsidRPr="00E16E22">
        <w:rPr>
          <w:rFonts w:ascii="StoneSansPl" w:hAnsi="StoneSansPl" w:cs="Arial"/>
          <w:sz w:val="22"/>
          <w:szCs w:val="22"/>
        </w:rPr>
        <w:t xml:space="preserve">wyniósł 19,4 mln zł </w:t>
      </w:r>
      <w:r w:rsidR="00643FB7" w:rsidRPr="00E16E22">
        <w:rPr>
          <w:rFonts w:ascii="StoneSansPl" w:hAnsi="StoneSansPl" w:cs="Arial"/>
          <w:sz w:val="22"/>
          <w:szCs w:val="22"/>
        </w:rPr>
        <w:t xml:space="preserve">i </w:t>
      </w:r>
      <w:r w:rsidRPr="00E16E22">
        <w:rPr>
          <w:rFonts w:ascii="StoneSansPl" w:hAnsi="StoneSansPl" w:cs="Arial"/>
          <w:sz w:val="22"/>
          <w:szCs w:val="22"/>
        </w:rPr>
        <w:t>był niższy od wyniku uzyskanego rok wcześniej (</w:t>
      </w:r>
      <w:r w:rsidR="00643FB7" w:rsidRPr="00E16E22">
        <w:rPr>
          <w:rFonts w:ascii="StoneSansPl" w:hAnsi="StoneSansPl" w:cs="Arial"/>
          <w:sz w:val="22"/>
          <w:szCs w:val="22"/>
        </w:rPr>
        <w:t xml:space="preserve">I-XII 2015: </w:t>
      </w:r>
      <w:r w:rsidRPr="00E16E22">
        <w:rPr>
          <w:rFonts w:ascii="StoneSansPl" w:hAnsi="StoneSansPl" w:cs="Arial"/>
          <w:sz w:val="22"/>
          <w:szCs w:val="22"/>
        </w:rPr>
        <w:t>60,1 mln zł).</w:t>
      </w:r>
      <w:r w:rsidR="00643FB7" w:rsidRPr="00E16E22">
        <w:rPr>
          <w:rFonts w:ascii="StoneSansPl" w:hAnsi="StoneSansPl" w:cs="Arial"/>
          <w:sz w:val="22"/>
          <w:szCs w:val="22"/>
        </w:rPr>
        <w:t xml:space="preserve"> </w:t>
      </w:r>
      <w:r w:rsidRPr="00E16E22">
        <w:rPr>
          <w:rFonts w:ascii="StoneSansPl" w:hAnsi="StoneSansPl" w:cs="Arial"/>
          <w:sz w:val="22"/>
          <w:szCs w:val="22"/>
        </w:rPr>
        <w:t xml:space="preserve">Zysk po opodatkowaniu </w:t>
      </w:r>
      <w:r w:rsidR="00643FB7" w:rsidRPr="00E16E22">
        <w:rPr>
          <w:rFonts w:ascii="StoneSansPl" w:hAnsi="StoneSansPl" w:cs="Arial"/>
          <w:sz w:val="22"/>
          <w:szCs w:val="22"/>
        </w:rPr>
        <w:t>wyniósł 13,7 ml zł, wobec 48,4 mln zł osiągniętego</w:t>
      </w:r>
      <w:r w:rsidRPr="00E16E22">
        <w:rPr>
          <w:rFonts w:ascii="StoneSansPl" w:hAnsi="StoneSansPl" w:cs="Arial"/>
          <w:sz w:val="22"/>
          <w:szCs w:val="22"/>
        </w:rPr>
        <w:t xml:space="preserve"> rok wcześniej.</w:t>
      </w:r>
    </w:p>
    <w:p w:rsidR="009E5056" w:rsidRPr="00E16E22" w:rsidRDefault="009E5056" w:rsidP="008505D8">
      <w:pPr>
        <w:spacing w:line="276" w:lineRule="auto"/>
        <w:jc w:val="both"/>
        <w:rPr>
          <w:rFonts w:ascii="StoneSansPl" w:hAnsi="StoneSansPl" w:cs="Arial"/>
          <w:b/>
          <w:color w:val="FF0000"/>
          <w:sz w:val="22"/>
          <w:szCs w:val="22"/>
          <w:u w:val="single"/>
        </w:rPr>
      </w:pPr>
    </w:p>
    <w:p w:rsidR="009E5056" w:rsidRPr="00E16E22" w:rsidRDefault="009E5056" w:rsidP="008505D8">
      <w:pPr>
        <w:spacing w:line="276" w:lineRule="auto"/>
        <w:jc w:val="both"/>
        <w:rPr>
          <w:rFonts w:ascii="StoneSansPl" w:hAnsi="StoneSansPl" w:cs="Arial"/>
          <w:b/>
          <w:color w:val="FF0000"/>
          <w:sz w:val="22"/>
          <w:szCs w:val="22"/>
          <w:u w:val="single"/>
        </w:rPr>
      </w:pPr>
    </w:p>
    <w:p w:rsidR="00836095" w:rsidRPr="00E16E22" w:rsidRDefault="00836095" w:rsidP="008505D8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  <w:r w:rsidRPr="00E16E22">
        <w:rPr>
          <w:rFonts w:ascii="StoneSansPl" w:hAnsi="StoneSansPl" w:cs="Arial"/>
          <w:b/>
          <w:sz w:val="22"/>
          <w:szCs w:val="22"/>
        </w:rPr>
        <w:t xml:space="preserve">UNIQA </w:t>
      </w:r>
      <w:r w:rsidR="008E2D68" w:rsidRPr="00E16E22">
        <w:rPr>
          <w:rFonts w:ascii="StoneSansPl" w:hAnsi="StoneSansPl" w:cs="Arial"/>
          <w:b/>
          <w:sz w:val="22"/>
          <w:szCs w:val="22"/>
        </w:rPr>
        <w:t>Towarzystwo Ubezpieczeń na Życie</w:t>
      </w:r>
    </w:p>
    <w:p w:rsidR="008E2D68" w:rsidRPr="00E16E22" w:rsidRDefault="008E2D68" w:rsidP="008505D8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:rsidR="00836095" w:rsidRPr="00E16E22" w:rsidRDefault="00E2252F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 xml:space="preserve">Życiowa spółka UNIQA </w:t>
      </w:r>
      <w:r w:rsidR="00836095" w:rsidRPr="00E16E22">
        <w:rPr>
          <w:rFonts w:ascii="StoneSansPl" w:hAnsi="StoneSansPl" w:cs="Arial"/>
          <w:sz w:val="22"/>
          <w:szCs w:val="22"/>
        </w:rPr>
        <w:t>dynamicznie rozwijała sprzedaż produktów zarówno ze składką regularną</w:t>
      </w:r>
      <w:r w:rsidR="004344AF">
        <w:rPr>
          <w:rFonts w:ascii="StoneSansPl" w:hAnsi="StoneSansPl" w:cs="Arial"/>
          <w:sz w:val="22"/>
          <w:szCs w:val="22"/>
        </w:rPr>
        <w:t>,</w:t>
      </w:r>
      <w:r w:rsidR="00836095" w:rsidRPr="00E16E22">
        <w:rPr>
          <w:rFonts w:ascii="StoneSansPl" w:hAnsi="StoneSansPl" w:cs="Arial"/>
          <w:sz w:val="22"/>
          <w:szCs w:val="22"/>
        </w:rPr>
        <w:t xml:space="preserve"> jak i ze składką jednorazową</w:t>
      </w:r>
      <w:r w:rsidRPr="00E16E22">
        <w:rPr>
          <w:rFonts w:ascii="StoneSansPl" w:hAnsi="StoneSansPl" w:cs="Arial"/>
          <w:sz w:val="22"/>
          <w:szCs w:val="22"/>
        </w:rPr>
        <w:t xml:space="preserve"> w 2016 roku</w:t>
      </w:r>
      <w:r w:rsidR="00836095" w:rsidRPr="00E16E22">
        <w:rPr>
          <w:rFonts w:ascii="StoneSansPl" w:hAnsi="StoneSansPl" w:cs="Arial"/>
          <w:sz w:val="22"/>
          <w:szCs w:val="22"/>
        </w:rPr>
        <w:t>. Łączna wartość składki przypisanej w 2016 roku wyniosła 329,3 mln zł i była ponad dwukrotnie wyższa niż rok wcześniej (</w:t>
      </w:r>
      <w:r w:rsidRPr="00E16E22">
        <w:rPr>
          <w:rFonts w:ascii="StoneSansPl" w:hAnsi="StoneSansPl" w:cs="Arial"/>
          <w:sz w:val="22"/>
          <w:szCs w:val="22"/>
        </w:rPr>
        <w:t xml:space="preserve">I-XII </w:t>
      </w:r>
      <w:r w:rsidR="00836095" w:rsidRPr="00E16E22">
        <w:rPr>
          <w:rFonts w:ascii="StoneSansPl" w:hAnsi="StoneSansPl" w:cs="Arial"/>
          <w:sz w:val="22"/>
          <w:szCs w:val="22"/>
        </w:rPr>
        <w:t>2015: 141,7 mln zł).</w:t>
      </w:r>
      <w:r w:rsidRPr="00E16E22">
        <w:rPr>
          <w:rFonts w:ascii="StoneSansPl" w:hAnsi="StoneSansPl" w:cs="Arial"/>
          <w:sz w:val="22"/>
          <w:szCs w:val="22"/>
        </w:rPr>
        <w:t xml:space="preserve"> </w:t>
      </w:r>
      <w:r w:rsidR="00836095" w:rsidRPr="00E16E22">
        <w:rPr>
          <w:rFonts w:ascii="StoneSansPl" w:hAnsi="StoneSansPl" w:cs="Arial"/>
          <w:sz w:val="22"/>
          <w:szCs w:val="22"/>
        </w:rPr>
        <w:t xml:space="preserve">Wartość </w:t>
      </w:r>
      <w:r w:rsidRPr="00E16E22">
        <w:rPr>
          <w:rFonts w:ascii="StoneSansPl" w:hAnsi="StoneSansPl" w:cs="Arial"/>
          <w:sz w:val="22"/>
          <w:szCs w:val="22"/>
        </w:rPr>
        <w:t xml:space="preserve">uzyskanej </w:t>
      </w:r>
      <w:r w:rsidR="00836095" w:rsidRPr="00E16E22">
        <w:rPr>
          <w:rFonts w:ascii="StoneSansPl" w:hAnsi="StoneSansPl" w:cs="Arial"/>
          <w:sz w:val="22"/>
          <w:szCs w:val="22"/>
        </w:rPr>
        <w:t>składki regularnej wyniosła 116,5 mln zł i była o 7,2% wyższa w porównaniu z analogicznym okresem 2015 roku. Wzrost można zaobserwować w przypadku wszystkich kluczowych</w:t>
      </w:r>
      <w:r w:rsidRPr="00E16E22">
        <w:rPr>
          <w:rFonts w:ascii="StoneSansPl" w:hAnsi="StoneSansPl" w:cs="Arial"/>
          <w:sz w:val="22"/>
          <w:szCs w:val="22"/>
        </w:rPr>
        <w:t xml:space="preserve"> linii produktowych, w tym 16,6-proc.</w:t>
      </w:r>
      <w:r w:rsidR="00836095" w:rsidRPr="00E16E22">
        <w:rPr>
          <w:rFonts w:ascii="StoneSansPl" w:hAnsi="StoneSansPl" w:cs="Arial"/>
          <w:sz w:val="22"/>
          <w:szCs w:val="22"/>
        </w:rPr>
        <w:t xml:space="preserve"> wzrost dla indywidualnych ubezp</w:t>
      </w:r>
      <w:r w:rsidRPr="00E16E22">
        <w:rPr>
          <w:rFonts w:ascii="StoneSansPl" w:hAnsi="StoneSansPl" w:cs="Arial"/>
          <w:sz w:val="22"/>
          <w:szCs w:val="22"/>
        </w:rPr>
        <w:t>ieczeń na życie</w:t>
      </w:r>
      <w:r w:rsidR="004344AF">
        <w:rPr>
          <w:rFonts w:ascii="StoneSansPl" w:hAnsi="StoneSansPl" w:cs="Arial"/>
          <w:sz w:val="22"/>
          <w:szCs w:val="22"/>
        </w:rPr>
        <w:t>,</w:t>
      </w:r>
      <w:r w:rsidRPr="00E16E22">
        <w:rPr>
          <w:rFonts w:ascii="StoneSansPl" w:hAnsi="StoneSansPl" w:cs="Arial"/>
          <w:sz w:val="22"/>
          <w:szCs w:val="22"/>
        </w:rPr>
        <w:t xml:space="preserve"> jak również 8,6-proc.</w:t>
      </w:r>
      <w:r w:rsidR="00836095" w:rsidRPr="00E16E22">
        <w:rPr>
          <w:rFonts w:ascii="StoneSansPl" w:hAnsi="StoneSansPl" w:cs="Arial"/>
          <w:sz w:val="22"/>
          <w:szCs w:val="22"/>
        </w:rPr>
        <w:t xml:space="preserve"> wzrost sprzedaży grupowych ubezpieczeń pracowniczych.</w:t>
      </w:r>
      <w:r w:rsidRPr="00E16E22">
        <w:rPr>
          <w:rFonts w:ascii="StoneSansPl" w:hAnsi="StoneSansPl" w:cs="Arial"/>
          <w:sz w:val="22"/>
          <w:szCs w:val="22"/>
        </w:rPr>
        <w:t xml:space="preserve"> </w:t>
      </w:r>
      <w:r w:rsidR="00836095" w:rsidRPr="00E16E22">
        <w:rPr>
          <w:rFonts w:ascii="StoneSansPl" w:hAnsi="StoneSansPl" w:cs="Arial"/>
          <w:sz w:val="22"/>
          <w:szCs w:val="22"/>
        </w:rPr>
        <w:t>Produkty ze składką</w:t>
      </w:r>
      <w:r w:rsidRPr="00E16E22">
        <w:rPr>
          <w:rFonts w:ascii="StoneSansPl" w:hAnsi="StoneSansPl" w:cs="Arial"/>
          <w:sz w:val="22"/>
          <w:szCs w:val="22"/>
        </w:rPr>
        <w:t xml:space="preserve"> jednorazową przyniosły spółce </w:t>
      </w:r>
      <w:r w:rsidR="00836095" w:rsidRPr="00E16E22">
        <w:rPr>
          <w:rFonts w:ascii="StoneSansPl" w:hAnsi="StoneSansPl" w:cs="Arial"/>
          <w:sz w:val="22"/>
          <w:szCs w:val="22"/>
        </w:rPr>
        <w:t>w 2016 roku 212,8 mln zł przypisu</w:t>
      </w:r>
      <w:r w:rsidRPr="00E16E22">
        <w:rPr>
          <w:rFonts w:ascii="StoneSansPl" w:hAnsi="StoneSansPl" w:cs="Arial"/>
          <w:sz w:val="22"/>
          <w:szCs w:val="22"/>
        </w:rPr>
        <w:t>,</w:t>
      </w:r>
      <w:r w:rsidR="00836095" w:rsidRPr="00E16E22">
        <w:rPr>
          <w:rFonts w:ascii="StoneSansPl" w:hAnsi="StoneSansPl" w:cs="Arial"/>
          <w:sz w:val="22"/>
          <w:szCs w:val="22"/>
        </w:rPr>
        <w:t xml:space="preserve"> wobec 33,0 mln zł </w:t>
      </w:r>
      <w:r w:rsidRPr="00E16E22">
        <w:rPr>
          <w:rFonts w:ascii="StoneSansPl" w:hAnsi="StoneSansPl" w:cs="Arial"/>
          <w:sz w:val="22"/>
          <w:szCs w:val="22"/>
        </w:rPr>
        <w:t>rok wcześniej.</w:t>
      </w:r>
    </w:p>
    <w:p w:rsidR="009E5056" w:rsidRPr="00E16E22" w:rsidRDefault="009E5056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B71EFA" w:rsidRPr="00E16E22" w:rsidRDefault="009E5056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>-</w:t>
      </w:r>
      <w:r w:rsidRPr="00E16E22">
        <w:rPr>
          <w:rFonts w:ascii="StoneSansPl" w:hAnsi="StoneSansPl" w:cs="Arial"/>
          <w:i/>
          <w:sz w:val="22"/>
          <w:szCs w:val="22"/>
        </w:rPr>
        <w:t xml:space="preserve"> W ubiegłym roku </w:t>
      </w:r>
      <w:r w:rsidR="00B71EFA" w:rsidRPr="00E16E22">
        <w:rPr>
          <w:rFonts w:ascii="StoneSansPl" w:hAnsi="StoneSansPl" w:cs="Arial"/>
          <w:i/>
          <w:sz w:val="22"/>
          <w:szCs w:val="22"/>
        </w:rPr>
        <w:t>wprowadziliśmy ubezpieczenie unit-</w:t>
      </w:r>
      <w:proofErr w:type="spellStart"/>
      <w:r w:rsidR="00B71EFA" w:rsidRPr="00E16E22">
        <w:rPr>
          <w:rFonts w:ascii="StoneSansPl" w:hAnsi="StoneSansPl" w:cs="Arial"/>
          <w:i/>
          <w:sz w:val="22"/>
          <w:szCs w:val="22"/>
        </w:rPr>
        <w:t>linked</w:t>
      </w:r>
      <w:proofErr w:type="spellEnd"/>
      <w:r w:rsidR="00B71EFA" w:rsidRPr="00E16E22">
        <w:rPr>
          <w:rFonts w:ascii="StoneSansPl" w:hAnsi="StoneSansPl" w:cs="Arial"/>
          <w:i/>
          <w:sz w:val="22"/>
          <w:szCs w:val="22"/>
        </w:rPr>
        <w:t xml:space="preserve"> </w:t>
      </w:r>
      <w:proofErr w:type="spellStart"/>
      <w:r w:rsidR="00B71EFA" w:rsidRPr="00E16E22">
        <w:rPr>
          <w:rFonts w:ascii="StoneSansPl" w:hAnsi="StoneSansPl" w:cs="Arial"/>
          <w:i/>
          <w:sz w:val="22"/>
          <w:szCs w:val="22"/>
        </w:rPr>
        <w:t>UNIQAtowa</w:t>
      </w:r>
      <w:proofErr w:type="spellEnd"/>
      <w:r w:rsidR="00B71EFA" w:rsidRPr="00E16E22">
        <w:rPr>
          <w:rFonts w:ascii="StoneSansPl" w:hAnsi="StoneSansPl" w:cs="Arial"/>
          <w:i/>
          <w:sz w:val="22"/>
          <w:szCs w:val="22"/>
        </w:rPr>
        <w:t xml:space="preserve"> Strategia</w:t>
      </w:r>
      <w:r w:rsidR="00AC365E" w:rsidRPr="00E16E22">
        <w:rPr>
          <w:rFonts w:ascii="StoneSansPl" w:hAnsi="StoneSansPl" w:cs="Arial"/>
          <w:i/>
          <w:sz w:val="22"/>
          <w:szCs w:val="22"/>
        </w:rPr>
        <w:t>, które oferowane jest przez doradców Raiffeisen Banku</w:t>
      </w:r>
      <w:r w:rsidR="00B71EFA" w:rsidRPr="00E16E22">
        <w:rPr>
          <w:rFonts w:ascii="StoneSansPl" w:hAnsi="StoneSansPl" w:cs="Arial"/>
          <w:i/>
          <w:sz w:val="22"/>
          <w:szCs w:val="22"/>
        </w:rPr>
        <w:t xml:space="preserve">. Ubezpieczenie </w:t>
      </w:r>
      <w:r w:rsidR="00AC365E" w:rsidRPr="00E16E22">
        <w:rPr>
          <w:rFonts w:ascii="StoneSansPl" w:hAnsi="StoneSansPl" w:cs="Arial"/>
          <w:i/>
          <w:sz w:val="22"/>
          <w:szCs w:val="22"/>
        </w:rPr>
        <w:t>spotkało się z dużym zainteresowaniem klientów</w:t>
      </w:r>
      <w:r w:rsidR="004344AF">
        <w:rPr>
          <w:rFonts w:ascii="StoneSansPl" w:hAnsi="StoneSansPl" w:cs="Arial"/>
          <w:i/>
          <w:sz w:val="22"/>
          <w:szCs w:val="22"/>
        </w:rPr>
        <w:t xml:space="preserve"> – m.in. ze względu na </w:t>
      </w:r>
      <w:r w:rsidR="00AC365E" w:rsidRPr="00E16E22">
        <w:rPr>
          <w:rFonts w:ascii="StoneSansPl" w:hAnsi="StoneSansPl" w:cs="Arial"/>
          <w:i/>
          <w:sz w:val="22"/>
          <w:szCs w:val="22"/>
        </w:rPr>
        <w:t xml:space="preserve">jego </w:t>
      </w:r>
      <w:r w:rsidR="004344AF">
        <w:rPr>
          <w:rFonts w:ascii="StoneSansPl" w:hAnsi="StoneSansPl" w:cs="Arial"/>
          <w:i/>
          <w:sz w:val="22"/>
          <w:szCs w:val="22"/>
        </w:rPr>
        <w:t xml:space="preserve">atrakcyjną </w:t>
      </w:r>
      <w:r w:rsidR="00AC365E" w:rsidRPr="00E16E22">
        <w:rPr>
          <w:rFonts w:ascii="StoneSansPl" w:hAnsi="StoneSansPl" w:cs="Arial"/>
          <w:i/>
          <w:sz w:val="22"/>
          <w:szCs w:val="22"/>
        </w:rPr>
        <w:t>konstrukcj</w:t>
      </w:r>
      <w:r w:rsidR="004344AF">
        <w:rPr>
          <w:rFonts w:ascii="StoneSansPl" w:hAnsi="StoneSansPl" w:cs="Arial"/>
          <w:i/>
          <w:sz w:val="22"/>
          <w:szCs w:val="22"/>
        </w:rPr>
        <w:t>ę</w:t>
      </w:r>
      <w:r w:rsidR="00AC365E" w:rsidRPr="00E16E22">
        <w:rPr>
          <w:rFonts w:ascii="StoneSansPl" w:hAnsi="StoneSansPl" w:cs="Arial"/>
          <w:i/>
          <w:sz w:val="22"/>
          <w:szCs w:val="22"/>
        </w:rPr>
        <w:t xml:space="preserve">. </w:t>
      </w:r>
      <w:r w:rsidR="00E16E22">
        <w:rPr>
          <w:rFonts w:ascii="StoneSansPl" w:hAnsi="StoneSansPl" w:cs="Arial"/>
          <w:i/>
          <w:sz w:val="22"/>
          <w:szCs w:val="22"/>
        </w:rPr>
        <w:t xml:space="preserve">W ubezpieczeniu nie ma zaszytej </w:t>
      </w:r>
      <w:r w:rsidR="00AC365E" w:rsidRPr="00E16E22">
        <w:rPr>
          <w:rFonts w:ascii="StoneSansPl" w:hAnsi="StoneSansPl" w:cs="Arial"/>
          <w:i/>
          <w:sz w:val="22"/>
          <w:szCs w:val="22"/>
        </w:rPr>
        <w:t xml:space="preserve">opłaty likwidacyjnej, </w:t>
      </w:r>
      <w:r w:rsidR="004344AF">
        <w:rPr>
          <w:rFonts w:ascii="StoneSansPl" w:hAnsi="StoneSansPl" w:cs="Arial"/>
          <w:i/>
          <w:sz w:val="22"/>
          <w:szCs w:val="22"/>
        </w:rPr>
        <w:t xml:space="preserve">a </w:t>
      </w:r>
      <w:r w:rsidR="00AC365E" w:rsidRPr="00E16E22">
        <w:rPr>
          <w:rFonts w:ascii="StoneSansPl" w:hAnsi="StoneSansPl" w:cs="Arial"/>
          <w:i/>
          <w:sz w:val="22"/>
          <w:szCs w:val="22"/>
        </w:rPr>
        <w:t xml:space="preserve">do tego </w:t>
      </w:r>
      <w:r w:rsidR="004344AF" w:rsidRPr="00E16E22">
        <w:rPr>
          <w:rFonts w:ascii="StoneSansPl" w:hAnsi="StoneSansPl" w:cs="Arial"/>
          <w:i/>
          <w:sz w:val="22"/>
          <w:szCs w:val="22"/>
        </w:rPr>
        <w:t xml:space="preserve">koszt ochrony ubezpieczeniowej </w:t>
      </w:r>
      <w:r w:rsidR="004344AF">
        <w:rPr>
          <w:rFonts w:ascii="StoneSansPl" w:hAnsi="StoneSansPl" w:cs="Arial"/>
          <w:i/>
          <w:sz w:val="22"/>
          <w:szCs w:val="22"/>
        </w:rPr>
        <w:t xml:space="preserve">jest </w:t>
      </w:r>
      <w:r w:rsidR="00AC365E" w:rsidRPr="00E16E22">
        <w:rPr>
          <w:rFonts w:ascii="StoneSansPl" w:hAnsi="StoneSansPl" w:cs="Arial"/>
          <w:i/>
          <w:sz w:val="22"/>
          <w:szCs w:val="22"/>
        </w:rPr>
        <w:t>niski</w:t>
      </w:r>
      <w:r w:rsidR="004344AF">
        <w:rPr>
          <w:rFonts w:ascii="StoneSansPl" w:hAnsi="StoneSansPl" w:cs="Arial"/>
          <w:i/>
          <w:sz w:val="22"/>
          <w:szCs w:val="22"/>
        </w:rPr>
        <w:t xml:space="preserve">, a </w:t>
      </w:r>
      <w:r w:rsidR="00AC365E" w:rsidRPr="00E16E22">
        <w:rPr>
          <w:rFonts w:ascii="StoneSansPl" w:hAnsi="StoneSansPl" w:cs="Arial"/>
          <w:i/>
          <w:sz w:val="22"/>
          <w:szCs w:val="22"/>
        </w:rPr>
        <w:t>zakres</w:t>
      </w:r>
      <w:r w:rsidR="004344AF">
        <w:rPr>
          <w:rFonts w:ascii="StoneSansPl" w:hAnsi="StoneSansPl" w:cs="Arial"/>
          <w:i/>
          <w:sz w:val="22"/>
          <w:szCs w:val="22"/>
        </w:rPr>
        <w:t xml:space="preserve"> szeroki - </w:t>
      </w:r>
      <w:r w:rsidR="00AC365E" w:rsidRPr="00E16E22">
        <w:rPr>
          <w:rFonts w:ascii="StoneSansPl" w:hAnsi="StoneSansPl" w:cs="Arial"/>
          <w:i/>
          <w:sz w:val="22"/>
          <w:szCs w:val="22"/>
        </w:rPr>
        <w:t xml:space="preserve">szczególnie w porównaniu z innymi tego typu produktami dostępnymi na rynku </w:t>
      </w:r>
      <w:r w:rsidR="00AC365E" w:rsidRPr="00E16E22">
        <w:rPr>
          <w:rFonts w:ascii="StoneSansPl" w:hAnsi="StoneSansPl" w:cs="Arial"/>
          <w:sz w:val="22"/>
          <w:szCs w:val="22"/>
        </w:rPr>
        <w:t>– mówi Jarosław Matusiewicz.</w:t>
      </w:r>
    </w:p>
    <w:p w:rsidR="009E5056" w:rsidRPr="00E16E22" w:rsidRDefault="009E5056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36095" w:rsidRPr="00E16E22" w:rsidRDefault="00836095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 xml:space="preserve">Rok 2016 roku był okresem wzmożonych prac nad rozwojem oferty ubezpieczeniowej. </w:t>
      </w:r>
      <w:r w:rsidR="004D136C" w:rsidRPr="00E16E22">
        <w:rPr>
          <w:rFonts w:ascii="StoneSansPl" w:hAnsi="StoneSansPl" w:cs="Arial"/>
          <w:sz w:val="22"/>
          <w:szCs w:val="22"/>
        </w:rPr>
        <w:t>UNIQA wprowadziła dwa nowe</w:t>
      </w:r>
      <w:r w:rsidRPr="00E16E22">
        <w:rPr>
          <w:rFonts w:ascii="StoneSansPl" w:hAnsi="StoneSansPl" w:cs="Arial"/>
          <w:sz w:val="22"/>
          <w:szCs w:val="22"/>
        </w:rPr>
        <w:t xml:space="preserve"> produkty, w tym roczne, terminowe ubezpieczenie </w:t>
      </w:r>
      <w:r w:rsidR="004344AF">
        <w:rPr>
          <w:rFonts w:ascii="StoneSansPl" w:hAnsi="StoneSansPl" w:cs="Arial"/>
          <w:sz w:val="22"/>
          <w:szCs w:val="22"/>
        </w:rPr>
        <w:t>„</w:t>
      </w:r>
      <w:r w:rsidRPr="00E16E22">
        <w:rPr>
          <w:rFonts w:ascii="StoneSansPl" w:hAnsi="StoneSansPl" w:cs="Arial"/>
          <w:sz w:val="22"/>
          <w:szCs w:val="22"/>
        </w:rPr>
        <w:t>Spokojne Życie” z dodatkową umową - od zachorowania na raka oraz indywidualne ubezpieczenie na życie „Pakiet Bezpieczeństwa”</w:t>
      </w:r>
      <w:r w:rsidR="004344AF">
        <w:rPr>
          <w:rFonts w:ascii="StoneSansPl" w:hAnsi="StoneSansPl" w:cs="Arial"/>
          <w:sz w:val="22"/>
          <w:szCs w:val="22"/>
        </w:rPr>
        <w:t>,</w:t>
      </w:r>
      <w:r w:rsidRPr="00E16E22">
        <w:rPr>
          <w:rFonts w:ascii="StoneSansPl" w:hAnsi="StoneSansPl" w:cs="Arial"/>
          <w:sz w:val="22"/>
          <w:szCs w:val="22"/>
        </w:rPr>
        <w:t xml:space="preserve"> składające się w jednym z wariantów z 31 </w:t>
      </w:r>
      <w:proofErr w:type="spellStart"/>
      <w:r w:rsidRPr="00E16E22">
        <w:rPr>
          <w:rFonts w:ascii="StoneSansPl" w:hAnsi="StoneSansPl" w:cs="Arial"/>
          <w:sz w:val="22"/>
          <w:szCs w:val="22"/>
        </w:rPr>
        <w:t>ryzyk</w:t>
      </w:r>
      <w:proofErr w:type="spellEnd"/>
      <w:r w:rsidRPr="00E16E22">
        <w:rPr>
          <w:rFonts w:ascii="StoneSansPl" w:hAnsi="StoneSansPl" w:cs="Arial"/>
          <w:sz w:val="22"/>
          <w:szCs w:val="22"/>
        </w:rPr>
        <w:t xml:space="preserve"> chroniących ubezpieczonego i jego bliskich.</w:t>
      </w:r>
    </w:p>
    <w:p w:rsidR="004D136C" w:rsidRPr="00E16E22" w:rsidRDefault="004D136C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36095" w:rsidRPr="00E16E22" w:rsidRDefault="00E77F5B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>
        <w:rPr>
          <w:rFonts w:ascii="StoneSansPl" w:hAnsi="StoneSansPl" w:cs="Arial"/>
          <w:i/>
          <w:sz w:val="22"/>
          <w:szCs w:val="22"/>
        </w:rPr>
        <w:t>- D</w:t>
      </w:r>
      <w:r w:rsidRPr="00E16E22">
        <w:rPr>
          <w:rFonts w:ascii="StoneSansPl" w:hAnsi="StoneSansPl" w:cs="Arial"/>
          <w:i/>
          <w:sz w:val="22"/>
          <w:szCs w:val="22"/>
        </w:rPr>
        <w:t>o osiągnięcia wyższego niż obserwowany w poprzednich latach wyniku finansowego</w:t>
      </w:r>
      <w:r>
        <w:rPr>
          <w:rFonts w:ascii="StoneSansPl" w:hAnsi="StoneSansPl" w:cs="Arial"/>
          <w:i/>
          <w:sz w:val="22"/>
          <w:szCs w:val="22"/>
        </w:rPr>
        <w:t xml:space="preserve"> spółki życiowej przyczyniły się e</w:t>
      </w:r>
      <w:r w:rsidR="00836095" w:rsidRPr="00E16E22">
        <w:rPr>
          <w:rFonts w:ascii="StoneSansPl" w:hAnsi="StoneSansPl" w:cs="Arial"/>
          <w:i/>
          <w:sz w:val="22"/>
          <w:szCs w:val="22"/>
        </w:rPr>
        <w:t xml:space="preserve">fektywne procesy </w:t>
      </w:r>
      <w:r w:rsidR="004D136C" w:rsidRPr="00E16E22">
        <w:rPr>
          <w:rFonts w:ascii="StoneSansPl" w:hAnsi="StoneSansPl" w:cs="Arial"/>
          <w:i/>
          <w:sz w:val="22"/>
          <w:szCs w:val="22"/>
        </w:rPr>
        <w:t>oceny ryzyka</w:t>
      </w:r>
      <w:r w:rsidR="004344AF">
        <w:rPr>
          <w:rFonts w:ascii="StoneSansPl" w:hAnsi="StoneSansPl" w:cs="Arial"/>
          <w:i/>
          <w:sz w:val="22"/>
          <w:szCs w:val="22"/>
        </w:rPr>
        <w:t>,</w:t>
      </w:r>
      <w:r w:rsidR="00836095" w:rsidRPr="00E16E22">
        <w:rPr>
          <w:rFonts w:ascii="StoneSansPl" w:hAnsi="StoneSansPl" w:cs="Arial"/>
          <w:i/>
          <w:sz w:val="22"/>
          <w:szCs w:val="22"/>
        </w:rPr>
        <w:t xml:space="preserve"> pozwalające osiągnąć wzrosty sprzedaży produktów ze składką regularną przy jednoczesnym zachowaniu ich rentowności</w:t>
      </w:r>
      <w:r>
        <w:rPr>
          <w:rFonts w:ascii="StoneSansPl" w:hAnsi="StoneSansPl" w:cs="Arial"/>
          <w:i/>
          <w:sz w:val="22"/>
          <w:szCs w:val="22"/>
        </w:rPr>
        <w:t xml:space="preserve">. Poza tym wpływ </w:t>
      </w:r>
      <w:r w:rsidR="004344AF">
        <w:rPr>
          <w:rFonts w:ascii="StoneSansPl" w:hAnsi="StoneSansPl" w:cs="Arial"/>
          <w:i/>
          <w:sz w:val="22"/>
          <w:szCs w:val="22"/>
        </w:rPr>
        <w:t xml:space="preserve">na wynik </w:t>
      </w:r>
      <w:r>
        <w:rPr>
          <w:rFonts w:ascii="StoneSansPl" w:hAnsi="StoneSansPl" w:cs="Arial"/>
          <w:i/>
          <w:sz w:val="22"/>
          <w:szCs w:val="22"/>
        </w:rPr>
        <w:t xml:space="preserve">miała </w:t>
      </w:r>
      <w:r w:rsidR="004344AF">
        <w:rPr>
          <w:rFonts w:ascii="StoneSansPl" w:hAnsi="StoneSansPl" w:cs="Arial"/>
          <w:i/>
          <w:sz w:val="22"/>
          <w:szCs w:val="22"/>
        </w:rPr>
        <w:t xml:space="preserve">także </w:t>
      </w:r>
      <w:r w:rsidR="00836095" w:rsidRPr="00E16E22">
        <w:rPr>
          <w:rFonts w:ascii="StoneSansPl" w:hAnsi="StoneSansPl" w:cs="Arial"/>
          <w:i/>
          <w:sz w:val="22"/>
          <w:szCs w:val="22"/>
        </w:rPr>
        <w:t>ścisł</w:t>
      </w:r>
      <w:r>
        <w:rPr>
          <w:rFonts w:ascii="StoneSansPl" w:hAnsi="StoneSansPl" w:cs="Arial"/>
          <w:i/>
          <w:sz w:val="22"/>
          <w:szCs w:val="22"/>
        </w:rPr>
        <w:t>a</w:t>
      </w:r>
      <w:r w:rsidR="00836095" w:rsidRPr="00E16E22">
        <w:rPr>
          <w:rFonts w:ascii="StoneSansPl" w:hAnsi="StoneSansPl" w:cs="Arial"/>
          <w:i/>
          <w:sz w:val="22"/>
          <w:szCs w:val="22"/>
        </w:rPr>
        <w:t xml:space="preserve"> kontrol</w:t>
      </w:r>
      <w:r>
        <w:rPr>
          <w:rFonts w:ascii="StoneSansPl" w:hAnsi="StoneSansPl" w:cs="Arial"/>
          <w:i/>
          <w:sz w:val="22"/>
          <w:szCs w:val="22"/>
        </w:rPr>
        <w:t>a</w:t>
      </w:r>
      <w:r w:rsidR="00836095" w:rsidRPr="00E16E22">
        <w:rPr>
          <w:rFonts w:ascii="StoneSansPl" w:hAnsi="StoneSansPl" w:cs="Arial"/>
          <w:i/>
          <w:sz w:val="22"/>
          <w:szCs w:val="22"/>
        </w:rPr>
        <w:t xml:space="preserve"> poziomu ponoszonych kosztów i</w:t>
      </w:r>
      <w:r w:rsidR="00836095" w:rsidRPr="00E16E22">
        <w:rPr>
          <w:rFonts w:ascii="StoneSansPl" w:hAnsi="StoneSansPl"/>
          <w:i/>
          <w:sz w:val="22"/>
          <w:szCs w:val="22"/>
        </w:rPr>
        <w:t xml:space="preserve"> optymalizacj</w:t>
      </w:r>
      <w:r>
        <w:rPr>
          <w:rFonts w:ascii="StoneSansPl" w:hAnsi="StoneSansPl"/>
          <w:i/>
          <w:sz w:val="22"/>
          <w:szCs w:val="22"/>
        </w:rPr>
        <w:t>a</w:t>
      </w:r>
      <w:r w:rsidR="00836095" w:rsidRPr="00E16E22">
        <w:rPr>
          <w:rFonts w:ascii="StoneSansPl" w:hAnsi="StoneSansPl"/>
          <w:i/>
          <w:sz w:val="22"/>
          <w:szCs w:val="22"/>
        </w:rPr>
        <w:t xml:space="preserve"> procesów biznesowych</w:t>
      </w:r>
      <w:r w:rsidR="00836095" w:rsidRPr="00E16E22">
        <w:rPr>
          <w:rFonts w:ascii="StoneSansPl" w:hAnsi="StoneSansPl" w:cs="Arial"/>
          <w:i/>
          <w:sz w:val="22"/>
          <w:szCs w:val="22"/>
        </w:rPr>
        <w:t xml:space="preserve"> </w:t>
      </w:r>
      <w:r w:rsidR="004D136C" w:rsidRPr="00E16E22">
        <w:rPr>
          <w:rFonts w:ascii="StoneSansPl" w:hAnsi="StoneSansPl" w:cs="Arial"/>
          <w:sz w:val="22"/>
          <w:szCs w:val="22"/>
        </w:rPr>
        <w:t xml:space="preserve">– mówi szef spółek UNIQA w Polsce. </w:t>
      </w:r>
    </w:p>
    <w:p w:rsidR="00FA14BC" w:rsidRPr="00E16E22" w:rsidRDefault="00FA14BC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836095" w:rsidRPr="00E16E22" w:rsidRDefault="00836095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E16E22">
        <w:rPr>
          <w:rFonts w:ascii="StoneSansPl" w:hAnsi="StoneSansPl" w:cs="Arial"/>
          <w:sz w:val="22"/>
          <w:szCs w:val="22"/>
        </w:rPr>
        <w:t xml:space="preserve">Zysk finansowy brutto UNIQA TU na Życie liczony </w:t>
      </w:r>
      <w:r w:rsidR="004D136C" w:rsidRPr="00E16E22">
        <w:rPr>
          <w:rFonts w:ascii="StoneSansPl" w:hAnsi="StoneSansPl" w:cs="Arial"/>
          <w:sz w:val="22"/>
          <w:szCs w:val="22"/>
        </w:rPr>
        <w:t>według międzynarodowych standardów rachunkowości</w:t>
      </w:r>
      <w:r w:rsidRPr="00E16E22">
        <w:rPr>
          <w:rFonts w:ascii="StoneSansPl" w:hAnsi="StoneSansPl" w:cs="Arial"/>
          <w:sz w:val="22"/>
          <w:szCs w:val="22"/>
        </w:rPr>
        <w:t xml:space="preserve"> wyniósł </w:t>
      </w:r>
      <w:r w:rsidRPr="00E16E22">
        <w:rPr>
          <w:rFonts w:ascii="StoneSansPl" w:hAnsi="StoneSansPl"/>
          <w:sz w:val="22"/>
          <w:szCs w:val="22"/>
        </w:rPr>
        <w:t xml:space="preserve">7,2 </w:t>
      </w:r>
      <w:r w:rsidR="004D136C" w:rsidRPr="00E16E22">
        <w:rPr>
          <w:rFonts w:ascii="StoneSansPl" w:hAnsi="StoneSansPl" w:cs="Arial"/>
          <w:sz w:val="22"/>
          <w:szCs w:val="22"/>
        </w:rPr>
        <w:t>mln zł (I-XII 2015: 7,0 mln zł) i j</w:t>
      </w:r>
      <w:r w:rsidRPr="00E16E22">
        <w:rPr>
          <w:rFonts w:ascii="StoneSansPl" w:hAnsi="StoneSansPl" w:cs="Arial"/>
          <w:sz w:val="22"/>
          <w:szCs w:val="22"/>
        </w:rPr>
        <w:t xml:space="preserve">est to najlepszy wynik w historii spółki. Zysk netto wyniósł </w:t>
      </w:r>
      <w:r w:rsidR="004D136C" w:rsidRPr="00E16E22">
        <w:rPr>
          <w:rFonts w:ascii="StoneSansPl" w:hAnsi="StoneSansPl" w:cs="Arial"/>
          <w:sz w:val="22"/>
          <w:szCs w:val="22"/>
        </w:rPr>
        <w:t xml:space="preserve">natomiast </w:t>
      </w:r>
      <w:r w:rsidRPr="00E16E22">
        <w:rPr>
          <w:rFonts w:ascii="StoneSansPl" w:hAnsi="StoneSansPl"/>
          <w:sz w:val="22"/>
          <w:szCs w:val="22"/>
        </w:rPr>
        <w:t xml:space="preserve">5,2 </w:t>
      </w:r>
      <w:r w:rsidR="004D136C" w:rsidRPr="00E16E22">
        <w:rPr>
          <w:rFonts w:ascii="StoneSansPl" w:hAnsi="StoneSansPl" w:cs="Arial"/>
          <w:sz w:val="22"/>
          <w:szCs w:val="22"/>
        </w:rPr>
        <w:t xml:space="preserve">mln zł (I-XII </w:t>
      </w:r>
      <w:r w:rsidRPr="00E16E22">
        <w:rPr>
          <w:rFonts w:ascii="StoneSansPl" w:hAnsi="StoneSansPl" w:cs="Arial"/>
          <w:sz w:val="22"/>
          <w:szCs w:val="22"/>
        </w:rPr>
        <w:t xml:space="preserve">2015: 5,7 mln zł). </w:t>
      </w:r>
    </w:p>
    <w:p w:rsidR="00E16E22" w:rsidRPr="00E16E22" w:rsidRDefault="00E16E22" w:rsidP="008505D8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</w:p>
    <w:p w:rsidR="00E16E22" w:rsidRPr="00656188" w:rsidRDefault="00E16E22" w:rsidP="008505D8">
      <w:pPr>
        <w:pStyle w:val="Zwykytekst"/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E16E22">
        <w:rPr>
          <w:rFonts w:ascii="StoneSansPl" w:hAnsi="StoneSansPl"/>
          <w:i/>
          <w:sz w:val="22"/>
          <w:szCs w:val="22"/>
        </w:rPr>
        <w:t xml:space="preserve">- W </w:t>
      </w:r>
      <w:r>
        <w:rPr>
          <w:rFonts w:ascii="StoneSansPl" w:hAnsi="StoneSansPl"/>
          <w:i/>
          <w:sz w:val="22"/>
          <w:szCs w:val="22"/>
        </w:rPr>
        <w:t>2016</w:t>
      </w:r>
      <w:r w:rsidRPr="00E16E22">
        <w:rPr>
          <w:rFonts w:ascii="StoneSansPl" w:hAnsi="StoneSansPl"/>
          <w:i/>
          <w:sz w:val="22"/>
          <w:szCs w:val="22"/>
        </w:rPr>
        <w:t xml:space="preserve"> roku sporo działo się w ubezpieczeniach na życie. Ubezpieczyciele dostosowywali się zarówno do wymogów UOKiK w zakresie produktów inwestycyjnych, jak i do Rekomendacji KNF</w:t>
      </w:r>
      <w:r w:rsidR="004344AF">
        <w:rPr>
          <w:rFonts w:ascii="StoneSansPl" w:hAnsi="StoneSansPl"/>
          <w:i/>
          <w:sz w:val="22"/>
          <w:szCs w:val="22"/>
        </w:rPr>
        <w:t>,</w:t>
      </w:r>
      <w:r w:rsidRPr="00E16E22">
        <w:rPr>
          <w:rFonts w:ascii="StoneSansPl" w:hAnsi="StoneSansPl"/>
          <w:i/>
          <w:sz w:val="22"/>
          <w:szCs w:val="22"/>
        </w:rPr>
        <w:t xml:space="preserve"> dotyczących badania adekwatności produktu oraz Rekomendacji dotyczącej systemu zarządzania produktem. Rozpoczęli i zakończyli porozumieniem rozmowy z UOKiK w zakresie aktywnych umów ubezpieczenia na życie z UFK i obniżenia dla tych umów tzw. opłat likwidacyjnych. Na początku 2016 r</w:t>
      </w:r>
      <w:r w:rsidR="004344AF">
        <w:rPr>
          <w:rFonts w:ascii="StoneSansPl" w:hAnsi="StoneSansPl"/>
          <w:i/>
          <w:sz w:val="22"/>
          <w:szCs w:val="22"/>
        </w:rPr>
        <w:t>oku</w:t>
      </w:r>
      <w:r w:rsidRPr="00E16E22">
        <w:rPr>
          <w:rFonts w:ascii="StoneSansPl" w:hAnsi="StoneSansPl"/>
          <w:i/>
          <w:sz w:val="22"/>
          <w:szCs w:val="22"/>
        </w:rPr>
        <w:t xml:space="preserve"> weszły także istotne z punktu widzenia ubezpieczeń na życie </w:t>
      </w:r>
      <w:proofErr w:type="spellStart"/>
      <w:r w:rsidRPr="00E16E22">
        <w:rPr>
          <w:rFonts w:ascii="StoneSansPl" w:hAnsi="StoneSansPl"/>
          <w:i/>
          <w:sz w:val="22"/>
          <w:szCs w:val="22"/>
        </w:rPr>
        <w:t>prokonsumenckie</w:t>
      </w:r>
      <w:proofErr w:type="spellEnd"/>
      <w:r w:rsidRPr="00E16E22">
        <w:rPr>
          <w:rFonts w:ascii="StoneSansPl" w:hAnsi="StoneSansPl"/>
          <w:i/>
          <w:sz w:val="22"/>
          <w:szCs w:val="22"/>
        </w:rPr>
        <w:t xml:space="preserve"> zmiany w ustawie o</w:t>
      </w:r>
      <w:r w:rsidR="00656188">
        <w:rPr>
          <w:rFonts w:ascii="StoneSansPl" w:hAnsi="StoneSansPl"/>
          <w:i/>
          <w:sz w:val="22"/>
          <w:szCs w:val="22"/>
        </w:rPr>
        <w:t xml:space="preserve"> działalności ubezpieczeniowej – </w:t>
      </w:r>
      <w:r w:rsidR="00656188" w:rsidRPr="00656188">
        <w:rPr>
          <w:rFonts w:ascii="StoneSansPl" w:hAnsi="StoneSansPl"/>
          <w:sz w:val="22"/>
          <w:szCs w:val="22"/>
        </w:rPr>
        <w:t>komentuje Jarosław Matusiewicz, prezes UNIQA Polska.</w:t>
      </w:r>
    </w:p>
    <w:p w:rsidR="00836095" w:rsidRDefault="00836095" w:rsidP="008505D8">
      <w:pPr>
        <w:spacing w:line="276" w:lineRule="auto"/>
        <w:jc w:val="both"/>
        <w:rPr>
          <w:rFonts w:ascii="StoneSansPl" w:hAnsi="StoneSansPl"/>
          <w:sz w:val="22"/>
        </w:rPr>
      </w:pPr>
    </w:p>
    <w:p w:rsidR="002527C9" w:rsidRPr="00F056B8" w:rsidRDefault="002527C9" w:rsidP="005A4F45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F056B8">
        <w:rPr>
          <w:rFonts w:ascii="StoneSansPl" w:hAnsi="StoneSansPl"/>
          <w:sz w:val="22"/>
          <w:szCs w:val="22"/>
        </w:rPr>
        <w:tab/>
      </w:r>
    </w:p>
    <w:p w:rsidR="00232DB8" w:rsidRPr="00DE49AE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bCs w:val="0"/>
          <w:sz w:val="20"/>
        </w:rPr>
        <w:t>UNIQA Polska</w:t>
      </w:r>
    </w:p>
    <w:p w:rsidR="00232DB8" w:rsidRPr="00DE49AE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UNIQA zajmuje 6. pozycję na rynku ubezpieczeniowym pod względem wysokości składki przypisanej. Jest też liderem w ubezpieczeniach majątku spółdzielni i wspólnot mieszkaniowych </w:t>
      </w:r>
      <w:r w:rsidR="004344AF">
        <w:rPr>
          <w:rFonts w:ascii="StoneSansPl" w:hAnsi="StoneSansPl"/>
          <w:sz w:val="20"/>
        </w:rPr>
        <w:t xml:space="preserve">w </w:t>
      </w:r>
      <w:r w:rsidRPr="00DE49AE">
        <w:rPr>
          <w:rFonts w:ascii="StoneSansPl" w:hAnsi="StoneSansPl"/>
          <w:sz w:val="20"/>
        </w:rPr>
        <w:t xml:space="preserve">Polsce. </w:t>
      </w:r>
      <w:r w:rsidR="004344AF">
        <w:rPr>
          <w:rFonts w:ascii="StoneSansPl" w:hAnsi="StoneSansPl"/>
          <w:sz w:val="20"/>
        </w:rPr>
        <w:t>UNIQA u</w:t>
      </w:r>
      <w:r w:rsidRPr="00DE49AE">
        <w:rPr>
          <w:rFonts w:ascii="StoneSansPl" w:hAnsi="StoneSansPl"/>
          <w:sz w:val="20"/>
        </w:rPr>
        <w:t xml:space="preserve">bezpiecza 50 proc. spółdzielni mieszkaniowych, 40 proc. wspólnot mieszkaniowych w Polsce oraz </w:t>
      </w:r>
      <w:r>
        <w:rPr>
          <w:rFonts w:ascii="StoneSansPl" w:hAnsi="StoneSansPl"/>
          <w:sz w:val="20"/>
        </w:rPr>
        <w:t xml:space="preserve">ponad </w:t>
      </w:r>
      <w:r w:rsidRPr="00DE49AE">
        <w:rPr>
          <w:rFonts w:ascii="StoneSansPl" w:hAnsi="StoneSansPl"/>
          <w:sz w:val="20"/>
        </w:rPr>
        <w:t xml:space="preserve">500 tys. mieszkań. Życiowe towarzystwo jest z kolei jednym z najdynamiczniej rosnących na rynku. Dzięki rozbudowanej sieci sprzedaży oraz zaangażowaniu ponad </w:t>
      </w:r>
      <w:r w:rsidRPr="00DE49AE">
        <w:rPr>
          <w:rFonts w:ascii="StoneSansPl" w:hAnsi="StoneSansPl"/>
          <w:sz w:val="20"/>
        </w:rPr>
        <w:lastRenderedPageBreak/>
        <w:t>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DE49AE">
        <w:rPr>
          <w:rFonts w:ascii="StoneSansPl" w:hAnsi="StoneSansPl"/>
          <w:sz w:val="20"/>
        </w:rPr>
        <w:t>multiagencjach</w:t>
      </w:r>
      <w:proofErr w:type="spellEnd"/>
      <w:r w:rsidRPr="00DE49AE">
        <w:rPr>
          <w:rFonts w:ascii="StoneSansPl" w:hAnsi="StoneSansPl"/>
          <w:sz w:val="20"/>
        </w:rPr>
        <w:t xml:space="preserve"> oraz u brokerów i dealerów samochodowych. W </w:t>
      </w:r>
      <w:r w:rsidR="004344AF">
        <w:rPr>
          <w:rFonts w:ascii="StoneSansPl" w:hAnsi="StoneSansPl"/>
          <w:sz w:val="20"/>
        </w:rPr>
        <w:t xml:space="preserve">latach </w:t>
      </w:r>
      <w:r w:rsidRPr="00DE49AE">
        <w:rPr>
          <w:rFonts w:ascii="StoneSansPl" w:hAnsi="StoneSansPl"/>
          <w:sz w:val="20"/>
        </w:rPr>
        <w:t xml:space="preserve">2016 </w:t>
      </w:r>
      <w:r w:rsidR="004344AF">
        <w:rPr>
          <w:rFonts w:ascii="StoneSansPl" w:hAnsi="StoneSansPl"/>
          <w:sz w:val="20"/>
        </w:rPr>
        <w:t xml:space="preserve">i 2017 </w:t>
      </w:r>
      <w:r w:rsidRPr="00DE49AE">
        <w:rPr>
          <w:rFonts w:ascii="StoneSansPl" w:hAnsi="StoneSansPl"/>
          <w:sz w:val="20"/>
        </w:rPr>
        <w:t>UNIQA uzyskała tytuł Instytucja Roku nadany przez niezależny portal MojeBankowanie.pl</w:t>
      </w:r>
      <w:r w:rsidR="004344AF">
        <w:rPr>
          <w:rFonts w:ascii="StoneSansPl" w:hAnsi="StoneSansPl"/>
          <w:sz w:val="20"/>
        </w:rPr>
        <w:t xml:space="preserve">, a w 2016 roku była także wyróżniona tytułem </w:t>
      </w:r>
      <w:r w:rsidRPr="00DE49AE">
        <w:rPr>
          <w:rFonts w:ascii="StoneSansPl" w:hAnsi="StoneSansPl"/>
          <w:sz w:val="20"/>
        </w:rPr>
        <w:t>Wybór konsumenta. UNIQA jest  laureatem konkursu Solidny Pracodawca. W 2014 r</w:t>
      </w:r>
      <w:r w:rsidR="004344AF">
        <w:rPr>
          <w:rFonts w:ascii="StoneSansPl" w:hAnsi="StoneSansPl"/>
          <w:sz w:val="20"/>
        </w:rPr>
        <w:t>oku</w:t>
      </w:r>
      <w:r w:rsidRPr="00DE49AE">
        <w:rPr>
          <w:rFonts w:ascii="StoneSansPl" w:hAnsi="StoneSansPl"/>
          <w:sz w:val="20"/>
        </w:rPr>
        <w:t xml:space="preserve"> otrzymała również nagrody m.in.: Laur Konsumenta – Odkrycie Roku 2014,  Najwyższa Ja</w:t>
      </w:r>
      <w:r>
        <w:rPr>
          <w:rFonts w:ascii="StoneSansPl" w:hAnsi="StoneSansPl"/>
          <w:sz w:val="20"/>
        </w:rPr>
        <w:t xml:space="preserve">kość </w:t>
      </w:r>
      <w:proofErr w:type="spellStart"/>
      <w:r>
        <w:rPr>
          <w:rFonts w:ascii="StoneSansPl" w:hAnsi="StoneSansPl"/>
          <w:sz w:val="20"/>
        </w:rPr>
        <w:t>Quality</w:t>
      </w:r>
      <w:proofErr w:type="spellEnd"/>
      <w:r>
        <w:rPr>
          <w:rFonts w:ascii="StoneSansPl" w:hAnsi="StoneSansPl"/>
          <w:sz w:val="20"/>
        </w:rPr>
        <w:t xml:space="preserve"> International czy c</w:t>
      </w:r>
      <w:r w:rsidRPr="00DE49AE">
        <w:rPr>
          <w:rFonts w:ascii="StoneSansPl" w:hAnsi="StoneSansPl"/>
          <w:sz w:val="20"/>
        </w:rPr>
        <w:t xml:space="preserve">ertyfikat „Dobra Polisa”. Inwestorem strategicznym spółek jest europejski holding ubezpieczeniowy o austriackich korzeniach - UNIQA </w:t>
      </w:r>
      <w:proofErr w:type="spellStart"/>
      <w:r w:rsidRPr="00DE49AE">
        <w:rPr>
          <w:rFonts w:ascii="StoneSansPl" w:hAnsi="StoneSansPl"/>
          <w:sz w:val="20"/>
        </w:rPr>
        <w:t>Insurance</w:t>
      </w:r>
      <w:proofErr w:type="spellEnd"/>
      <w:r w:rsidRPr="00DE49AE">
        <w:rPr>
          <w:rFonts w:ascii="StoneSansPl" w:hAnsi="StoneSansPl"/>
          <w:sz w:val="20"/>
        </w:rPr>
        <w:t xml:space="preserve"> </w:t>
      </w:r>
      <w:proofErr w:type="spellStart"/>
      <w:r w:rsidRPr="00DE49AE">
        <w:rPr>
          <w:rFonts w:ascii="StoneSansPl" w:hAnsi="StoneSansPl"/>
          <w:sz w:val="20"/>
        </w:rPr>
        <w:t>Group</w:t>
      </w:r>
      <w:proofErr w:type="spellEnd"/>
      <w:r w:rsidRPr="00DE49AE">
        <w:rPr>
          <w:rFonts w:ascii="StoneSansPl" w:hAnsi="StoneSansPl"/>
          <w:sz w:val="20"/>
        </w:rPr>
        <w:t xml:space="preserve"> AG. </w:t>
      </w:r>
    </w:p>
    <w:p w:rsidR="00232DB8" w:rsidRPr="00DE49AE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hyperlink r:id="rId8" w:history="1">
        <w:r w:rsidRPr="00DE49AE">
          <w:rPr>
            <w:rStyle w:val="Hipercze"/>
            <w:rFonts w:ascii="StoneSansPl" w:hAnsi="StoneSansPl"/>
            <w:sz w:val="20"/>
          </w:rPr>
          <w:t>www.uniqa.pl</w:t>
        </w:r>
      </w:hyperlink>
    </w:p>
    <w:p w:rsidR="00232DB8" w:rsidRPr="00DE49AE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bCs w:val="0"/>
          <w:sz w:val="20"/>
        </w:rPr>
        <w:t>Grupa UNIQA</w:t>
      </w:r>
    </w:p>
    <w:p w:rsidR="00232DB8" w:rsidRPr="00DE49AE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>Grupa UNIQA należy do czołowych grup ubezpieczeniowych na rynkach w Austrii i Europie Środkowo-Wschodniej. 40 spółek prowadzi działalność w 1</w:t>
      </w:r>
      <w:r>
        <w:rPr>
          <w:rFonts w:ascii="StoneSansPl" w:hAnsi="StoneSansPl"/>
          <w:sz w:val="20"/>
        </w:rPr>
        <w:t>8</w:t>
      </w:r>
      <w:r w:rsidRPr="00DE49AE">
        <w:rPr>
          <w:rFonts w:ascii="StoneSansPl" w:hAnsi="StoneSansPl"/>
          <w:sz w:val="20"/>
        </w:rPr>
        <w:t xml:space="preserve"> krajach Europy. Ponad 21 tys. pracowników i partnerów 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</w:t>
      </w:r>
      <w:r>
        <w:rPr>
          <w:rFonts w:ascii="StoneSansPl" w:hAnsi="StoneSansPl"/>
          <w:sz w:val="20"/>
        </w:rPr>
        <w:t>ównież spółki ubezpieczeniowe w</w:t>
      </w:r>
      <w:r w:rsidRPr="00DE49AE">
        <w:rPr>
          <w:rFonts w:ascii="StoneSansPl" w:hAnsi="StoneSansPl"/>
          <w:sz w:val="20"/>
        </w:rPr>
        <w:t xml:space="preserve"> Szwajcarii i Liechtensteinie.</w:t>
      </w:r>
    </w:p>
    <w:p w:rsidR="00232DB8" w:rsidRDefault="00232DB8" w:rsidP="00232DB8">
      <w:pPr>
        <w:pStyle w:val="NormalnyWeb"/>
        <w:spacing w:line="276" w:lineRule="auto"/>
        <w:jc w:val="both"/>
        <w:rPr>
          <w:rFonts w:ascii="StoneSansPl" w:hAnsi="StoneSansPl"/>
          <w:sz w:val="20"/>
          <w:u w:val="single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hyperlink r:id="rId9" w:history="1">
        <w:r w:rsidRPr="00F102BB">
          <w:rPr>
            <w:rStyle w:val="Hipercze"/>
            <w:rFonts w:ascii="StoneSansPl" w:hAnsi="StoneSansPl"/>
            <w:sz w:val="20"/>
          </w:rPr>
          <w:t>www.uniqagroup.com</w:t>
        </w:r>
      </w:hyperlink>
    </w:p>
    <w:p w:rsidR="002527C9" w:rsidRPr="00F056B8" w:rsidRDefault="002527C9" w:rsidP="00AA6C29">
      <w:pPr>
        <w:pStyle w:val="Tekstpodstawowy2"/>
        <w:spacing w:line="276" w:lineRule="auto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F056B8">
        <w:rPr>
          <w:rFonts w:ascii="StoneSansPl" w:hAnsi="StoneSansPl" w:cs="Arial"/>
          <w:sz w:val="22"/>
          <w:szCs w:val="22"/>
          <w:u w:val="single"/>
          <w:lang w:val="pl-PL"/>
        </w:rPr>
        <w:t>KONTAKT DLA MEDIÓW:</w:t>
      </w:r>
    </w:p>
    <w:p w:rsidR="002527C9" w:rsidRPr="00F056B8" w:rsidRDefault="002527C9" w:rsidP="00AA6C29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  <w:lang w:val="pl-PL"/>
        </w:rPr>
      </w:pPr>
      <w:r w:rsidRPr="00F056B8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F056B8">
        <w:rPr>
          <w:rFonts w:ascii="StoneSansPl" w:hAnsi="StoneSansPl" w:cs="Arial"/>
          <w:b/>
          <w:sz w:val="22"/>
          <w:szCs w:val="22"/>
          <w:lang w:val="pl-PL"/>
        </w:rPr>
        <w:br/>
      </w:r>
      <w:r w:rsidRPr="00F056B8">
        <w:rPr>
          <w:rFonts w:ascii="StoneSansPl" w:hAnsi="StoneSansPl" w:cs="Arial"/>
          <w:sz w:val="22"/>
          <w:szCs w:val="22"/>
          <w:lang w:val="pl-PL"/>
        </w:rPr>
        <w:t>Rzecznik Prasowy UNIQA</w:t>
      </w:r>
    </w:p>
    <w:p w:rsidR="002527C9" w:rsidRPr="00FB790A" w:rsidRDefault="002527C9" w:rsidP="00AA6C29">
      <w:pPr>
        <w:pStyle w:val="Tekstpodstawowy2"/>
        <w:spacing w:before="0" w:line="276" w:lineRule="auto"/>
        <w:rPr>
          <w:rFonts w:ascii="StoneSansPl" w:hAnsi="StoneSansPl" w:cs="Arial"/>
          <w:sz w:val="22"/>
          <w:szCs w:val="22"/>
          <w:lang w:val="pl-PL"/>
        </w:rPr>
      </w:pPr>
      <w:r w:rsidRPr="00FB790A">
        <w:rPr>
          <w:rFonts w:ascii="StoneSansPl" w:hAnsi="StoneSansPl" w:cs="Arial"/>
          <w:sz w:val="22"/>
          <w:szCs w:val="22"/>
          <w:lang w:val="pl-PL"/>
        </w:rPr>
        <w:t>tel. (+48) 697 770</w:t>
      </w:r>
      <w:r w:rsidRPr="00FB790A">
        <w:rPr>
          <w:rFonts w:ascii="StoneSansPl" w:hAnsi="StoneSansPl" w:hint="eastAsia"/>
          <w:sz w:val="22"/>
          <w:szCs w:val="22"/>
          <w:lang w:val="pl-PL"/>
        </w:rPr>
        <w:t> </w:t>
      </w:r>
      <w:r w:rsidRPr="00FB790A">
        <w:rPr>
          <w:rFonts w:ascii="StoneSansPl" w:hAnsi="StoneSansPl" w:cs="Arial"/>
          <w:sz w:val="22"/>
          <w:szCs w:val="22"/>
          <w:lang w:val="pl-PL"/>
        </w:rPr>
        <w:t>498</w:t>
      </w:r>
    </w:p>
    <w:p w:rsidR="002527C9" w:rsidRPr="00F056B8" w:rsidRDefault="002527C9" w:rsidP="00AA6C29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  <w:lang w:val="de-DE"/>
        </w:rPr>
      </w:pPr>
      <w:proofErr w:type="spellStart"/>
      <w:r w:rsidRPr="00F056B8">
        <w:rPr>
          <w:rFonts w:ascii="StoneSansPl" w:hAnsi="StoneSansPl" w:cs="Arial"/>
          <w:sz w:val="22"/>
          <w:szCs w:val="22"/>
          <w:lang w:val="de-DE"/>
        </w:rPr>
        <w:t>e-mail</w:t>
      </w:r>
      <w:proofErr w:type="spellEnd"/>
      <w:r w:rsidRPr="00F056B8">
        <w:rPr>
          <w:rFonts w:ascii="StoneSansPl" w:hAnsi="StoneSansPl" w:cs="Arial"/>
          <w:sz w:val="22"/>
          <w:szCs w:val="22"/>
          <w:lang w:val="de-DE"/>
        </w:rPr>
        <w:t xml:space="preserve">: </w:t>
      </w:r>
      <w:hyperlink r:id="rId10" w:history="1">
        <w:r w:rsidRPr="00F056B8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p w:rsidR="00380BF0" w:rsidRPr="00FA60BB" w:rsidRDefault="009025C6" w:rsidP="00AA6C29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  <w:lang w:val="de-DE"/>
        </w:rPr>
      </w:pPr>
      <w:proofErr w:type="spellStart"/>
      <w:r w:rsidRPr="00813938">
        <w:rPr>
          <w:rFonts w:ascii="StoneSansPl" w:hAnsi="StoneSansPl" w:cs="Arial"/>
          <w:sz w:val="22"/>
          <w:szCs w:val="22"/>
          <w:lang w:val="de-DE"/>
        </w:rPr>
        <w:t>tt</w:t>
      </w:r>
      <w:proofErr w:type="spellEnd"/>
      <w:r w:rsidRPr="00813938">
        <w:rPr>
          <w:rFonts w:ascii="StoneSansPl" w:hAnsi="StoneSansPl" w:cs="Arial"/>
          <w:sz w:val="22"/>
          <w:szCs w:val="22"/>
          <w:lang w:val="de-DE"/>
        </w:rPr>
        <w:t>/</w:t>
      </w:r>
      <w:proofErr w:type="spellStart"/>
      <w:r w:rsidRPr="00813938">
        <w:rPr>
          <w:rFonts w:ascii="StoneSansPl" w:hAnsi="StoneSansPl" w:cs="Arial"/>
          <w:sz w:val="22"/>
          <w:szCs w:val="22"/>
          <w:lang w:val="de-DE"/>
        </w:rPr>
        <w:t>instagram</w:t>
      </w:r>
      <w:proofErr w:type="spellEnd"/>
      <w:r w:rsidRPr="00813938">
        <w:rPr>
          <w:rFonts w:ascii="StoneSansPl" w:hAnsi="StoneSansPl" w:cs="Arial"/>
          <w:sz w:val="22"/>
          <w:szCs w:val="22"/>
          <w:lang w:val="de-DE"/>
        </w:rPr>
        <w:t xml:space="preserve"> @</w:t>
      </w:r>
      <w:proofErr w:type="spellStart"/>
      <w:r w:rsidRPr="00813938">
        <w:rPr>
          <w:rFonts w:ascii="StoneSansPl" w:hAnsi="StoneSansPl" w:cs="Arial"/>
          <w:sz w:val="22"/>
          <w:szCs w:val="22"/>
          <w:lang w:val="de-DE"/>
        </w:rPr>
        <w:t>uniqapolska</w:t>
      </w:r>
      <w:bookmarkEnd w:id="0"/>
      <w:proofErr w:type="spellEnd"/>
    </w:p>
    <w:sectPr w:rsidR="00380BF0" w:rsidRPr="00FA60BB" w:rsidSect="006D4627">
      <w:headerReference w:type="default" r:id="rId11"/>
      <w:footerReference w:type="default" r:id="rId12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52" w:rsidRDefault="00D22852">
      <w:r>
        <w:separator/>
      </w:r>
    </w:p>
  </w:endnote>
  <w:endnote w:type="continuationSeparator" w:id="0">
    <w:p w:rsidR="00D22852" w:rsidRDefault="00D2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E0" w:rsidRDefault="001223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31">
      <w:rPr>
        <w:noProof/>
      </w:rPr>
      <w:t>1</w:t>
    </w:r>
    <w:r>
      <w:fldChar w:fldCharType="end"/>
    </w:r>
  </w:p>
  <w:p w:rsidR="001223E0" w:rsidRDefault="001223E0">
    <w:pPr>
      <w:pStyle w:val="Stopka"/>
    </w:pPr>
  </w:p>
  <w:p w:rsidR="001223E0" w:rsidRDefault="00122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52" w:rsidRDefault="00D22852">
      <w:r>
        <w:separator/>
      </w:r>
    </w:p>
  </w:footnote>
  <w:footnote w:type="continuationSeparator" w:id="0">
    <w:p w:rsidR="00D22852" w:rsidRDefault="00D2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E0" w:rsidRDefault="00F80FF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8528AC" wp14:editId="38761BD0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E0" w:rsidRDefault="00122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F9B"/>
    <w:multiLevelType w:val="multilevel"/>
    <w:tmpl w:val="D5163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67B5972"/>
    <w:multiLevelType w:val="hybridMultilevel"/>
    <w:tmpl w:val="8B526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A0DCD"/>
    <w:multiLevelType w:val="hybridMultilevel"/>
    <w:tmpl w:val="4BB25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320E"/>
    <w:multiLevelType w:val="multilevel"/>
    <w:tmpl w:val="F83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B24BF"/>
    <w:multiLevelType w:val="multilevel"/>
    <w:tmpl w:val="206C4A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6501E"/>
    <w:multiLevelType w:val="multilevel"/>
    <w:tmpl w:val="AE0C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05611"/>
    <w:multiLevelType w:val="multilevel"/>
    <w:tmpl w:val="281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C692C"/>
    <w:multiLevelType w:val="multilevel"/>
    <w:tmpl w:val="3CACE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A49F4"/>
    <w:multiLevelType w:val="multilevel"/>
    <w:tmpl w:val="BFD4B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CE483D"/>
    <w:multiLevelType w:val="hybridMultilevel"/>
    <w:tmpl w:val="8FE6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C0857"/>
    <w:multiLevelType w:val="multilevel"/>
    <w:tmpl w:val="3C005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00C"/>
    <w:multiLevelType w:val="multilevel"/>
    <w:tmpl w:val="206C4A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7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8"/>
  </w:num>
  <w:num w:numId="10">
    <w:abstractNumId w:val="32"/>
  </w:num>
  <w:num w:numId="11">
    <w:abstractNumId w:val="25"/>
  </w:num>
  <w:num w:numId="12">
    <w:abstractNumId w:val="37"/>
  </w:num>
  <w:num w:numId="13">
    <w:abstractNumId w:val="12"/>
  </w:num>
  <w:num w:numId="14">
    <w:abstractNumId w:val="0"/>
  </w:num>
  <w:num w:numId="15">
    <w:abstractNumId w:val="16"/>
  </w:num>
  <w:num w:numId="16">
    <w:abstractNumId w:val="34"/>
  </w:num>
  <w:num w:numId="17">
    <w:abstractNumId w:val="31"/>
  </w:num>
  <w:num w:numId="18">
    <w:abstractNumId w:val="24"/>
  </w:num>
  <w:num w:numId="19">
    <w:abstractNumId w:val="42"/>
  </w:num>
  <w:num w:numId="20">
    <w:abstractNumId w:val="19"/>
  </w:num>
  <w:num w:numId="21">
    <w:abstractNumId w:val="9"/>
  </w:num>
  <w:num w:numId="22">
    <w:abstractNumId w:val="45"/>
  </w:num>
  <w:num w:numId="23">
    <w:abstractNumId w:val="38"/>
  </w:num>
  <w:num w:numId="24">
    <w:abstractNumId w:val="40"/>
  </w:num>
  <w:num w:numId="25">
    <w:abstractNumId w:val="21"/>
  </w:num>
  <w:num w:numId="26">
    <w:abstractNumId w:val="44"/>
  </w:num>
  <w:num w:numId="27">
    <w:abstractNumId w:val="28"/>
  </w:num>
  <w:num w:numId="28">
    <w:abstractNumId w:val="23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7"/>
  </w:num>
  <w:num w:numId="36">
    <w:abstractNumId w:val="15"/>
  </w:num>
  <w:num w:numId="37">
    <w:abstractNumId w:val="33"/>
  </w:num>
  <w:num w:numId="38">
    <w:abstractNumId w:val="43"/>
  </w:num>
  <w:num w:numId="39">
    <w:abstractNumId w:val="11"/>
  </w:num>
  <w:num w:numId="40">
    <w:abstractNumId w:val="13"/>
  </w:num>
  <w:num w:numId="41">
    <w:abstractNumId w:val="35"/>
  </w:num>
  <w:num w:numId="42">
    <w:abstractNumId w:val="22"/>
  </w:num>
  <w:num w:numId="43">
    <w:abstractNumId w:val="17"/>
  </w:num>
  <w:num w:numId="44">
    <w:abstractNumId w:val="41"/>
  </w:num>
  <w:num w:numId="45">
    <w:abstractNumId w:val="4"/>
  </w:num>
  <w:num w:numId="46">
    <w:abstractNumId w:val="6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3D6A"/>
    <w:rsid w:val="00006F02"/>
    <w:rsid w:val="00007153"/>
    <w:rsid w:val="00010794"/>
    <w:rsid w:val="00011478"/>
    <w:rsid w:val="00011F92"/>
    <w:rsid w:val="000151FD"/>
    <w:rsid w:val="00015247"/>
    <w:rsid w:val="000176F8"/>
    <w:rsid w:val="000219AD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6306"/>
    <w:rsid w:val="0003710A"/>
    <w:rsid w:val="00045ACA"/>
    <w:rsid w:val="00047622"/>
    <w:rsid w:val="00047BD1"/>
    <w:rsid w:val="00050506"/>
    <w:rsid w:val="00054680"/>
    <w:rsid w:val="00054C37"/>
    <w:rsid w:val="0005574E"/>
    <w:rsid w:val="0006014B"/>
    <w:rsid w:val="00060202"/>
    <w:rsid w:val="00060676"/>
    <w:rsid w:val="0006337D"/>
    <w:rsid w:val="00063715"/>
    <w:rsid w:val="000649DE"/>
    <w:rsid w:val="000655F6"/>
    <w:rsid w:val="00070950"/>
    <w:rsid w:val="00070C5B"/>
    <w:rsid w:val="00072BBF"/>
    <w:rsid w:val="000730D6"/>
    <w:rsid w:val="0007407C"/>
    <w:rsid w:val="00074FD8"/>
    <w:rsid w:val="00076826"/>
    <w:rsid w:val="00077538"/>
    <w:rsid w:val="000801AB"/>
    <w:rsid w:val="0008135D"/>
    <w:rsid w:val="0008359E"/>
    <w:rsid w:val="0008367E"/>
    <w:rsid w:val="00083B1E"/>
    <w:rsid w:val="00083C22"/>
    <w:rsid w:val="00086CCF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3CAF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F00CB"/>
    <w:rsid w:val="000F0FE8"/>
    <w:rsid w:val="000F1D63"/>
    <w:rsid w:val="000F209C"/>
    <w:rsid w:val="000F2C09"/>
    <w:rsid w:val="000F36D9"/>
    <w:rsid w:val="000F45B2"/>
    <w:rsid w:val="000F46BF"/>
    <w:rsid w:val="000F5E0E"/>
    <w:rsid w:val="000F6E5C"/>
    <w:rsid w:val="000F6F9B"/>
    <w:rsid w:val="0010075F"/>
    <w:rsid w:val="001031FF"/>
    <w:rsid w:val="00103575"/>
    <w:rsid w:val="00103F13"/>
    <w:rsid w:val="00106DAF"/>
    <w:rsid w:val="001070B3"/>
    <w:rsid w:val="0011050A"/>
    <w:rsid w:val="00110C31"/>
    <w:rsid w:val="001118EF"/>
    <w:rsid w:val="00112556"/>
    <w:rsid w:val="00112722"/>
    <w:rsid w:val="0011309B"/>
    <w:rsid w:val="00113491"/>
    <w:rsid w:val="0011472D"/>
    <w:rsid w:val="00114A97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2524"/>
    <w:rsid w:val="001451A5"/>
    <w:rsid w:val="00147A3B"/>
    <w:rsid w:val="00147FC7"/>
    <w:rsid w:val="00150220"/>
    <w:rsid w:val="00150F59"/>
    <w:rsid w:val="00152AEA"/>
    <w:rsid w:val="00152CC8"/>
    <w:rsid w:val="00152F6D"/>
    <w:rsid w:val="001548B5"/>
    <w:rsid w:val="00155EFB"/>
    <w:rsid w:val="001575BB"/>
    <w:rsid w:val="00161075"/>
    <w:rsid w:val="0016216C"/>
    <w:rsid w:val="00162F87"/>
    <w:rsid w:val="001633E6"/>
    <w:rsid w:val="00163A42"/>
    <w:rsid w:val="00167110"/>
    <w:rsid w:val="00170FF1"/>
    <w:rsid w:val="0017112D"/>
    <w:rsid w:val="00174A1E"/>
    <w:rsid w:val="00182EA4"/>
    <w:rsid w:val="00183CC0"/>
    <w:rsid w:val="0018437B"/>
    <w:rsid w:val="001862F7"/>
    <w:rsid w:val="00191D00"/>
    <w:rsid w:val="00193629"/>
    <w:rsid w:val="001A21C7"/>
    <w:rsid w:val="001A39B9"/>
    <w:rsid w:val="001A571A"/>
    <w:rsid w:val="001A5A31"/>
    <w:rsid w:val="001A7FFA"/>
    <w:rsid w:val="001B13A1"/>
    <w:rsid w:val="001B184E"/>
    <w:rsid w:val="001B1915"/>
    <w:rsid w:val="001B2EF8"/>
    <w:rsid w:val="001B4317"/>
    <w:rsid w:val="001B63DA"/>
    <w:rsid w:val="001B6443"/>
    <w:rsid w:val="001B6DFB"/>
    <w:rsid w:val="001C24ED"/>
    <w:rsid w:val="001C318C"/>
    <w:rsid w:val="001C72DC"/>
    <w:rsid w:val="001D1C38"/>
    <w:rsid w:val="001D30C9"/>
    <w:rsid w:val="001D3265"/>
    <w:rsid w:val="001D3E0C"/>
    <w:rsid w:val="001D6DA4"/>
    <w:rsid w:val="001E102B"/>
    <w:rsid w:val="001E21D9"/>
    <w:rsid w:val="001E2875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1F63C8"/>
    <w:rsid w:val="00202B0D"/>
    <w:rsid w:val="002048B3"/>
    <w:rsid w:val="00204A19"/>
    <w:rsid w:val="002054D6"/>
    <w:rsid w:val="00207119"/>
    <w:rsid w:val="00214831"/>
    <w:rsid w:val="00214AA7"/>
    <w:rsid w:val="00215895"/>
    <w:rsid w:val="0021706D"/>
    <w:rsid w:val="00217D0F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2DB8"/>
    <w:rsid w:val="00233167"/>
    <w:rsid w:val="00233E43"/>
    <w:rsid w:val="00234DA7"/>
    <w:rsid w:val="00234FAD"/>
    <w:rsid w:val="002356D0"/>
    <w:rsid w:val="0023635F"/>
    <w:rsid w:val="00237EE8"/>
    <w:rsid w:val="002404AB"/>
    <w:rsid w:val="00240AAD"/>
    <w:rsid w:val="00240FE8"/>
    <w:rsid w:val="00242230"/>
    <w:rsid w:val="0024571D"/>
    <w:rsid w:val="00247E5C"/>
    <w:rsid w:val="0025007E"/>
    <w:rsid w:val="00251246"/>
    <w:rsid w:val="002527C9"/>
    <w:rsid w:val="00252D6D"/>
    <w:rsid w:val="00252F52"/>
    <w:rsid w:val="00253993"/>
    <w:rsid w:val="002547A4"/>
    <w:rsid w:val="00255D84"/>
    <w:rsid w:val="00256343"/>
    <w:rsid w:val="002579BF"/>
    <w:rsid w:val="00260862"/>
    <w:rsid w:val="002620AB"/>
    <w:rsid w:val="00262B9E"/>
    <w:rsid w:val="00262C8D"/>
    <w:rsid w:val="0026303B"/>
    <w:rsid w:val="00263D78"/>
    <w:rsid w:val="00264A95"/>
    <w:rsid w:val="002656BD"/>
    <w:rsid w:val="00265DE1"/>
    <w:rsid w:val="00266CD5"/>
    <w:rsid w:val="0026733D"/>
    <w:rsid w:val="00267A92"/>
    <w:rsid w:val="00267CB6"/>
    <w:rsid w:val="00267F3E"/>
    <w:rsid w:val="00270D79"/>
    <w:rsid w:val="002716BE"/>
    <w:rsid w:val="0027430B"/>
    <w:rsid w:val="00282F2C"/>
    <w:rsid w:val="0028392B"/>
    <w:rsid w:val="00284B52"/>
    <w:rsid w:val="00285D65"/>
    <w:rsid w:val="00292469"/>
    <w:rsid w:val="00294E95"/>
    <w:rsid w:val="0029614D"/>
    <w:rsid w:val="0029662B"/>
    <w:rsid w:val="002A45F3"/>
    <w:rsid w:val="002A6720"/>
    <w:rsid w:val="002B26FF"/>
    <w:rsid w:val="002B2CC6"/>
    <w:rsid w:val="002B47F5"/>
    <w:rsid w:val="002B4B27"/>
    <w:rsid w:val="002B6861"/>
    <w:rsid w:val="002B7A78"/>
    <w:rsid w:val="002C0B7B"/>
    <w:rsid w:val="002C45C1"/>
    <w:rsid w:val="002C6D80"/>
    <w:rsid w:val="002D0E3A"/>
    <w:rsid w:val="002D14AF"/>
    <w:rsid w:val="002D3748"/>
    <w:rsid w:val="002D3CD2"/>
    <w:rsid w:val="002D4267"/>
    <w:rsid w:val="002D6594"/>
    <w:rsid w:val="002D6F7C"/>
    <w:rsid w:val="002E01D0"/>
    <w:rsid w:val="002E0C41"/>
    <w:rsid w:val="002E0DE4"/>
    <w:rsid w:val="002E185B"/>
    <w:rsid w:val="002E2AF2"/>
    <w:rsid w:val="002E3C58"/>
    <w:rsid w:val="002E5D31"/>
    <w:rsid w:val="002E71F4"/>
    <w:rsid w:val="002F2027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0575D"/>
    <w:rsid w:val="003131E2"/>
    <w:rsid w:val="003140D6"/>
    <w:rsid w:val="0031458E"/>
    <w:rsid w:val="003147D5"/>
    <w:rsid w:val="00314F01"/>
    <w:rsid w:val="00317095"/>
    <w:rsid w:val="003215D6"/>
    <w:rsid w:val="003219B5"/>
    <w:rsid w:val="00322C7F"/>
    <w:rsid w:val="00325C20"/>
    <w:rsid w:val="003269D8"/>
    <w:rsid w:val="00327A75"/>
    <w:rsid w:val="00331EFF"/>
    <w:rsid w:val="00333549"/>
    <w:rsid w:val="00336C63"/>
    <w:rsid w:val="00336F0D"/>
    <w:rsid w:val="00337DC9"/>
    <w:rsid w:val="003401AE"/>
    <w:rsid w:val="00340FCE"/>
    <w:rsid w:val="0034276B"/>
    <w:rsid w:val="00346183"/>
    <w:rsid w:val="00346CD5"/>
    <w:rsid w:val="00347106"/>
    <w:rsid w:val="00351018"/>
    <w:rsid w:val="003522A5"/>
    <w:rsid w:val="00352D98"/>
    <w:rsid w:val="0035403B"/>
    <w:rsid w:val="00354E1D"/>
    <w:rsid w:val="00354EA6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77905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600D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8EE"/>
    <w:rsid w:val="003C6DD3"/>
    <w:rsid w:val="003C7FF3"/>
    <w:rsid w:val="003D0561"/>
    <w:rsid w:val="003D0717"/>
    <w:rsid w:val="003D2DFA"/>
    <w:rsid w:val="003D2E52"/>
    <w:rsid w:val="003D2FEB"/>
    <w:rsid w:val="003D4657"/>
    <w:rsid w:val="003D7656"/>
    <w:rsid w:val="003D7716"/>
    <w:rsid w:val="003E0BBD"/>
    <w:rsid w:val="003E1432"/>
    <w:rsid w:val="003E1B24"/>
    <w:rsid w:val="003E3107"/>
    <w:rsid w:val="003E4851"/>
    <w:rsid w:val="003E6A8B"/>
    <w:rsid w:val="003E7EFE"/>
    <w:rsid w:val="003F1234"/>
    <w:rsid w:val="003F1A29"/>
    <w:rsid w:val="003F20B2"/>
    <w:rsid w:val="003F36BF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0733"/>
    <w:rsid w:val="00413070"/>
    <w:rsid w:val="00413AA1"/>
    <w:rsid w:val="00414A12"/>
    <w:rsid w:val="00420993"/>
    <w:rsid w:val="00423A21"/>
    <w:rsid w:val="004273B8"/>
    <w:rsid w:val="004275CB"/>
    <w:rsid w:val="00427BD5"/>
    <w:rsid w:val="00430037"/>
    <w:rsid w:val="004336BD"/>
    <w:rsid w:val="004344AF"/>
    <w:rsid w:val="00434D36"/>
    <w:rsid w:val="00436BA7"/>
    <w:rsid w:val="004413D2"/>
    <w:rsid w:val="00441945"/>
    <w:rsid w:val="00441B06"/>
    <w:rsid w:val="004440C1"/>
    <w:rsid w:val="004448CE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60B4A"/>
    <w:rsid w:val="00460FDE"/>
    <w:rsid w:val="00462245"/>
    <w:rsid w:val="004624F6"/>
    <w:rsid w:val="00463AB8"/>
    <w:rsid w:val="00464289"/>
    <w:rsid w:val="0046685F"/>
    <w:rsid w:val="004742B2"/>
    <w:rsid w:val="0048089A"/>
    <w:rsid w:val="00481E74"/>
    <w:rsid w:val="00482905"/>
    <w:rsid w:val="00482E16"/>
    <w:rsid w:val="00484CE4"/>
    <w:rsid w:val="00485A2F"/>
    <w:rsid w:val="0049086B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4D3E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A39"/>
    <w:rsid w:val="004D136C"/>
    <w:rsid w:val="004D263F"/>
    <w:rsid w:val="004D32CA"/>
    <w:rsid w:val="004D56A8"/>
    <w:rsid w:val="004E05D5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5CCB"/>
    <w:rsid w:val="004F64AE"/>
    <w:rsid w:val="004F6BA9"/>
    <w:rsid w:val="004F7BE8"/>
    <w:rsid w:val="005001C5"/>
    <w:rsid w:val="0050655A"/>
    <w:rsid w:val="005075CF"/>
    <w:rsid w:val="00511006"/>
    <w:rsid w:val="00511030"/>
    <w:rsid w:val="00511157"/>
    <w:rsid w:val="005115B3"/>
    <w:rsid w:val="00511ABC"/>
    <w:rsid w:val="00512BAA"/>
    <w:rsid w:val="00512ED4"/>
    <w:rsid w:val="00513630"/>
    <w:rsid w:val="005160C6"/>
    <w:rsid w:val="00520B4D"/>
    <w:rsid w:val="00522049"/>
    <w:rsid w:val="005236AE"/>
    <w:rsid w:val="00523EC1"/>
    <w:rsid w:val="00524B07"/>
    <w:rsid w:val="00525666"/>
    <w:rsid w:val="00525727"/>
    <w:rsid w:val="00525F58"/>
    <w:rsid w:val="00526266"/>
    <w:rsid w:val="00526AF1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4A71"/>
    <w:rsid w:val="0054512C"/>
    <w:rsid w:val="00547713"/>
    <w:rsid w:val="00547D17"/>
    <w:rsid w:val="0055018F"/>
    <w:rsid w:val="00555816"/>
    <w:rsid w:val="005601ED"/>
    <w:rsid w:val="005639E6"/>
    <w:rsid w:val="00563D69"/>
    <w:rsid w:val="00565F47"/>
    <w:rsid w:val="00566BA9"/>
    <w:rsid w:val="00566F82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303C"/>
    <w:rsid w:val="0059625B"/>
    <w:rsid w:val="00597E14"/>
    <w:rsid w:val="005A263E"/>
    <w:rsid w:val="005A3470"/>
    <w:rsid w:val="005A3703"/>
    <w:rsid w:val="005A3927"/>
    <w:rsid w:val="005A4F45"/>
    <w:rsid w:val="005A508B"/>
    <w:rsid w:val="005A6B7C"/>
    <w:rsid w:val="005A72C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34D"/>
    <w:rsid w:val="005D37AB"/>
    <w:rsid w:val="005D4490"/>
    <w:rsid w:val="005D58D8"/>
    <w:rsid w:val="005D603E"/>
    <w:rsid w:val="005D6D78"/>
    <w:rsid w:val="005D7BBE"/>
    <w:rsid w:val="005E1A67"/>
    <w:rsid w:val="005E4B38"/>
    <w:rsid w:val="005F03FC"/>
    <w:rsid w:val="005F609D"/>
    <w:rsid w:val="005F70E0"/>
    <w:rsid w:val="005F7E19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1D2D"/>
    <w:rsid w:val="00614864"/>
    <w:rsid w:val="006155C1"/>
    <w:rsid w:val="00617029"/>
    <w:rsid w:val="00617214"/>
    <w:rsid w:val="006209FA"/>
    <w:rsid w:val="00621612"/>
    <w:rsid w:val="00621DF3"/>
    <w:rsid w:val="00623E43"/>
    <w:rsid w:val="00624779"/>
    <w:rsid w:val="00624A87"/>
    <w:rsid w:val="006256A4"/>
    <w:rsid w:val="00630354"/>
    <w:rsid w:val="00635A94"/>
    <w:rsid w:val="00636229"/>
    <w:rsid w:val="006370F4"/>
    <w:rsid w:val="00637698"/>
    <w:rsid w:val="0064112F"/>
    <w:rsid w:val="0064202D"/>
    <w:rsid w:val="00642B49"/>
    <w:rsid w:val="006432F6"/>
    <w:rsid w:val="00643E38"/>
    <w:rsid w:val="00643FB7"/>
    <w:rsid w:val="00646D62"/>
    <w:rsid w:val="00647020"/>
    <w:rsid w:val="0064759E"/>
    <w:rsid w:val="00651122"/>
    <w:rsid w:val="00651375"/>
    <w:rsid w:val="00651FE6"/>
    <w:rsid w:val="006543E0"/>
    <w:rsid w:val="00654F73"/>
    <w:rsid w:val="00655AEA"/>
    <w:rsid w:val="00656188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AEB"/>
    <w:rsid w:val="00680DC1"/>
    <w:rsid w:val="00680F1F"/>
    <w:rsid w:val="0068180E"/>
    <w:rsid w:val="00681868"/>
    <w:rsid w:val="00684C3F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3264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6D7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6146"/>
    <w:rsid w:val="006F671F"/>
    <w:rsid w:val="006F6AF3"/>
    <w:rsid w:val="006F6F3D"/>
    <w:rsid w:val="006F6F94"/>
    <w:rsid w:val="006F78E3"/>
    <w:rsid w:val="00700E47"/>
    <w:rsid w:val="00701437"/>
    <w:rsid w:val="00703A74"/>
    <w:rsid w:val="0070571A"/>
    <w:rsid w:val="00706794"/>
    <w:rsid w:val="0070692F"/>
    <w:rsid w:val="00706E9A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45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C0E"/>
    <w:rsid w:val="00782E21"/>
    <w:rsid w:val="007858D5"/>
    <w:rsid w:val="00787591"/>
    <w:rsid w:val="007916F9"/>
    <w:rsid w:val="0079213F"/>
    <w:rsid w:val="00795765"/>
    <w:rsid w:val="00795926"/>
    <w:rsid w:val="00797735"/>
    <w:rsid w:val="007A0071"/>
    <w:rsid w:val="007A4799"/>
    <w:rsid w:val="007B00C5"/>
    <w:rsid w:val="007B0328"/>
    <w:rsid w:val="007B0C1B"/>
    <w:rsid w:val="007B3748"/>
    <w:rsid w:val="007B44E3"/>
    <w:rsid w:val="007B67DB"/>
    <w:rsid w:val="007C169D"/>
    <w:rsid w:val="007C2901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5983"/>
    <w:rsid w:val="007E648C"/>
    <w:rsid w:val="007E67D8"/>
    <w:rsid w:val="007E6971"/>
    <w:rsid w:val="007E781F"/>
    <w:rsid w:val="007F0AB6"/>
    <w:rsid w:val="007F17A4"/>
    <w:rsid w:val="007F3562"/>
    <w:rsid w:val="007F5357"/>
    <w:rsid w:val="007F5492"/>
    <w:rsid w:val="007F6C40"/>
    <w:rsid w:val="00800A26"/>
    <w:rsid w:val="00801550"/>
    <w:rsid w:val="008025D1"/>
    <w:rsid w:val="00802CA0"/>
    <w:rsid w:val="00804234"/>
    <w:rsid w:val="0080443B"/>
    <w:rsid w:val="00805235"/>
    <w:rsid w:val="0080568C"/>
    <w:rsid w:val="008058AC"/>
    <w:rsid w:val="0080708F"/>
    <w:rsid w:val="00810C93"/>
    <w:rsid w:val="00811DE3"/>
    <w:rsid w:val="00813329"/>
    <w:rsid w:val="00813938"/>
    <w:rsid w:val="00814E00"/>
    <w:rsid w:val="00815539"/>
    <w:rsid w:val="00816A74"/>
    <w:rsid w:val="00821FFB"/>
    <w:rsid w:val="00823917"/>
    <w:rsid w:val="00824415"/>
    <w:rsid w:val="00830B76"/>
    <w:rsid w:val="0083192A"/>
    <w:rsid w:val="00833EDD"/>
    <w:rsid w:val="00834570"/>
    <w:rsid w:val="008354A4"/>
    <w:rsid w:val="0083574C"/>
    <w:rsid w:val="00835B8D"/>
    <w:rsid w:val="00836095"/>
    <w:rsid w:val="0083618C"/>
    <w:rsid w:val="0083788B"/>
    <w:rsid w:val="00837B17"/>
    <w:rsid w:val="008408D2"/>
    <w:rsid w:val="00840F43"/>
    <w:rsid w:val="00846F88"/>
    <w:rsid w:val="008505D8"/>
    <w:rsid w:val="008519A2"/>
    <w:rsid w:val="008529D4"/>
    <w:rsid w:val="00853144"/>
    <w:rsid w:val="008563B6"/>
    <w:rsid w:val="0085791F"/>
    <w:rsid w:val="00860583"/>
    <w:rsid w:val="00860C6E"/>
    <w:rsid w:val="008612C9"/>
    <w:rsid w:val="00863204"/>
    <w:rsid w:val="0086574C"/>
    <w:rsid w:val="008676D2"/>
    <w:rsid w:val="00867876"/>
    <w:rsid w:val="00867F42"/>
    <w:rsid w:val="00873637"/>
    <w:rsid w:val="008740A3"/>
    <w:rsid w:val="00874D45"/>
    <w:rsid w:val="008767DC"/>
    <w:rsid w:val="00877652"/>
    <w:rsid w:val="00877C66"/>
    <w:rsid w:val="00884075"/>
    <w:rsid w:val="00884359"/>
    <w:rsid w:val="00886C16"/>
    <w:rsid w:val="0088793B"/>
    <w:rsid w:val="00893AD8"/>
    <w:rsid w:val="008941FC"/>
    <w:rsid w:val="0089609C"/>
    <w:rsid w:val="008A340A"/>
    <w:rsid w:val="008A3719"/>
    <w:rsid w:val="008A3A2A"/>
    <w:rsid w:val="008A46E5"/>
    <w:rsid w:val="008A6E61"/>
    <w:rsid w:val="008A7424"/>
    <w:rsid w:val="008B1E66"/>
    <w:rsid w:val="008B23F0"/>
    <w:rsid w:val="008B36FB"/>
    <w:rsid w:val="008B4B8C"/>
    <w:rsid w:val="008B5012"/>
    <w:rsid w:val="008B65D6"/>
    <w:rsid w:val="008C28D7"/>
    <w:rsid w:val="008C3668"/>
    <w:rsid w:val="008C4288"/>
    <w:rsid w:val="008C5A9E"/>
    <w:rsid w:val="008C72DB"/>
    <w:rsid w:val="008D05D8"/>
    <w:rsid w:val="008D1E38"/>
    <w:rsid w:val="008D2199"/>
    <w:rsid w:val="008D49D0"/>
    <w:rsid w:val="008D6318"/>
    <w:rsid w:val="008E1E2A"/>
    <w:rsid w:val="008E2D68"/>
    <w:rsid w:val="008E5597"/>
    <w:rsid w:val="008E645B"/>
    <w:rsid w:val="008F020B"/>
    <w:rsid w:val="008F1D76"/>
    <w:rsid w:val="008F4FD4"/>
    <w:rsid w:val="008F56C1"/>
    <w:rsid w:val="008F6AC6"/>
    <w:rsid w:val="0090142C"/>
    <w:rsid w:val="00901D95"/>
    <w:rsid w:val="009025C6"/>
    <w:rsid w:val="0090373E"/>
    <w:rsid w:val="00903922"/>
    <w:rsid w:val="00904759"/>
    <w:rsid w:val="0090494C"/>
    <w:rsid w:val="00907491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525"/>
    <w:rsid w:val="00945029"/>
    <w:rsid w:val="009462D7"/>
    <w:rsid w:val="00946D6D"/>
    <w:rsid w:val="00952980"/>
    <w:rsid w:val="00952EB3"/>
    <w:rsid w:val="0095360F"/>
    <w:rsid w:val="00953D09"/>
    <w:rsid w:val="009542E6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3AF"/>
    <w:rsid w:val="00986B5A"/>
    <w:rsid w:val="00992433"/>
    <w:rsid w:val="009963E9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3109"/>
    <w:rsid w:val="009B3598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72A9"/>
    <w:rsid w:val="009D7DBA"/>
    <w:rsid w:val="009E05D4"/>
    <w:rsid w:val="009E4730"/>
    <w:rsid w:val="009E4BB6"/>
    <w:rsid w:val="009E5056"/>
    <w:rsid w:val="009E5FF7"/>
    <w:rsid w:val="009E6296"/>
    <w:rsid w:val="009F0600"/>
    <w:rsid w:val="009F0B43"/>
    <w:rsid w:val="009F49B6"/>
    <w:rsid w:val="009F5CB3"/>
    <w:rsid w:val="00A001EF"/>
    <w:rsid w:val="00A0115C"/>
    <w:rsid w:val="00A01EFC"/>
    <w:rsid w:val="00A03166"/>
    <w:rsid w:val="00A04BB9"/>
    <w:rsid w:val="00A0595D"/>
    <w:rsid w:val="00A12E3E"/>
    <w:rsid w:val="00A140ED"/>
    <w:rsid w:val="00A15CD1"/>
    <w:rsid w:val="00A16124"/>
    <w:rsid w:val="00A169B4"/>
    <w:rsid w:val="00A171F0"/>
    <w:rsid w:val="00A2077F"/>
    <w:rsid w:val="00A21013"/>
    <w:rsid w:val="00A2355A"/>
    <w:rsid w:val="00A24912"/>
    <w:rsid w:val="00A251BB"/>
    <w:rsid w:val="00A25A60"/>
    <w:rsid w:val="00A27037"/>
    <w:rsid w:val="00A27269"/>
    <w:rsid w:val="00A3057F"/>
    <w:rsid w:val="00A320AE"/>
    <w:rsid w:val="00A34F08"/>
    <w:rsid w:val="00A35817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383B"/>
    <w:rsid w:val="00A749FB"/>
    <w:rsid w:val="00A76F2D"/>
    <w:rsid w:val="00A77CBC"/>
    <w:rsid w:val="00A84B64"/>
    <w:rsid w:val="00A90EBC"/>
    <w:rsid w:val="00A92411"/>
    <w:rsid w:val="00A9456E"/>
    <w:rsid w:val="00A94D7D"/>
    <w:rsid w:val="00A9504C"/>
    <w:rsid w:val="00A9504E"/>
    <w:rsid w:val="00A954C1"/>
    <w:rsid w:val="00A95584"/>
    <w:rsid w:val="00AA1F61"/>
    <w:rsid w:val="00AA214B"/>
    <w:rsid w:val="00AA6C29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1A27"/>
    <w:rsid w:val="00AC2087"/>
    <w:rsid w:val="00AC287A"/>
    <w:rsid w:val="00AC365E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2BAA"/>
    <w:rsid w:val="00AE4F5E"/>
    <w:rsid w:val="00AE5037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843"/>
    <w:rsid w:val="00AF79F6"/>
    <w:rsid w:val="00B00C57"/>
    <w:rsid w:val="00B00F26"/>
    <w:rsid w:val="00B0233E"/>
    <w:rsid w:val="00B042A1"/>
    <w:rsid w:val="00B05135"/>
    <w:rsid w:val="00B06E66"/>
    <w:rsid w:val="00B07A87"/>
    <w:rsid w:val="00B117ED"/>
    <w:rsid w:val="00B12F88"/>
    <w:rsid w:val="00B13D89"/>
    <w:rsid w:val="00B13F18"/>
    <w:rsid w:val="00B143FD"/>
    <w:rsid w:val="00B14695"/>
    <w:rsid w:val="00B14DDB"/>
    <w:rsid w:val="00B1538C"/>
    <w:rsid w:val="00B15441"/>
    <w:rsid w:val="00B1580E"/>
    <w:rsid w:val="00B17850"/>
    <w:rsid w:val="00B21AAE"/>
    <w:rsid w:val="00B23172"/>
    <w:rsid w:val="00B244AB"/>
    <w:rsid w:val="00B2537D"/>
    <w:rsid w:val="00B2552E"/>
    <w:rsid w:val="00B261F0"/>
    <w:rsid w:val="00B2762B"/>
    <w:rsid w:val="00B33960"/>
    <w:rsid w:val="00B33C59"/>
    <w:rsid w:val="00B349D4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6528"/>
    <w:rsid w:val="00B56F12"/>
    <w:rsid w:val="00B600DA"/>
    <w:rsid w:val="00B6135F"/>
    <w:rsid w:val="00B61645"/>
    <w:rsid w:val="00B63247"/>
    <w:rsid w:val="00B65FB8"/>
    <w:rsid w:val="00B66E9E"/>
    <w:rsid w:val="00B6765F"/>
    <w:rsid w:val="00B71201"/>
    <w:rsid w:val="00B71391"/>
    <w:rsid w:val="00B71EFA"/>
    <w:rsid w:val="00B74B0C"/>
    <w:rsid w:val="00B7529A"/>
    <w:rsid w:val="00B77046"/>
    <w:rsid w:val="00B77202"/>
    <w:rsid w:val="00B80302"/>
    <w:rsid w:val="00B80529"/>
    <w:rsid w:val="00B81AAB"/>
    <w:rsid w:val="00B841E5"/>
    <w:rsid w:val="00B90E84"/>
    <w:rsid w:val="00B911DE"/>
    <w:rsid w:val="00B92645"/>
    <w:rsid w:val="00B938F3"/>
    <w:rsid w:val="00B9416D"/>
    <w:rsid w:val="00B94645"/>
    <w:rsid w:val="00B94C31"/>
    <w:rsid w:val="00B94D87"/>
    <w:rsid w:val="00B95C09"/>
    <w:rsid w:val="00B97F40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144"/>
    <w:rsid w:val="00BD27CC"/>
    <w:rsid w:val="00BD38A8"/>
    <w:rsid w:val="00BD38C5"/>
    <w:rsid w:val="00BD3BFE"/>
    <w:rsid w:val="00BD528B"/>
    <w:rsid w:val="00BE15D8"/>
    <w:rsid w:val="00BE1717"/>
    <w:rsid w:val="00BE36F7"/>
    <w:rsid w:val="00BE3AFA"/>
    <w:rsid w:val="00BE43BC"/>
    <w:rsid w:val="00BE52F7"/>
    <w:rsid w:val="00BE5CCC"/>
    <w:rsid w:val="00BE67E5"/>
    <w:rsid w:val="00BE706C"/>
    <w:rsid w:val="00BF058C"/>
    <w:rsid w:val="00BF1FC4"/>
    <w:rsid w:val="00BF271A"/>
    <w:rsid w:val="00BF5C45"/>
    <w:rsid w:val="00BF5CB8"/>
    <w:rsid w:val="00BF7927"/>
    <w:rsid w:val="00C001C8"/>
    <w:rsid w:val="00C0137C"/>
    <w:rsid w:val="00C03087"/>
    <w:rsid w:val="00C030EB"/>
    <w:rsid w:val="00C03DC2"/>
    <w:rsid w:val="00C059A2"/>
    <w:rsid w:val="00C07112"/>
    <w:rsid w:val="00C10C4F"/>
    <w:rsid w:val="00C136AA"/>
    <w:rsid w:val="00C14398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65F1"/>
    <w:rsid w:val="00C3668A"/>
    <w:rsid w:val="00C37853"/>
    <w:rsid w:val="00C37B73"/>
    <w:rsid w:val="00C403B8"/>
    <w:rsid w:val="00C405F6"/>
    <w:rsid w:val="00C41E23"/>
    <w:rsid w:val="00C4623F"/>
    <w:rsid w:val="00C4681E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28CD"/>
    <w:rsid w:val="00C73643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875"/>
    <w:rsid w:val="00CA795D"/>
    <w:rsid w:val="00CB1095"/>
    <w:rsid w:val="00CB12DD"/>
    <w:rsid w:val="00CB1557"/>
    <w:rsid w:val="00CB362B"/>
    <w:rsid w:val="00CB5448"/>
    <w:rsid w:val="00CC4C63"/>
    <w:rsid w:val="00CD359E"/>
    <w:rsid w:val="00CD3AD1"/>
    <w:rsid w:val="00CD3DEA"/>
    <w:rsid w:val="00CD604E"/>
    <w:rsid w:val="00CD65B1"/>
    <w:rsid w:val="00CD6AD0"/>
    <w:rsid w:val="00CD6AFF"/>
    <w:rsid w:val="00CD6E6A"/>
    <w:rsid w:val="00CD7705"/>
    <w:rsid w:val="00CE1434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D05CB8"/>
    <w:rsid w:val="00D0608B"/>
    <w:rsid w:val="00D0642C"/>
    <w:rsid w:val="00D06BB9"/>
    <w:rsid w:val="00D07A04"/>
    <w:rsid w:val="00D11503"/>
    <w:rsid w:val="00D12FB5"/>
    <w:rsid w:val="00D139AF"/>
    <w:rsid w:val="00D160C9"/>
    <w:rsid w:val="00D16E85"/>
    <w:rsid w:val="00D21165"/>
    <w:rsid w:val="00D22852"/>
    <w:rsid w:val="00D238F0"/>
    <w:rsid w:val="00D25533"/>
    <w:rsid w:val="00D25A7E"/>
    <w:rsid w:val="00D27A56"/>
    <w:rsid w:val="00D3059C"/>
    <w:rsid w:val="00D3082D"/>
    <w:rsid w:val="00D342A6"/>
    <w:rsid w:val="00D355E3"/>
    <w:rsid w:val="00D37515"/>
    <w:rsid w:val="00D377D3"/>
    <w:rsid w:val="00D4255E"/>
    <w:rsid w:val="00D42B4B"/>
    <w:rsid w:val="00D4454B"/>
    <w:rsid w:val="00D4559E"/>
    <w:rsid w:val="00D455BF"/>
    <w:rsid w:val="00D46A01"/>
    <w:rsid w:val="00D50B50"/>
    <w:rsid w:val="00D512DF"/>
    <w:rsid w:val="00D53E56"/>
    <w:rsid w:val="00D553D7"/>
    <w:rsid w:val="00D55468"/>
    <w:rsid w:val="00D559BC"/>
    <w:rsid w:val="00D559C4"/>
    <w:rsid w:val="00D5664B"/>
    <w:rsid w:val="00D57D81"/>
    <w:rsid w:val="00D61B09"/>
    <w:rsid w:val="00D64A4E"/>
    <w:rsid w:val="00D64E09"/>
    <w:rsid w:val="00D656D3"/>
    <w:rsid w:val="00D7056F"/>
    <w:rsid w:val="00D72324"/>
    <w:rsid w:val="00D7293D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85A"/>
    <w:rsid w:val="00D86B0B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4973"/>
    <w:rsid w:val="00DB5B7A"/>
    <w:rsid w:val="00DB5D6F"/>
    <w:rsid w:val="00DB607E"/>
    <w:rsid w:val="00DB76DA"/>
    <w:rsid w:val="00DC018A"/>
    <w:rsid w:val="00DC0FCD"/>
    <w:rsid w:val="00DC42C3"/>
    <w:rsid w:val="00DC52C4"/>
    <w:rsid w:val="00DC6B01"/>
    <w:rsid w:val="00DC7A51"/>
    <w:rsid w:val="00DD068F"/>
    <w:rsid w:val="00DD2655"/>
    <w:rsid w:val="00DD2DFE"/>
    <w:rsid w:val="00DD38B9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392"/>
    <w:rsid w:val="00DF2929"/>
    <w:rsid w:val="00DF3062"/>
    <w:rsid w:val="00DF339F"/>
    <w:rsid w:val="00DF3E4D"/>
    <w:rsid w:val="00DF3F6A"/>
    <w:rsid w:val="00DF4424"/>
    <w:rsid w:val="00DF4876"/>
    <w:rsid w:val="00DF4B4F"/>
    <w:rsid w:val="00DF58D5"/>
    <w:rsid w:val="00DF6000"/>
    <w:rsid w:val="00DF7994"/>
    <w:rsid w:val="00E00F55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16CD5"/>
    <w:rsid w:val="00E16E22"/>
    <w:rsid w:val="00E21FA6"/>
    <w:rsid w:val="00E2252F"/>
    <w:rsid w:val="00E260D2"/>
    <w:rsid w:val="00E26FDE"/>
    <w:rsid w:val="00E2774D"/>
    <w:rsid w:val="00E31642"/>
    <w:rsid w:val="00E31B30"/>
    <w:rsid w:val="00E325DF"/>
    <w:rsid w:val="00E3410B"/>
    <w:rsid w:val="00E354CA"/>
    <w:rsid w:val="00E36152"/>
    <w:rsid w:val="00E36455"/>
    <w:rsid w:val="00E40DDD"/>
    <w:rsid w:val="00E424E6"/>
    <w:rsid w:val="00E42D6F"/>
    <w:rsid w:val="00E51E7C"/>
    <w:rsid w:val="00E52236"/>
    <w:rsid w:val="00E54ED5"/>
    <w:rsid w:val="00E55271"/>
    <w:rsid w:val="00E55BF4"/>
    <w:rsid w:val="00E57CD5"/>
    <w:rsid w:val="00E66531"/>
    <w:rsid w:val="00E7148D"/>
    <w:rsid w:val="00E72168"/>
    <w:rsid w:val="00E7779D"/>
    <w:rsid w:val="00E77F5B"/>
    <w:rsid w:val="00E800A5"/>
    <w:rsid w:val="00E805E1"/>
    <w:rsid w:val="00E81AA5"/>
    <w:rsid w:val="00E81ED3"/>
    <w:rsid w:val="00E8366A"/>
    <w:rsid w:val="00E83954"/>
    <w:rsid w:val="00E84D5C"/>
    <w:rsid w:val="00E86CF7"/>
    <w:rsid w:val="00E92A22"/>
    <w:rsid w:val="00E93564"/>
    <w:rsid w:val="00EA0F6E"/>
    <w:rsid w:val="00EA0FA5"/>
    <w:rsid w:val="00EA118F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B7CCE"/>
    <w:rsid w:val="00EC04F1"/>
    <w:rsid w:val="00EC17E0"/>
    <w:rsid w:val="00EC192D"/>
    <w:rsid w:val="00EC389F"/>
    <w:rsid w:val="00EC490B"/>
    <w:rsid w:val="00EC4DFD"/>
    <w:rsid w:val="00EC7838"/>
    <w:rsid w:val="00ED331B"/>
    <w:rsid w:val="00ED48F6"/>
    <w:rsid w:val="00ED4D04"/>
    <w:rsid w:val="00ED4EAF"/>
    <w:rsid w:val="00ED51EB"/>
    <w:rsid w:val="00ED5D88"/>
    <w:rsid w:val="00EE0F15"/>
    <w:rsid w:val="00EE1246"/>
    <w:rsid w:val="00EE19B8"/>
    <w:rsid w:val="00EE1CE5"/>
    <w:rsid w:val="00EE2D83"/>
    <w:rsid w:val="00EE4769"/>
    <w:rsid w:val="00EE51FF"/>
    <w:rsid w:val="00EE5937"/>
    <w:rsid w:val="00EE5F7C"/>
    <w:rsid w:val="00EE7764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31F8"/>
    <w:rsid w:val="00F05339"/>
    <w:rsid w:val="00F05815"/>
    <w:rsid w:val="00F063B0"/>
    <w:rsid w:val="00F063FC"/>
    <w:rsid w:val="00F11706"/>
    <w:rsid w:val="00F12280"/>
    <w:rsid w:val="00F1707D"/>
    <w:rsid w:val="00F17D82"/>
    <w:rsid w:val="00F22B85"/>
    <w:rsid w:val="00F22E1B"/>
    <w:rsid w:val="00F24978"/>
    <w:rsid w:val="00F26830"/>
    <w:rsid w:val="00F27E9D"/>
    <w:rsid w:val="00F3017C"/>
    <w:rsid w:val="00F31B13"/>
    <w:rsid w:val="00F31C9F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3A63"/>
    <w:rsid w:val="00F563E9"/>
    <w:rsid w:val="00F5670F"/>
    <w:rsid w:val="00F57CBC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806"/>
    <w:rsid w:val="00F81B69"/>
    <w:rsid w:val="00F82637"/>
    <w:rsid w:val="00F84745"/>
    <w:rsid w:val="00F8566C"/>
    <w:rsid w:val="00F863A8"/>
    <w:rsid w:val="00F8717B"/>
    <w:rsid w:val="00F87391"/>
    <w:rsid w:val="00F87574"/>
    <w:rsid w:val="00F87ED0"/>
    <w:rsid w:val="00F91920"/>
    <w:rsid w:val="00F930D0"/>
    <w:rsid w:val="00F968DA"/>
    <w:rsid w:val="00F96D82"/>
    <w:rsid w:val="00F96E52"/>
    <w:rsid w:val="00FA14BC"/>
    <w:rsid w:val="00FA2D83"/>
    <w:rsid w:val="00FA58D2"/>
    <w:rsid w:val="00FA60BB"/>
    <w:rsid w:val="00FA67AC"/>
    <w:rsid w:val="00FA6DCB"/>
    <w:rsid w:val="00FA7C04"/>
    <w:rsid w:val="00FB002C"/>
    <w:rsid w:val="00FB0854"/>
    <w:rsid w:val="00FB16D4"/>
    <w:rsid w:val="00FB1940"/>
    <w:rsid w:val="00FB65D8"/>
    <w:rsid w:val="00FB6B0D"/>
    <w:rsid w:val="00FB6CAF"/>
    <w:rsid w:val="00FB790A"/>
    <w:rsid w:val="00FB7A09"/>
    <w:rsid w:val="00FC1B8B"/>
    <w:rsid w:val="00FC212A"/>
    <w:rsid w:val="00FC2302"/>
    <w:rsid w:val="00FC626E"/>
    <w:rsid w:val="00FC640D"/>
    <w:rsid w:val="00FD2AD0"/>
    <w:rsid w:val="00FD5F38"/>
    <w:rsid w:val="00FD6310"/>
    <w:rsid w:val="00FD6750"/>
    <w:rsid w:val="00FD681E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191A"/>
    <w:rsid w:val="00FF30D1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78CF5-7553-4C28-9027-6681107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AC1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  <w:style w:type="paragraph" w:styleId="Bezodstpw">
    <w:name w:val="No Spacing"/>
    <w:uiPriority w:val="1"/>
    <w:qFormat/>
    <w:rsid w:val="00D554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AC1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16E22"/>
    <w:rPr>
      <w:rFonts w:ascii="Arial" w:eastAsiaTheme="minorHAnsi" w:hAnsi="Arial" w:cs="Arial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6E22"/>
    <w:rPr>
      <w:rFonts w:ascii="Arial" w:eastAsiaTheme="minorHAnsi" w:hAnsi="Arial" w:cs="Arial"/>
      <w:color w:val="00000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6F8-3A22-4F95-9CED-154F4556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Katarzyna - u00kost</dc:creator>
  <cp:lastModifiedBy>Ostrowska Katarzyna - u00kost</cp:lastModifiedBy>
  <cp:revision>4</cp:revision>
  <cp:lastPrinted>2017-01-20T14:36:00Z</cp:lastPrinted>
  <dcterms:created xsi:type="dcterms:W3CDTF">2017-03-13T11:22:00Z</dcterms:created>
  <dcterms:modified xsi:type="dcterms:W3CDTF">2017-03-13T11:24:00Z</dcterms:modified>
</cp:coreProperties>
</file>