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D8B" w:rsidRDefault="008256AC" w:rsidP="0046089C">
      <w:pPr>
        <w:jc w:val="both"/>
        <w:rPr>
          <w:sz w:val="32"/>
        </w:rPr>
      </w:pPr>
      <w:r>
        <w:rPr>
          <w:sz w:val="32"/>
        </w:rPr>
        <w:t xml:space="preserve">Jakość obsługi w placówce – Banki Millennium, Getin Bank, Alior Bank, PZU, Warta, Uniqa oraz Orange – liderzy 1 edycji 2017. </w:t>
      </w:r>
    </w:p>
    <w:p w:rsidR="008256AC" w:rsidRDefault="00DC4511" w:rsidP="0046089C">
      <w:pPr>
        <w:jc w:val="both"/>
        <w:rPr>
          <w:b/>
        </w:rPr>
      </w:pPr>
      <w:r w:rsidRPr="0033145D">
        <w:rPr>
          <w:b/>
        </w:rPr>
        <w:t xml:space="preserve">W </w:t>
      </w:r>
      <w:r w:rsidR="006B1CB4">
        <w:rPr>
          <w:b/>
        </w:rPr>
        <w:t xml:space="preserve">czerwcu </w:t>
      </w:r>
      <w:r w:rsidR="00253AEC" w:rsidRPr="0033145D">
        <w:rPr>
          <w:b/>
        </w:rPr>
        <w:t>br.</w:t>
      </w:r>
      <w:r w:rsidRPr="0033145D">
        <w:rPr>
          <w:b/>
        </w:rPr>
        <w:t xml:space="preserve"> eksperci portalu MojeBankowanie.pl w ramach </w:t>
      </w:r>
      <w:r w:rsidR="006B1CB4">
        <w:rPr>
          <w:b/>
        </w:rPr>
        <w:t>3</w:t>
      </w:r>
      <w:r w:rsidRPr="0033145D">
        <w:rPr>
          <w:b/>
        </w:rPr>
        <w:t xml:space="preserve"> edycji Instytucji roku 201</w:t>
      </w:r>
      <w:r w:rsidR="006B1CB4">
        <w:rPr>
          <w:b/>
        </w:rPr>
        <w:t>7</w:t>
      </w:r>
      <w:r w:rsidRPr="0033145D">
        <w:rPr>
          <w:b/>
        </w:rPr>
        <w:t xml:space="preserve"> zbadali jakość obsługi w </w:t>
      </w:r>
      <w:r w:rsidR="0033145D" w:rsidRPr="0033145D">
        <w:rPr>
          <w:b/>
        </w:rPr>
        <w:t xml:space="preserve">placówkach. </w:t>
      </w:r>
      <w:r w:rsidR="008256AC">
        <w:rPr>
          <w:b/>
        </w:rPr>
        <w:t>W bankach szczególną uwagę zwrócono na kartę debetową do konta, w telekomach na roaming a u agentów na ubezpieczenie mieszkania.</w:t>
      </w:r>
    </w:p>
    <w:p w:rsidR="00525138" w:rsidRDefault="00525138" w:rsidP="0046089C">
      <w:pPr>
        <w:jc w:val="both"/>
      </w:pPr>
      <w:r>
        <w:t>Badanie przeprowadzono w tradycyjnej eksperckiej formule</w:t>
      </w:r>
      <w:r w:rsidR="0033145D">
        <w:t xml:space="preserve"> oceniając 6 etapów: pierwsze wrażenie, płynność obsługi, powitanie, komfort obsługi, rozmowę z doradcą oraz zakończenie.</w:t>
      </w:r>
      <w:r>
        <w:t xml:space="preserve"> </w:t>
      </w:r>
      <w:r w:rsidR="001136A6">
        <w:t xml:space="preserve">Eksperci odwiedzili </w:t>
      </w:r>
      <w:r w:rsidR="00E55007">
        <w:t>252</w:t>
      </w:r>
      <w:r w:rsidR="001136A6">
        <w:t xml:space="preserve"> placówk</w:t>
      </w:r>
      <w:r w:rsidR="00E55007">
        <w:t>i</w:t>
      </w:r>
      <w:r w:rsidR="001136A6">
        <w:t>/punkt</w:t>
      </w:r>
      <w:r w:rsidR="00E55007">
        <w:t xml:space="preserve">y </w:t>
      </w:r>
      <w:r w:rsidR="001136A6">
        <w:t xml:space="preserve">obsługi banków, ubezpieczycieli i telekomów. </w:t>
      </w:r>
      <w:r w:rsidR="00E55007">
        <w:t>W roku 2017</w:t>
      </w:r>
      <w:r>
        <w:t xml:space="preserve"> to </w:t>
      </w:r>
      <w:r w:rsidR="00E55007">
        <w:t xml:space="preserve">pierwsza z czterech </w:t>
      </w:r>
      <w:r>
        <w:t xml:space="preserve">edycji badania. Średni wyniki z </w:t>
      </w:r>
      <w:r w:rsidR="00E55007">
        <w:t>4</w:t>
      </w:r>
      <w:r>
        <w:t xml:space="preserve"> edycji pozwoli w styczniu 201</w:t>
      </w:r>
      <w:r w:rsidR="00E55007">
        <w:t>8</w:t>
      </w:r>
      <w:r>
        <w:t xml:space="preserve"> wyłonić zwycięzców Instytucji roku 201</w:t>
      </w:r>
      <w:r w:rsidR="00E55007">
        <w:t>7</w:t>
      </w:r>
      <w:r>
        <w:t>.</w:t>
      </w:r>
      <w:r w:rsidR="001B21F1">
        <w:t xml:space="preserve"> </w:t>
      </w:r>
    </w:p>
    <w:p w:rsidR="008256AC" w:rsidRDefault="00587DE0" w:rsidP="0046089C">
      <w:pPr>
        <w:jc w:val="both"/>
      </w:pPr>
      <w:r w:rsidRPr="00FD1A0B">
        <w:rPr>
          <w:b/>
        </w:rPr>
        <w:t>Najlepiej przygotowane do obsługi</w:t>
      </w:r>
      <w:r w:rsidR="001136A6" w:rsidRPr="00FD1A0B">
        <w:rPr>
          <w:b/>
        </w:rPr>
        <w:t xml:space="preserve"> klienta w placówce są </w:t>
      </w:r>
      <w:r w:rsidR="00DD29AE">
        <w:rPr>
          <w:b/>
        </w:rPr>
        <w:t>telekomy</w:t>
      </w:r>
      <w:r w:rsidR="001136A6" w:rsidRPr="00FD1A0B">
        <w:rPr>
          <w:b/>
        </w:rPr>
        <w:t xml:space="preserve">, za nimi </w:t>
      </w:r>
      <w:r w:rsidR="00DD29AE">
        <w:rPr>
          <w:b/>
        </w:rPr>
        <w:t xml:space="preserve">ubezpieczyciele i </w:t>
      </w:r>
      <w:r w:rsidR="001136A6" w:rsidRPr="00FD1A0B">
        <w:rPr>
          <w:b/>
        </w:rPr>
        <w:t xml:space="preserve">ze stratą </w:t>
      </w:r>
      <w:r w:rsidR="00DD29AE">
        <w:rPr>
          <w:b/>
        </w:rPr>
        <w:t>4</w:t>
      </w:r>
      <w:r w:rsidR="001136A6" w:rsidRPr="00FD1A0B">
        <w:rPr>
          <w:b/>
        </w:rPr>
        <w:t xml:space="preserve"> p.p. </w:t>
      </w:r>
      <w:r w:rsidR="00DD29AE">
        <w:rPr>
          <w:b/>
        </w:rPr>
        <w:t>banki</w:t>
      </w:r>
      <w:r w:rsidR="001136A6" w:rsidRPr="00FD1A0B">
        <w:rPr>
          <w:b/>
        </w:rPr>
        <w:t>.</w:t>
      </w:r>
      <w:r w:rsidR="00DD29AE">
        <w:rPr>
          <w:b/>
        </w:rPr>
        <w:t xml:space="preserve"> </w:t>
      </w:r>
      <w:r w:rsidR="001136A6" w:rsidRPr="00FD1A0B">
        <w:rPr>
          <w:b/>
        </w:rPr>
        <w:t xml:space="preserve">Liderami rankingu </w:t>
      </w:r>
      <w:r w:rsidR="00DD3DA0">
        <w:rPr>
          <w:b/>
        </w:rPr>
        <w:t xml:space="preserve">tej edycji </w:t>
      </w:r>
      <w:r w:rsidR="00DB4CC3" w:rsidRPr="00FD1A0B">
        <w:rPr>
          <w:b/>
        </w:rPr>
        <w:t xml:space="preserve">w </w:t>
      </w:r>
      <w:r w:rsidR="00DB4CC3">
        <w:rPr>
          <w:b/>
        </w:rPr>
        <w:t xml:space="preserve">ubezpieczeniach są: </w:t>
      </w:r>
      <w:r w:rsidR="00DB4CC3" w:rsidRPr="00FD1A0B">
        <w:rPr>
          <w:b/>
        </w:rPr>
        <w:t xml:space="preserve">PZU, </w:t>
      </w:r>
      <w:r w:rsidR="00DB4CC3">
        <w:rPr>
          <w:b/>
        </w:rPr>
        <w:t>W</w:t>
      </w:r>
      <w:r w:rsidR="00DB4CC3" w:rsidRPr="00FD1A0B">
        <w:rPr>
          <w:b/>
        </w:rPr>
        <w:t>arta</w:t>
      </w:r>
      <w:r w:rsidR="00DB4CC3">
        <w:rPr>
          <w:b/>
        </w:rPr>
        <w:t xml:space="preserve"> oraz Uniqa, natomiast w tel</w:t>
      </w:r>
      <w:r w:rsidR="001136A6" w:rsidRPr="00FD1A0B">
        <w:rPr>
          <w:b/>
        </w:rPr>
        <w:t>efonii liderem jest Orange</w:t>
      </w:r>
      <w:r w:rsidR="00067FD7">
        <w:rPr>
          <w:b/>
        </w:rPr>
        <w:t>.</w:t>
      </w:r>
      <w:r w:rsidR="001136A6">
        <w:t xml:space="preserve"> </w:t>
      </w:r>
      <w:r w:rsidR="00DB4CC3" w:rsidRPr="008C4DB6">
        <w:rPr>
          <w:b/>
        </w:rPr>
        <w:t>W bankowym rankingu</w:t>
      </w:r>
      <w:r w:rsidR="00DB4CC3">
        <w:t xml:space="preserve"> mamy trochę zmian-pierwsze miejsce zajmuje </w:t>
      </w:r>
      <w:r w:rsidR="00DB4CC3" w:rsidRPr="00201E55">
        <w:rPr>
          <w:b/>
        </w:rPr>
        <w:t>Bank Millennium</w:t>
      </w:r>
      <w:r w:rsidR="00DB4CC3">
        <w:t xml:space="preserve"> (nie jest to zaskoczeniem) a zaraz za nim </w:t>
      </w:r>
      <w:r w:rsidR="00DB4CC3" w:rsidRPr="00201E55">
        <w:rPr>
          <w:b/>
        </w:rPr>
        <w:t>Getin Bank oraz Alior Bank</w:t>
      </w:r>
      <w:r w:rsidR="00DB4CC3">
        <w:t xml:space="preserve">. </w:t>
      </w:r>
    </w:p>
    <w:p w:rsidR="008256AC" w:rsidRDefault="008256AC" w:rsidP="0046089C">
      <w:pPr>
        <w:jc w:val="both"/>
      </w:pPr>
      <w:r>
        <w:rPr>
          <w:noProof/>
        </w:rPr>
        <w:drawing>
          <wp:inline distT="0" distB="0" distL="0" distR="0">
            <wp:extent cx="5760720" cy="433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kość obsługi w placówce - 2017-07 - 01 -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AC" w:rsidRDefault="008256AC" w:rsidP="0046089C">
      <w:pPr>
        <w:jc w:val="both"/>
      </w:pPr>
    </w:p>
    <w:p w:rsidR="008256AC" w:rsidRDefault="008256AC" w:rsidP="0046089C">
      <w:pPr>
        <w:jc w:val="both"/>
      </w:pPr>
    </w:p>
    <w:p w:rsidR="008256AC" w:rsidRDefault="008256AC" w:rsidP="0046089C">
      <w:pPr>
        <w:jc w:val="both"/>
      </w:pPr>
    </w:p>
    <w:p w:rsidR="008256AC" w:rsidRDefault="008256AC" w:rsidP="0046089C">
      <w:pPr>
        <w:jc w:val="both"/>
      </w:pPr>
    </w:p>
    <w:p w:rsidR="008256AC" w:rsidRPr="008256AC" w:rsidRDefault="008256AC" w:rsidP="0046089C">
      <w:pPr>
        <w:shd w:val="clear" w:color="auto" w:fill="FFFFFF"/>
        <w:spacing w:after="390" w:line="390" w:lineRule="atLeast"/>
        <w:jc w:val="both"/>
        <w:rPr>
          <w:b/>
          <w:color w:val="FF0000"/>
          <w:sz w:val="24"/>
        </w:rPr>
      </w:pPr>
      <w:bookmarkStart w:id="0" w:name="_GoBack"/>
      <w:bookmarkEnd w:id="0"/>
      <w:r w:rsidRPr="001F1DD2">
        <w:rPr>
          <w:b/>
          <w:color w:val="FF0000"/>
          <w:sz w:val="24"/>
        </w:rPr>
        <w:lastRenderedPageBreak/>
        <w:t>Pierwsze wrażenie</w:t>
      </w:r>
    </w:p>
    <w:p w:rsidR="008256AC" w:rsidRPr="008256AC" w:rsidRDefault="008256AC" w:rsidP="0046089C">
      <w:pPr>
        <w:shd w:val="clear" w:color="auto" w:fill="FFFFFF"/>
        <w:spacing w:after="390" w:line="390" w:lineRule="atLeast"/>
        <w:jc w:val="both"/>
      </w:pPr>
      <w:r w:rsidRPr="008256AC">
        <w:t xml:space="preserve">Pracownicy banków oraz firm ubezpieczeniowych prawie od razu reagują na wchodzącego do placówki klienta okazując zainteresowanie, natomiast </w:t>
      </w:r>
      <w:r w:rsidR="001F1DD2">
        <w:t>37</w:t>
      </w:r>
      <w:r w:rsidRPr="008256AC">
        <w:t>% pracowników telekomów potrzebuje więcej czasu lub oczekuje, że klient sam podejdzie lub poczeka w kolejce na obsługę</w:t>
      </w:r>
      <w:r w:rsidR="001F1DD2">
        <w:t xml:space="preserve"> (poprawa o 2 p.p. w stosunku do roku 2016)</w:t>
      </w:r>
      <w:r w:rsidRPr="008256AC">
        <w:t>.</w:t>
      </w:r>
    </w:p>
    <w:p w:rsidR="008256AC" w:rsidRDefault="008256AC" w:rsidP="0046089C">
      <w:pPr>
        <w:jc w:val="both"/>
      </w:pPr>
    </w:p>
    <w:p w:rsidR="008256AC" w:rsidRDefault="001F1DD2" w:rsidP="0046089C">
      <w:pPr>
        <w:jc w:val="both"/>
      </w:pPr>
      <w:r>
        <w:rPr>
          <w:noProof/>
        </w:rPr>
        <w:drawing>
          <wp:inline distT="0" distB="0" distL="0" distR="0">
            <wp:extent cx="5760720" cy="2548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kość obsługi w placówce - 2017-07 - 02 -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AC" w:rsidRDefault="008256AC" w:rsidP="0046089C">
      <w:pPr>
        <w:jc w:val="both"/>
      </w:pPr>
    </w:p>
    <w:p w:rsidR="00B62B32" w:rsidRPr="008256AC" w:rsidRDefault="00B62B32" w:rsidP="0046089C">
      <w:pPr>
        <w:shd w:val="clear" w:color="auto" w:fill="FFFFFF"/>
        <w:spacing w:after="390" w:line="390" w:lineRule="atLeast"/>
        <w:jc w:val="both"/>
        <w:rPr>
          <w:b/>
          <w:color w:val="FF0000"/>
          <w:sz w:val="24"/>
        </w:rPr>
      </w:pPr>
      <w:r w:rsidRPr="001F1DD2">
        <w:rPr>
          <w:b/>
          <w:color w:val="FF0000"/>
          <w:sz w:val="24"/>
        </w:rPr>
        <w:t>P</w:t>
      </w:r>
      <w:r>
        <w:rPr>
          <w:b/>
          <w:color w:val="FF0000"/>
          <w:sz w:val="24"/>
        </w:rPr>
        <w:t>łynność obsługi</w:t>
      </w:r>
    </w:p>
    <w:p w:rsidR="00B62B32" w:rsidRDefault="00B62B32" w:rsidP="0046089C">
      <w:pPr>
        <w:shd w:val="clear" w:color="auto" w:fill="FFFFFF"/>
        <w:spacing w:after="390" w:line="390" w:lineRule="atLeast"/>
        <w:jc w:val="both"/>
      </w:pPr>
      <w:r>
        <w:t>Najkrócej na obsługę poczekamy u agentów oraz w telekomach. W bankach niestety ten czas może się trochę wydłużyć. Najdłużej na obsługę czekaliśmy w Banku Pocztowym, PKO Banku Polskim, Banku Zachodnim WBK oraz mBanku.</w:t>
      </w:r>
    </w:p>
    <w:p w:rsidR="00B62B32" w:rsidRDefault="00B62B32" w:rsidP="0046089C">
      <w:pPr>
        <w:shd w:val="clear" w:color="auto" w:fill="FFFFFF"/>
        <w:spacing w:after="390" w:line="39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760720" cy="30283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kość obsługi w placówce - 2017-07 - 04 -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32" w:rsidRDefault="00B62B32" w:rsidP="0046089C">
      <w:pPr>
        <w:shd w:val="clear" w:color="auto" w:fill="FFFFFF"/>
        <w:spacing w:after="390" w:line="390" w:lineRule="atLeast"/>
        <w:jc w:val="both"/>
      </w:pPr>
      <w:r>
        <w:t xml:space="preserve">Zainteresowanie czekającym na obsługę klientem prawie w każdym przypadku okazali agenci, natomiast w bankach i telekomach </w:t>
      </w:r>
      <w:r w:rsidR="00656D72">
        <w:t>nie zawsze pracownicy interesują się oczekującym na obsługę klientem.</w:t>
      </w: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  <w:r>
        <w:rPr>
          <w:noProof/>
        </w:rPr>
        <w:drawing>
          <wp:inline distT="0" distB="0" distL="0" distR="0">
            <wp:extent cx="5760720" cy="25488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kość obsługi w placówce - 2017-07 - 03 - 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</w:p>
    <w:p w:rsidR="00B62B32" w:rsidRDefault="00B62B32" w:rsidP="0046089C">
      <w:pPr>
        <w:jc w:val="both"/>
      </w:pPr>
    </w:p>
    <w:p w:rsidR="00656D72" w:rsidRPr="008256AC" w:rsidRDefault="00656D72" w:rsidP="0046089C">
      <w:pPr>
        <w:shd w:val="clear" w:color="auto" w:fill="FFFFFF"/>
        <w:spacing w:after="390" w:line="390" w:lineRule="atLeast"/>
        <w:jc w:val="both"/>
        <w:rPr>
          <w:b/>
          <w:color w:val="FF0000"/>
          <w:sz w:val="24"/>
        </w:rPr>
      </w:pPr>
      <w:r w:rsidRPr="001F1DD2">
        <w:rPr>
          <w:b/>
          <w:color w:val="FF0000"/>
          <w:sz w:val="24"/>
        </w:rPr>
        <w:lastRenderedPageBreak/>
        <w:t>P</w:t>
      </w:r>
      <w:r>
        <w:rPr>
          <w:b/>
          <w:color w:val="FF0000"/>
          <w:sz w:val="24"/>
        </w:rPr>
        <w:t>owitanie</w:t>
      </w:r>
    </w:p>
    <w:p w:rsidR="00B62B32" w:rsidRDefault="00656D72" w:rsidP="0046089C">
      <w:pPr>
        <w:jc w:val="both"/>
      </w:pPr>
      <w:r w:rsidRPr="00656D72">
        <w:t xml:space="preserve">Klienci lubią wiedzieć z kim rozmawiają, dlatego </w:t>
      </w:r>
      <w:r>
        <w:t xml:space="preserve">coraz bardziej popularne stało się przedstawianie </w:t>
      </w:r>
      <w:r w:rsidRPr="00656D72">
        <w:t>z imienia i nazwiska</w:t>
      </w:r>
      <w:r>
        <w:t xml:space="preserve"> na początku rozmowy</w:t>
      </w:r>
      <w:r w:rsidRPr="00656D72">
        <w:t xml:space="preserve">, jednak nie zawsze zapamiętujemy imię i nazwisko Doradcy. Zdecydowanie zadanie to ułatwia identyfikator lub tabliczka z imieniem i nazwiskiem pracownika / wizytownik, gdzie w każdym momencie klient ma dostęp do tej informacji. W bankach i telefonii nie mamy z tym problemu, jednak w przypadku ubezpieczeń </w:t>
      </w:r>
      <w:r>
        <w:t>69</w:t>
      </w:r>
      <w:r w:rsidRPr="00656D72">
        <w:t>%  Agentów była anonimowa</w:t>
      </w:r>
      <w:r>
        <w:t xml:space="preserve"> (poprawa o 6 p.p</w:t>
      </w:r>
      <w:r w:rsidRPr="00656D72">
        <w:t>.</w:t>
      </w:r>
      <w:r>
        <w:t xml:space="preserve"> w stosunku do roku 2016).</w:t>
      </w:r>
    </w:p>
    <w:p w:rsidR="00B62B32" w:rsidRDefault="00B62B32" w:rsidP="0046089C">
      <w:pPr>
        <w:jc w:val="both"/>
      </w:pPr>
    </w:p>
    <w:p w:rsidR="00B62B32" w:rsidRDefault="00656D72" w:rsidP="0046089C">
      <w:pPr>
        <w:jc w:val="both"/>
      </w:pPr>
      <w:r>
        <w:rPr>
          <w:noProof/>
        </w:rPr>
        <w:drawing>
          <wp:inline distT="0" distB="0" distL="0" distR="0">
            <wp:extent cx="5760720" cy="26968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kość obsługi w placówce - 2017-07 - 05 - 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72" w:rsidRDefault="00656D72" w:rsidP="0046089C">
      <w:pPr>
        <w:shd w:val="clear" w:color="auto" w:fill="FFFFFF"/>
        <w:spacing w:after="390" w:line="390" w:lineRule="atLeast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Komfort obsługi</w:t>
      </w:r>
    </w:p>
    <w:p w:rsidR="00656D72" w:rsidRPr="008256AC" w:rsidRDefault="00656D72" w:rsidP="0046089C">
      <w:pPr>
        <w:shd w:val="clear" w:color="auto" w:fill="FFFFFF"/>
        <w:jc w:val="both"/>
      </w:pPr>
      <w:r w:rsidRPr="004B6F3D">
        <w:t>Najbardziej komfortowo czujemy się w bankach, które zapewniły wolne miejsca dla osób oczekujących oraz w większości Oddziałów obsługę na siedząco. U Agentów sytuacja wygląda podobnie. Telekomy z uwagi na małe placówki nie zawsze zapewniają taki komfort jak banki, które coraz częściej prowadzą rozmowy z klientami w oddzielnych, specjalnie do tego przygotowanych pokojach.</w:t>
      </w:r>
    </w:p>
    <w:p w:rsidR="00B62B32" w:rsidRDefault="004B6F3D" w:rsidP="0046089C">
      <w:pPr>
        <w:jc w:val="both"/>
      </w:pPr>
      <w:r w:rsidRPr="004B6F3D">
        <w:t>O poufność rozmowy najlepiej zadbały banki, bo w 9</w:t>
      </w:r>
      <w:r>
        <w:t>5</w:t>
      </w:r>
      <w:r w:rsidRPr="004B6F3D">
        <w:t>%, firmy ubezpieczeniowe</w:t>
      </w:r>
      <w:r>
        <w:t xml:space="preserve"> w 86% a najsłabiej telekomy</w:t>
      </w:r>
      <w:r w:rsidRPr="004B6F3D">
        <w:t xml:space="preserve">, bo jedynie w </w:t>
      </w:r>
      <w:r>
        <w:t>78</w:t>
      </w:r>
      <w:r w:rsidRPr="004B6F3D">
        <w:t>%.</w:t>
      </w:r>
      <w:r>
        <w:t xml:space="preserve"> </w:t>
      </w:r>
      <w:r w:rsidRPr="004B6F3D">
        <w:t xml:space="preserve"> </w:t>
      </w:r>
      <w:r>
        <w:t>W stosunku do roku ubiegło odnotowano poprawę o prawie 5 p.p..</w:t>
      </w: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4B6F3D" w:rsidRDefault="004B6F3D" w:rsidP="0046089C">
      <w:pPr>
        <w:jc w:val="both"/>
      </w:pPr>
    </w:p>
    <w:p w:rsidR="008256AC" w:rsidRDefault="004B6F3D" w:rsidP="0046089C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26968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kość obsługi w placówce - 2017-07 - 06 - 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3D" w:rsidRDefault="004B6F3D" w:rsidP="0046089C">
      <w:pPr>
        <w:shd w:val="clear" w:color="auto" w:fill="FFFFFF"/>
        <w:spacing w:after="390" w:line="390" w:lineRule="atLeast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Rozmowa z Doradcą/Agentem</w:t>
      </w:r>
    </w:p>
    <w:p w:rsidR="004B6F3D" w:rsidRPr="004B6F3D" w:rsidRDefault="004B6F3D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4B6F3D">
        <w:rPr>
          <w:rFonts w:asciiTheme="minorHAnsi" w:hAnsiTheme="minorHAnsi"/>
          <w:sz w:val="22"/>
          <w:szCs w:val="22"/>
        </w:rPr>
        <w:t xml:space="preserve">Rozmowa sprzedażowa, prowadzona przez Doradcę w prawie </w:t>
      </w:r>
      <w:r>
        <w:rPr>
          <w:rFonts w:asciiTheme="minorHAnsi" w:hAnsiTheme="minorHAnsi"/>
          <w:sz w:val="22"/>
          <w:szCs w:val="22"/>
        </w:rPr>
        <w:t>90</w:t>
      </w:r>
      <w:r w:rsidRPr="004B6F3D">
        <w:rPr>
          <w:rFonts w:asciiTheme="minorHAnsi" w:hAnsiTheme="minorHAnsi"/>
          <w:sz w:val="22"/>
          <w:szCs w:val="22"/>
        </w:rPr>
        <w:t>% badanych instytucji rozpoczynała się od badania potrzeb.</w:t>
      </w:r>
      <w:r>
        <w:rPr>
          <w:rFonts w:asciiTheme="minorHAnsi" w:hAnsiTheme="minorHAnsi"/>
          <w:sz w:val="22"/>
          <w:szCs w:val="22"/>
        </w:rPr>
        <w:t xml:space="preserve"> Największy </w:t>
      </w:r>
      <w:r w:rsidRPr="004B6F3D">
        <w:rPr>
          <w:rFonts w:asciiTheme="minorHAnsi" w:hAnsiTheme="minorHAnsi"/>
          <w:sz w:val="22"/>
          <w:szCs w:val="22"/>
        </w:rPr>
        <w:t xml:space="preserve">postęp w tym kierunki zrobiły </w:t>
      </w:r>
      <w:r>
        <w:rPr>
          <w:rFonts w:asciiTheme="minorHAnsi" w:hAnsiTheme="minorHAnsi"/>
          <w:sz w:val="22"/>
          <w:szCs w:val="22"/>
        </w:rPr>
        <w:t xml:space="preserve">telekomy – prawie o 20 p.p., </w:t>
      </w:r>
      <w:r w:rsidRPr="004B6F3D">
        <w:rPr>
          <w:rFonts w:asciiTheme="minorHAnsi" w:hAnsiTheme="minorHAnsi"/>
          <w:sz w:val="22"/>
          <w:szCs w:val="22"/>
        </w:rPr>
        <w:t>firmy ubezpieczeniowe</w:t>
      </w:r>
      <w:r>
        <w:rPr>
          <w:rFonts w:asciiTheme="minorHAnsi" w:hAnsiTheme="minorHAnsi"/>
          <w:sz w:val="22"/>
          <w:szCs w:val="22"/>
        </w:rPr>
        <w:t xml:space="preserve"> o 6 p.p. a banki o 10 p.p..</w:t>
      </w:r>
    </w:p>
    <w:p w:rsidR="000B4244" w:rsidRDefault="004B6F3D" w:rsidP="0046089C">
      <w:pPr>
        <w:pStyle w:val="NormalnyWeb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760720" cy="25488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kość obsługi w placówce - 2017-07 - 07 - 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3D" w:rsidRDefault="004B6F3D" w:rsidP="0046089C">
      <w:pPr>
        <w:pStyle w:val="NormalnyWeb"/>
        <w:jc w:val="both"/>
        <w:rPr>
          <w:rFonts w:asciiTheme="majorHAnsi" w:hAnsiTheme="majorHAnsi"/>
          <w:sz w:val="22"/>
          <w:szCs w:val="22"/>
        </w:rPr>
      </w:pPr>
    </w:p>
    <w:p w:rsidR="004B6F3D" w:rsidRDefault="004B6F3D" w:rsidP="0046089C">
      <w:pPr>
        <w:pStyle w:val="NormalnyWeb"/>
        <w:jc w:val="both"/>
        <w:rPr>
          <w:rFonts w:asciiTheme="majorHAnsi" w:hAnsiTheme="majorHAnsi"/>
          <w:sz w:val="22"/>
          <w:szCs w:val="22"/>
        </w:rPr>
      </w:pPr>
    </w:p>
    <w:p w:rsidR="00510414" w:rsidRDefault="00510414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</w:p>
    <w:p w:rsidR="00510414" w:rsidRDefault="00510414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</w:p>
    <w:p w:rsidR="00510414" w:rsidRDefault="00510414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</w:p>
    <w:p w:rsidR="00510414" w:rsidRDefault="004B6F3D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O korzyściach swojej oferty poinformowało tylko 70% Doradców. </w:t>
      </w:r>
      <w:r w:rsidR="00510414">
        <w:rPr>
          <w:rFonts w:asciiTheme="minorHAnsi" w:hAnsiTheme="minorHAnsi"/>
          <w:sz w:val="22"/>
          <w:szCs w:val="22"/>
        </w:rPr>
        <w:t>Najlepiej radzą sobie z tym telekomy a najsłabiej banki, pomimo iż pierwsze w tym roku badanie dotyczyło konta osobistego to aż 38% Doradców nie pochwaliła się atutami swojej oferty a w niektórych przypadkach było czym się chwalić.</w:t>
      </w:r>
    </w:p>
    <w:p w:rsidR="00510414" w:rsidRDefault="00510414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</w:p>
    <w:p w:rsidR="00510414" w:rsidRDefault="00510414" w:rsidP="0046089C">
      <w:pPr>
        <w:pStyle w:val="NormalnyWeb"/>
        <w:jc w:val="both"/>
        <w:rPr>
          <w:rFonts w:asciiTheme="majorHAnsi" w:hAnsiTheme="majorHAnsi"/>
          <w:sz w:val="22"/>
          <w:szCs w:val="22"/>
        </w:rPr>
      </w:pPr>
    </w:p>
    <w:p w:rsidR="004B6F3D" w:rsidRPr="00510414" w:rsidRDefault="004B6F3D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10414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488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kość obsługi w placówce - 2017-07 - 08 - 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14" w:rsidRPr="00510414" w:rsidRDefault="00510414" w:rsidP="0046089C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10414">
        <w:rPr>
          <w:rFonts w:asciiTheme="minorHAnsi" w:hAnsiTheme="minorHAnsi"/>
          <w:sz w:val="22"/>
          <w:szCs w:val="22"/>
        </w:rPr>
        <w:t>O decyzję związaną z zakupem produktu/usługi zapytało klienta średnio 7</w:t>
      </w:r>
      <w:r>
        <w:rPr>
          <w:rFonts w:asciiTheme="minorHAnsi" w:hAnsiTheme="minorHAnsi"/>
          <w:sz w:val="22"/>
          <w:szCs w:val="22"/>
        </w:rPr>
        <w:t>8</w:t>
      </w:r>
      <w:r w:rsidRPr="00510414">
        <w:rPr>
          <w:rFonts w:asciiTheme="minorHAnsi" w:hAnsiTheme="minorHAnsi"/>
          <w:sz w:val="22"/>
          <w:szCs w:val="22"/>
        </w:rPr>
        <w:t xml:space="preserve">% Doradców. Najlepiej tutaj wypadają </w:t>
      </w:r>
      <w:r>
        <w:rPr>
          <w:rFonts w:asciiTheme="minorHAnsi" w:hAnsiTheme="minorHAnsi"/>
          <w:sz w:val="22"/>
          <w:szCs w:val="22"/>
        </w:rPr>
        <w:t>banki</w:t>
      </w:r>
      <w:r w:rsidRPr="00510414">
        <w:rPr>
          <w:rFonts w:asciiTheme="minorHAnsi" w:hAnsiTheme="minorHAnsi"/>
          <w:sz w:val="22"/>
          <w:szCs w:val="22"/>
        </w:rPr>
        <w:t xml:space="preserve"> – </w:t>
      </w:r>
      <w:r>
        <w:rPr>
          <w:rFonts w:asciiTheme="minorHAnsi" w:hAnsiTheme="minorHAnsi"/>
          <w:sz w:val="22"/>
          <w:szCs w:val="22"/>
        </w:rPr>
        <w:t>81</w:t>
      </w:r>
      <w:r w:rsidRPr="00510414">
        <w:rPr>
          <w:rFonts w:asciiTheme="minorHAnsi" w:hAnsiTheme="minorHAnsi"/>
          <w:sz w:val="22"/>
          <w:szCs w:val="22"/>
        </w:rPr>
        <w:t xml:space="preserve">%, </w:t>
      </w:r>
      <w:r>
        <w:rPr>
          <w:rFonts w:asciiTheme="minorHAnsi" w:hAnsiTheme="minorHAnsi"/>
          <w:sz w:val="22"/>
          <w:szCs w:val="22"/>
        </w:rPr>
        <w:t xml:space="preserve">telekomy 78% a najsłabiej </w:t>
      </w:r>
      <w:r w:rsidRPr="00510414">
        <w:rPr>
          <w:rFonts w:asciiTheme="minorHAnsi" w:hAnsiTheme="minorHAnsi"/>
          <w:sz w:val="22"/>
          <w:szCs w:val="22"/>
        </w:rPr>
        <w:t xml:space="preserve">towarzystwa ubezpieczeniowe </w:t>
      </w:r>
      <w:r>
        <w:rPr>
          <w:rFonts w:asciiTheme="minorHAnsi" w:hAnsiTheme="minorHAnsi"/>
          <w:sz w:val="22"/>
          <w:szCs w:val="22"/>
        </w:rPr>
        <w:t>71%</w:t>
      </w:r>
      <w:r w:rsidRPr="00510414">
        <w:rPr>
          <w:rFonts w:asciiTheme="minorHAnsi" w:hAnsiTheme="minorHAnsi"/>
          <w:sz w:val="22"/>
          <w:szCs w:val="22"/>
        </w:rPr>
        <w:t>.</w:t>
      </w:r>
    </w:p>
    <w:p w:rsidR="00510414" w:rsidRDefault="00510414" w:rsidP="0046089C">
      <w:pPr>
        <w:pStyle w:val="NormalnyWeb"/>
        <w:jc w:val="both"/>
        <w:rPr>
          <w:rFonts w:asciiTheme="majorHAnsi" w:hAnsiTheme="majorHAnsi"/>
          <w:noProof/>
          <w:sz w:val="22"/>
          <w:szCs w:val="22"/>
        </w:rPr>
      </w:pPr>
    </w:p>
    <w:p w:rsidR="004B6F3D" w:rsidRDefault="00510414" w:rsidP="0046089C">
      <w:pPr>
        <w:pStyle w:val="NormalnyWeb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760720" cy="25488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akość obsługi w placówce - 2017-07 - 09 - R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AE" w:rsidRDefault="00067FD7" w:rsidP="0046089C">
      <w:pPr>
        <w:jc w:val="both"/>
      </w:pPr>
      <w:r>
        <w:t>Największym problem w tej edycji badania okazał się poziom wiedzy Doradców bankowych</w:t>
      </w:r>
      <w:r w:rsidR="000B4244">
        <w:t xml:space="preserve">: </w:t>
      </w:r>
      <w:r w:rsidR="00520130">
        <w:t xml:space="preserve">ponad </w:t>
      </w:r>
      <w:r w:rsidR="000B4244">
        <w:t>63</w:t>
      </w:r>
      <w:r w:rsidR="00520130">
        <w:t>%</w:t>
      </w:r>
      <w:r w:rsidR="000B4244">
        <w:t xml:space="preserve"> nie potrafiło wyjaśnić jakie kursy zostaną zastosowane podczas korzystania z karty debetowej za granicą. Pamiętajmy, że udając się na zagraniczny wyjazd </w:t>
      </w:r>
      <w:r w:rsidR="00534E9B">
        <w:t xml:space="preserve">warto </w:t>
      </w:r>
      <w:r w:rsidR="000B4244">
        <w:t>sprawdzić w swoim banku jakie opłaty i prowizje zostaną naliczone za wypłatę gotówki z bankomatu, przewalutowanie transakcji oraz jakie są zasady przewalutowania środków (czy płacąc w USD transakcja zostanie przeliczona na EUR i dopiero na PLN czy od razu na PLN</w:t>
      </w:r>
      <w:r w:rsidR="00274CEE">
        <w:t>,</w:t>
      </w:r>
      <w:r w:rsidR="000B4244">
        <w:t xml:space="preserve"> oraz według jakich tabel). Na pewno warto zabrać ze sobą część </w:t>
      </w:r>
      <w:r w:rsidR="000B4244">
        <w:lastRenderedPageBreak/>
        <w:t xml:space="preserve">waluty </w:t>
      </w:r>
      <w:r w:rsidR="00274CEE">
        <w:t xml:space="preserve">w gotówce </w:t>
      </w:r>
      <w:r w:rsidR="000B4244">
        <w:t xml:space="preserve">ale czy wartą ją kupić w banku </w:t>
      </w:r>
      <w:r w:rsidR="00274CEE">
        <w:t xml:space="preserve">lub </w:t>
      </w:r>
      <w:r w:rsidR="000B4244">
        <w:t xml:space="preserve">zwykłym kantorze? Otóż nie. W przypadku zakupu waluty warto skorzystać z oferty kantoru internetowego, który pozwoli sporo zaoszczędzić na wymianie a najlepszych </w:t>
      </w:r>
      <w:r w:rsidR="00274CEE">
        <w:t xml:space="preserve">i najbezpieczniejszym </w:t>
      </w:r>
      <w:r w:rsidR="000B4244">
        <w:t>rozwiązaniem</w:t>
      </w:r>
      <w:r w:rsidR="00274CEE">
        <w:t xml:space="preserve"> jest posiadanie konta walutowego wraz z kartą debetową w danej walucie, która pozwoli zaoszczędzić na niekorzystnym przewalutowaniu </w:t>
      </w:r>
      <w:r w:rsidR="00534E9B">
        <w:t xml:space="preserve">i prowizjach </w:t>
      </w:r>
      <w:r w:rsidR="00274CEE">
        <w:t>(nie wszystkie banki dają takie możliwości, jednak są takie, które oferują kartę wielowalutową i klient sam decyduje w jakiej walucie nastąpi obciążenie) – dodaje Marcin Łukaszewski, Dyrektor Zarządzający MojeBan</w:t>
      </w:r>
      <w:r w:rsidR="00C61A2E">
        <w:t>k</w:t>
      </w:r>
      <w:r w:rsidR="00274CEE">
        <w:t>owanie.pl.</w:t>
      </w:r>
    </w:p>
    <w:p w:rsidR="00DD29AE" w:rsidRDefault="00534E9B" w:rsidP="0046089C">
      <w:pPr>
        <w:jc w:val="both"/>
      </w:pPr>
      <w:r>
        <w:t xml:space="preserve">Czy ubezpieczyciele mają również problem z wiedzą? </w:t>
      </w:r>
      <w:r w:rsidR="008222F0">
        <w:t>A</w:t>
      </w:r>
      <w:r w:rsidR="00DD29AE">
        <w:t xml:space="preserve">genci ubezpieczeniowi ograniczają się </w:t>
      </w:r>
      <w:r>
        <w:t xml:space="preserve">natomiast </w:t>
      </w:r>
      <w:r w:rsidR="00DD29AE">
        <w:t xml:space="preserve">do bardzo powierzchownego badania potrzeb, nie wchodzą w szczegóły, które podczas likwidacji szkody mogą okazać się kluczowe. Dla przykładu, jeśli Klient ma mienie ruchome o znacznej wartości (np. cenny obraz), a nie zostanie </w:t>
      </w:r>
      <w:r w:rsidR="008222F0">
        <w:t xml:space="preserve">to </w:t>
      </w:r>
      <w:r w:rsidR="00DD29AE">
        <w:t xml:space="preserve">uwzględnione w polisie, przy powstaniu szkody może spotkać go duże rozczarowanie, bo ubezpieczyciel tego nie uwzględni.  Nie bez znaczenia jest także kwestia prowadzenia działalności gospodarczej, czy przechowywania rzeczy z nią związanych. W znaczącej większości przypadków przy ustalaniu sumy ubezpieczenia dla ruchomości domowych (np. TV, komputer, meble) </w:t>
      </w:r>
      <w:r w:rsidR="008222F0">
        <w:t>A</w:t>
      </w:r>
      <w:r w:rsidR="00DD29AE">
        <w:t>genci nie wspominali o tym, że odszkodowanie będzie pomniejszone o stopień zużycia, a także o tym, że w procesie likwidacji szkody bardzo często wymagane są dowody zakupu. Sprowadza się to do tego, że mimo iż suma ubezpieczenia opiewa na jakąś kwotę, którą spodziewa się Klient otrzymać w przypadku powstania szkody</w:t>
      </w:r>
      <w:r>
        <w:t>, r</w:t>
      </w:r>
      <w:r w:rsidR="00DD29AE">
        <w:t>zeczywistość może być jednak zupełnie inna.</w:t>
      </w:r>
    </w:p>
    <w:p w:rsidR="00DD29AE" w:rsidRDefault="008222F0" w:rsidP="0046089C">
      <w:pPr>
        <w:jc w:val="both"/>
      </w:pPr>
      <w:r>
        <w:t>Najlepiej przygotowane do rozmowy są telekomy. Nie zawsze o wszystkim wspominają podczas rozmowy, jednak jeśli już zadamy pytanie to uzyskujemy odpowiedź bez konieczności szukania w materiałach czy int</w:t>
      </w:r>
      <w:r w:rsidR="00534E9B">
        <w:t xml:space="preserve">ernecie. </w:t>
      </w:r>
    </w:p>
    <w:p w:rsidR="008256AC" w:rsidRDefault="00510414" w:rsidP="0046089C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760720" cy="25488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kość obsługi w placówce - 2017-07 - 10 - 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AC" w:rsidRDefault="008256AC" w:rsidP="0046089C">
      <w:pPr>
        <w:jc w:val="both"/>
        <w:rPr>
          <w:i/>
        </w:rPr>
      </w:pPr>
    </w:p>
    <w:p w:rsidR="00C94244" w:rsidRDefault="00C94244" w:rsidP="0046089C">
      <w:pPr>
        <w:jc w:val="both"/>
        <w:rPr>
          <w:b/>
        </w:rPr>
      </w:pPr>
    </w:p>
    <w:p w:rsidR="00C94244" w:rsidRDefault="00C94244" w:rsidP="0046089C">
      <w:pPr>
        <w:jc w:val="both"/>
        <w:rPr>
          <w:b/>
        </w:rPr>
      </w:pPr>
    </w:p>
    <w:p w:rsidR="00C94244" w:rsidRDefault="00C94244" w:rsidP="0046089C">
      <w:pPr>
        <w:jc w:val="both"/>
        <w:rPr>
          <w:b/>
        </w:rPr>
      </w:pPr>
    </w:p>
    <w:p w:rsidR="0046089C" w:rsidRDefault="0046089C" w:rsidP="0046089C">
      <w:pPr>
        <w:jc w:val="both"/>
        <w:rPr>
          <w:b/>
        </w:rPr>
      </w:pPr>
    </w:p>
    <w:p w:rsidR="00C94244" w:rsidRDefault="00C94244" w:rsidP="0046089C">
      <w:pPr>
        <w:jc w:val="both"/>
        <w:rPr>
          <w:b/>
        </w:rPr>
      </w:pPr>
    </w:p>
    <w:p w:rsidR="008256AC" w:rsidRPr="00C94244" w:rsidRDefault="008256AC" w:rsidP="0046089C">
      <w:pPr>
        <w:jc w:val="both"/>
        <w:rPr>
          <w:b/>
        </w:rPr>
      </w:pPr>
      <w:r w:rsidRPr="00C94244">
        <w:rPr>
          <w:b/>
        </w:rPr>
        <w:lastRenderedPageBreak/>
        <w:t xml:space="preserve">W Getin Banku oraz Alior Banku zauważono ogromną różnicę w zakresie prowadzenia rozmowy z klientem oraz przygotowania do spotkania. Jeszcze w ubiegłym roku banki te zajmowały końcowe pozycje rankingu. Czy jest na to jakaś recepta? </w:t>
      </w:r>
    </w:p>
    <w:p w:rsidR="008256AC" w:rsidRPr="00C94244" w:rsidRDefault="008256AC" w:rsidP="0046089C">
      <w:pPr>
        <w:jc w:val="both"/>
        <w:rPr>
          <w:rFonts w:asciiTheme="majorHAnsi" w:hAnsiTheme="majorHAnsi" w:cs="Times New Roman"/>
          <w:b/>
          <w:bCs/>
          <w:lang w:eastAsia="pl-PL"/>
        </w:rPr>
      </w:pPr>
      <w:r w:rsidRPr="00C94244">
        <w:rPr>
          <w:rFonts w:asciiTheme="majorHAnsi" w:hAnsiTheme="majorHAnsi" w:cs="Times New Roman"/>
          <w:i/>
          <w:sz w:val="20"/>
          <w:szCs w:val="20"/>
          <w:lang w:eastAsia="pl-PL"/>
        </w:rPr>
        <w:t xml:space="preserve"> „Alior Bank jest bankiem innowacyjnym, nie tylko pod względem wykorzystywanych technologii i oferowanych produktów, ale również jakości obsługi. Doceniamy budowanie indywidualnych relacji z klientami, a także promujemy najlepsze inicjatywy w zakresie wdrażania dobrych praktyk. Świadomie rezygnujemy z udzielania negatywnej oceny i negatywnego feedbacku w obszarze jakości, koncentrując się na pozytywnych aspektach i możliwościach rozwoju pracowników. W obsłudze klienta przede wszystkim  stawiamy na ludzi. Pracownicy naszej sieci sprzedaży są wyjątkowo zaangażowani i efektywni, co w połączeniu z ich kompetencjami przekłada się na wysoką jakość obsługi. Wszystko po to, aby przenieść klienta w „Piąty wymiar relacji”, który rozwijamy od początku tego roku. Wyniki rankingu „Instytucja Roku” potwierdzają, że Alior Bank zmierza w dobrym kierunku.”</w:t>
      </w:r>
      <w:r>
        <w:rPr>
          <w:rFonts w:asciiTheme="majorHAnsi" w:hAnsiTheme="majorHAnsi" w:cs="Times New Roman"/>
          <w:lang w:eastAsia="pl-PL"/>
        </w:rPr>
        <w:t xml:space="preserve"> – </w:t>
      </w:r>
      <w:r w:rsidRPr="00C94244">
        <w:rPr>
          <w:rFonts w:asciiTheme="majorHAnsi" w:hAnsiTheme="majorHAnsi" w:cs="Times New Roman"/>
          <w:b/>
          <w:lang w:eastAsia="pl-PL"/>
        </w:rPr>
        <w:t xml:space="preserve">powiedziała </w:t>
      </w:r>
      <w:r w:rsidRPr="00C94244">
        <w:rPr>
          <w:rFonts w:asciiTheme="majorHAnsi" w:hAnsiTheme="majorHAnsi" w:cs="Times New Roman"/>
          <w:b/>
          <w:bCs/>
          <w:lang w:eastAsia="pl-PL"/>
        </w:rPr>
        <w:t>Urszula Krzyżanowska-Piękoś – Wiceprezes Zarządu Alior Banku.</w:t>
      </w:r>
    </w:p>
    <w:p w:rsidR="008256AC" w:rsidRPr="00C94244" w:rsidRDefault="008256AC" w:rsidP="0046089C">
      <w:pPr>
        <w:jc w:val="both"/>
        <w:rPr>
          <w:b/>
          <w:i/>
        </w:rPr>
      </w:pPr>
      <w:r w:rsidRPr="00C94244">
        <w:rPr>
          <w:rFonts w:asciiTheme="majorHAnsi" w:hAnsiTheme="majorHAnsi"/>
          <w:i/>
          <w:sz w:val="20"/>
          <w:szCs w:val="20"/>
        </w:rPr>
        <w:t>„Kluczem do właściwego zaprojektowania doświadczeń Klientów i tym samym zapewnienia stałej, wysokiej jakości obsługi jest zaangażowanie w ten proces całej organizacji. Tylko wtedy będziemy w stanie zapewnić kompleksową, z punktu widzenia Klienta, ofertę i obsługę. Dlatego punktem wyjścia w każdym procesie tworzenia i modyfikowania produktów, procedur, czy zasad obsługi, jest w Naszym banku opinia Klientów. To oni są w centrum naszej uwagi.”</w:t>
      </w:r>
      <w:r>
        <w:rPr>
          <w:rFonts w:asciiTheme="majorHAnsi" w:hAnsiTheme="majorHAnsi"/>
        </w:rPr>
        <w:t xml:space="preserve"> – </w:t>
      </w:r>
      <w:r w:rsidRPr="00C94244">
        <w:rPr>
          <w:rFonts w:asciiTheme="majorHAnsi" w:hAnsiTheme="majorHAnsi"/>
          <w:b/>
        </w:rPr>
        <w:t>powiedziała Żaneta Zugaj, Dyrektor Zarządzająca Obszarem Jakości, Getin Noble Bank.</w:t>
      </w:r>
    </w:p>
    <w:p w:rsidR="00510414" w:rsidRPr="00C94244" w:rsidRDefault="00510414" w:rsidP="0046089C">
      <w:pPr>
        <w:jc w:val="both"/>
        <w:rPr>
          <w:rFonts w:asciiTheme="majorHAnsi" w:hAnsiTheme="majorHAnsi"/>
          <w:b/>
        </w:rPr>
      </w:pPr>
      <w:r w:rsidRPr="00C94244">
        <w:rPr>
          <w:rFonts w:asciiTheme="majorHAnsi" w:hAnsiTheme="majorHAnsi"/>
          <w:b/>
        </w:rPr>
        <w:t>Jakiej rady udzielił Bank Millennium</w:t>
      </w:r>
      <w:r w:rsidR="00C94244">
        <w:rPr>
          <w:rFonts w:asciiTheme="majorHAnsi" w:hAnsiTheme="majorHAnsi"/>
          <w:b/>
        </w:rPr>
        <w:t xml:space="preserve"> (lider rankingów jakościowych)</w:t>
      </w:r>
      <w:r w:rsidRPr="00C94244">
        <w:rPr>
          <w:rFonts w:asciiTheme="majorHAnsi" w:hAnsiTheme="majorHAnsi"/>
          <w:b/>
        </w:rPr>
        <w:t xml:space="preserve"> tym, którzy niestety są na samym końcu rankingu…”?</w:t>
      </w:r>
    </w:p>
    <w:p w:rsidR="00510414" w:rsidRPr="00C94244" w:rsidRDefault="00510414" w:rsidP="0046089C">
      <w:pPr>
        <w:jc w:val="both"/>
        <w:rPr>
          <w:rFonts w:asciiTheme="majorHAnsi" w:hAnsiTheme="majorHAnsi"/>
          <w:i/>
          <w:sz w:val="20"/>
          <w:szCs w:val="20"/>
        </w:rPr>
      </w:pPr>
      <w:r w:rsidRPr="00C94244">
        <w:rPr>
          <w:rFonts w:asciiTheme="majorHAnsi" w:hAnsiTheme="majorHAnsi"/>
          <w:i/>
          <w:sz w:val="20"/>
          <w:szCs w:val="20"/>
        </w:rPr>
        <w:t xml:space="preserve">- Wyniki rankingów jakości obsługi, zwłaszcza tych, w których zajmujemy wysokie miejsca, zawsze nas cieszą. Jednak dla Banku Millennium zajmowanie wysokich pozycji w rankingach nie jest celem samym w sobie. To, na czym naprawdę skupiamy się od kilku lat, to dostarczanie klientom jak najlepszych doświadczeń w każdym momencie korzystania z naszych usług. Mierzymy to wewnętrznymi wskaźnikami takimi jak poziom satysfakcji klientów czy skłonność do rekomendacji naszych usług. Cieszy nas, że te wewnętrzne dane są zbieżne z tym, co mówi rynek. Utwierdza nas to w przekonaniu, że obrana droga jest właściwa, choć praca nad jakością nigdy się nie kończy. </w:t>
      </w:r>
    </w:p>
    <w:p w:rsidR="00510414" w:rsidRPr="00C94244" w:rsidRDefault="00510414" w:rsidP="0046089C">
      <w:pPr>
        <w:jc w:val="both"/>
        <w:rPr>
          <w:rFonts w:asciiTheme="majorHAnsi" w:hAnsiTheme="majorHAnsi"/>
          <w:i/>
          <w:sz w:val="20"/>
          <w:szCs w:val="20"/>
        </w:rPr>
      </w:pPr>
      <w:r w:rsidRPr="00C94244">
        <w:rPr>
          <w:rFonts w:asciiTheme="majorHAnsi" w:hAnsiTheme="majorHAnsi"/>
          <w:i/>
          <w:sz w:val="20"/>
          <w:szCs w:val="20"/>
        </w:rPr>
        <w:t xml:space="preserve">Co jest receptą? </w:t>
      </w:r>
    </w:p>
    <w:p w:rsidR="00510414" w:rsidRPr="00C94244" w:rsidRDefault="00510414" w:rsidP="0046089C">
      <w:pPr>
        <w:jc w:val="both"/>
        <w:rPr>
          <w:rFonts w:asciiTheme="majorHAnsi" w:hAnsiTheme="majorHAnsi"/>
          <w:i/>
          <w:sz w:val="20"/>
          <w:szCs w:val="20"/>
        </w:rPr>
      </w:pPr>
      <w:r w:rsidRPr="00C94244">
        <w:rPr>
          <w:rFonts w:asciiTheme="majorHAnsi" w:hAnsiTheme="majorHAnsi"/>
          <w:i/>
          <w:sz w:val="20"/>
          <w:szCs w:val="20"/>
        </w:rPr>
        <w:t>Naszą receptą na sukces jest rzeczywiste zaangażowanie absolutnie wszystkich pracowników banku - od członków zarządu po bezpośrednią obsługę klienta w oddziałach. Patrzenie na to, w którym kierunku idziemy jest jednolite i spójne na każdym szczeblu organizacji. Istnieje nawet taki żart, że gdyby zapytać  pracowników różnych jednostek, co jest naszą obsesją, najczęstszą odpowiedzią byłaby jakość. Filtr „jakościowy” jest obecny w każdym momencie naszej pracy – przepuszczamy przez niego wszystkie podejmowane przez nas działania sprawdzając na każdym etapie, w jaki sposób wpłyną one na doświadczenie klienta z marką Millennium. Nasze wysiłki kierujemy na poprawę jakości we wszystkich obszarach, zaczynając od poznania prawdziwych oczekiwań klienta. Wierzymy, że to właśnie w dogłębnym poznaniu klienta - jego potrzeb (tych uświadomionych i nieuświadomionych), motywacji, frustracji i</w:t>
      </w:r>
      <w:r w:rsidR="00C94244" w:rsidRPr="00C94244">
        <w:rPr>
          <w:rFonts w:asciiTheme="majorHAnsi" w:hAnsiTheme="majorHAnsi"/>
          <w:i/>
          <w:sz w:val="20"/>
          <w:szCs w:val="20"/>
        </w:rPr>
        <w:t xml:space="preserve"> </w:t>
      </w:r>
      <w:r w:rsidRPr="00C94244">
        <w:rPr>
          <w:rFonts w:asciiTheme="majorHAnsi" w:hAnsiTheme="majorHAnsi"/>
          <w:i/>
          <w:sz w:val="20"/>
          <w:szCs w:val="20"/>
        </w:rPr>
        <w:t>za</w:t>
      </w:r>
      <w:r w:rsidR="00C94244" w:rsidRPr="00C94244">
        <w:rPr>
          <w:rFonts w:asciiTheme="majorHAnsi" w:hAnsiTheme="majorHAnsi"/>
          <w:i/>
          <w:sz w:val="20"/>
          <w:szCs w:val="20"/>
        </w:rPr>
        <w:t>c</w:t>
      </w:r>
      <w:r w:rsidRPr="00C94244">
        <w:rPr>
          <w:rFonts w:asciiTheme="majorHAnsi" w:hAnsiTheme="majorHAnsi"/>
          <w:i/>
          <w:sz w:val="20"/>
          <w:szCs w:val="20"/>
        </w:rPr>
        <w:t>howań</w:t>
      </w:r>
      <w:r w:rsidR="00C94244" w:rsidRPr="00C94244">
        <w:rPr>
          <w:rFonts w:asciiTheme="majorHAnsi" w:hAnsiTheme="majorHAnsi"/>
          <w:i/>
          <w:sz w:val="20"/>
          <w:szCs w:val="20"/>
        </w:rPr>
        <w:t xml:space="preserve">, </w:t>
      </w:r>
      <w:r w:rsidRPr="00C94244">
        <w:rPr>
          <w:rFonts w:asciiTheme="majorHAnsi" w:hAnsiTheme="majorHAnsi"/>
          <w:i/>
          <w:sz w:val="20"/>
          <w:szCs w:val="20"/>
        </w:rPr>
        <w:t>często także niezwiązanych z bankowaniem, tkwi źródło innowacji i usprawnień. I na tym w pierwszej kolejności bazujemy.</w:t>
      </w:r>
    </w:p>
    <w:p w:rsidR="00510414" w:rsidRPr="00C94244" w:rsidRDefault="00510414" w:rsidP="0046089C">
      <w:pPr>
        <w:jc w:val="both"/>
        <w:rPr>
          <w:rFonts w:asciiTheme="majorHAnsi" w:hAnsiTheme="majorHAnsi"/>
          <w:i/>
        </w:rPr>
      </w:pPr>
      <w:r w:rsidRPr="00C94244">
        <w:rPr>
          <w:rFonts w:asciiTheme="majorHAnsi" w:hAnsiTheme="majorHAnsi"/>
          <w:i/>
          <w:sz w:val="20"/>
          <w:szCs w:val="20"/>
        </w:rPr>
        <w:t>Kolejnym elementem jest konsekwencja i wytrwałość w działaniu. Jakości nie da się poprawić w miesiąc czy dwa na tyle, by była ona trwała. Jest to długofalowy proces związany nie tylko z poprawą procesów i procedur, ale w bardzo dużej mierze z kształtowaniem proklienckich postaw pracowników. A to zajmuje czas</w:t>
      </w:r>
      <w:r w:rsidRPr="00C94244">
        <w:rPr>
          <w:rFonts w:asciiTheme="majorHAnsi" w:hAnsiTheme="majorHAnsi"/>
          <w:i/>
        </w:rPr>
        <w:t xml:space="preserve"> </w:t>
      </w:r>
      <w:r w:rsidRPr="00C94244">
        <w:rPr>
          <w:rFonts w:asciiTheme="majorHAnsi" w:hAnsiTheme="majorHAnsi"/>
          <w:b/>
          <w:i/>
        </w:rPr>
        <w:t>– mówi Kamila Urbanowicz – Kierująca Zespołem Optymalizacji Obsługi Klienta w Departamencie Jakości Banku Millennium</w:t>
      </w:r>
    </w:p>
    <w:p w:rsidR="006B5991" w:rsidRDefault="006B5991" w:rsidP="0046089C">
      <w:pPr>
        <w:jc w:val="both"/>
        <w:rPr>
          <w:rStyle w:val="Hipercze"/>
          <w:i/>
        </w:rPr>
      </w:pPr>
      <w:r w:rsidRPr="006B5991">
        <w:rPr>
          <w:i/>
        </w:rPr>
        <w:t xml:space="preserve">Szczegółowe informacje dotyczące badania oraz ranking generalny dostępne są na stronie </w:t>
      </w:r>
      <w:hyperlink r:id="rId16" w:history="1">
        <w:r w:rsidRPr="006B5991">
          <w:rPr>
            <w:rStyle w:val="Hipercze"/>
            <w:i/>
          </w:rPr>
          <w:t>www.instytucjaroku.pl</w:t>
        </w:r>
      </w:hyperlink>
    </w:p>
    <w:p w:rsidR="00C94244" w:rsidRDefault="00C94244" w:rsidP="0046089C">
      <w:pPr>
        <w:jc w:val="both"/>
        <w:rPr>
          <w:rStyle w:val="Hipercze"/>
          <w:i/>
        </w:rPr>
      </w:pPr>
    </w:p>
    <w:p w:rsidR="00C94244" w:rsidRDefault="00C94244" w:rsidP="0046089C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33350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kość obsługi w placówce - Bankowość - 2017.07 - RG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44" w:rsidRDefault="00C94244" w:rsidP="0046089C">
      <w:pPr>
        <w:jc w:val="both"/>
      </w:pPr>
      <w:r>
        <w:rPr>
          <w:noProof/>
        </w:rPr>
        <w:drawing>
          <wp:inline distT="0" distB="0" distL="0" distR="0">
            <wp:extent cx="5760720" cy="168211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kość obsługi w placówce - Ubezpieczenia - 2017.07 - RG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44" w:rsidRDefault="00C94244" w:rsidP="0046089C">
      <w:pPr>
        <w:jc w:val="both"/>
      </w:pPr>
      <w:r>
        <w:rPr>
          <w:noProof/>
        </w:rPr>
        <w:drawing>
          <wp:inline distT="0" distB="0" distL="0" distR="0">
            <wp:extent cx="5760720" cy="11887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kość obsługi w placówce - Telefonia - 2017.07 - RG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B7E" w:rsidRDefault="00E45B7E" w:rsidP="00414F30">
      <w:pPr>
        <w:spacing w:after="0" w:line="240" w:lineRule="auto"/>
      </w:pPr>
      <w:r>
        <w:separator/>
      </w:r>
    </w:p>
  </w:endnote>
  <w:endnote w:type="continuationSeparator" w:id="0">
    <w:p w:rsidR="00E45B7E" w:rsidRDefault="00E45B7E" w:rsidP="0041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B7E" w:rsidRDefault="00E45B7E" w:rsidP="00414F30">
      <w:pPr>
        <w:spacing w:after="0" w:line="240" w:lineRule="auto"/>
      </w:pPr>
      <w:r>
        <w:separator/>
      </w:r>
    </w:p>
  </w:footnote>
  <w:footnote w:type="continuationSeparator" w:id="0">
    <w:p w:rsidR="00E45B7E" w:rsidRDefault="00E45B7E" w:rsidP="00414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11"/>
    <w:rsid w:val="00067FD7"/>
    <w:rsid w:val="000B4244"/>
    <w:rsid w:val="000B6283"/>
    <w:rsid w:val="000D3C4D"/>
    <w:rsid w:val="001136A6"/>
    <w:rsid w:val="00114C74"/>
    <w:rsid w:val="001B21F1"/>
    <w:rsid w:val="001F1DD2"/>
    <w:rsid w:val="00201E55"/>
    <w:rsid w:val="0023663C"/>
    <w:rsid w:val="00253AEC"/>
    <w:rsid w:val="002623D8"/>
    <w:rsid w:val="00274CEE"/>
    <w:rsid w:val="003123E3"/>
    <w:rsid w:val="00314556"/>
    <w:rsid w:val="00327675"/>
    <w:rsid w:val="0033145D"/>
    <w:rsid w:val="003A2F1B"/>
    <w:rsid w:val="004131A3"/>
    <w:rsid w:val="00414F30"/>
    <w:rsid w:val="0046089C"/>
    <w:rsid w:val="004B6F3D"/>
    <w:rsid w:val="004C1304"/>
    <w:rsid w:val="00510414"/>
    <w:rsid w:val="00520130"/>
    <w:rsid w:val="00525138"/>
    <w:rsid w:val="00534E9B"/>
    <w:rsid w:val="00544B34"/>
    <w:rsid w:val="00587DE0"/>
    <w:rsid w:val="005977D1"/>
    <w:rsid w:val="006404C3"/>
    <w:rsid w:val="006421C9"/>
    <w:rsid w:val="00656D72"/>
    <w:rsid w:val="006779B1"/>
    <w:rsid w:val="006B1CB4"/>
    <w:rsid w:val="006B5991"/>
    <w:rsid w:val="00706499"/>
    <w:rsid w:val="007B056F"/>
    <w:rsid w:val="007B5E4F"/>
    <w:rsid w:val="007C3FB7"/>
    <w:rsid w:val="007D67AD"/>
    <w:rsid w:val="007F1C06"/>
    <w:rsid w:val="007F4FFC"/>
    <w:rsid w:val="0080278E"/>
    <w:rsid w:val="008205CE"/>
    <w:rsid w:val="008222F0"/>
    <w:rsid w:val="008256AC"/>
    <w:rsid w:val="008447C8"/>
    <w:rsid w:val="00870A1C"/>
    <w:rsid w:val="008C4DB6"/>
    <w:rsid w:val="00A27E01"/>
    <w:rsid w:val="00A5362B"/>
    <w:rsid w:val="00A977E5"/>
    <w:rsid w:val="00AC6FBD"/>
    <w:rsid w:val="00AF60A6"/>
    <w:rsid w:val="00B62B32"/>
    <w:rsid w:val="00B8311B"/>
    <w:rsid w:val="00BC7FE9"/>
    <w:rsid w:val="00C61A2E"/>
    <w:rsid w:val="00C849B0"/>
    <w:rsid w:val="00C94244"/>
    <w:rsid w:val="00CB2A52"/>
    <w:rsid w:val="00CE176C"/>
    <w:rsid w:val="00D44671"/>
    <w:rsid w:val="00DB4CC3"/>
    <w:rsid w:val="00DC4511"/>
    <w:rsid w:val="00DD29AE"/>
    <w:rsid w:val="00DD3DA0"/>
    <w:rsid w:val="00E45B7E"/>
    <w:rsid w:val="00E55007"/>
    <w:rsid w:val="00F05667"/>
    <w:rsid w:val="00F558D1"/>
    <w:rsid w:val="00F65D8B"/>
    <w:rsid w:val="00FD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90BB"/>
  <w15:chartTrackingRefBased/>
  <w15:docId w15:val="{4EBCC5D4-91AD-4A74-9B0B-4C50AE2E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599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62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6283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7D67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D67AD"/>
    <w:rPr>
      <w:b/>
      <w:bCs/>
    </w:rPr>
  </w:style>
  <w:style w:type="character" w:customStyle="1" w:styleId="apple-converted-space">
    <w:name w:val="apple-converted-space"/>
    <w:basedOn w:val="Domylnaczcionkaakapitu"/>
    <w:rsid w:val="000D3C4D"/>
  </w:style>
  <w:style w:type="character" w:styleId="Uwydatnienie">
    <w:name w:val="Emphasis"/>
    <w:basedOn w:val="Domylnaczcionkaakapitu"/>
    <w:uiPriority w:val="20"/>
    <w:qFormat/>
    <w:rsid w:val="000D3C4D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4F3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4F3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4F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9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instytucjaroku.p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1480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MOJE BANKOWANIE</cp:lastModifiedBy>
  <cp:revision>4</cp:revision>
  <cp:lastPrinted>2017-07-03T01:46:00Z</cp:lastPrinted>
  <dcterms:created xsi:type="dcterms:W3CDTF">2017-07-03T02:12:00Z</dcterms:created>
  <dcterms:modified xsi:type="dcterms:W3CDTF">2017-07-03T10:55:00Z</dcterms:modified>
</cp:coreProperties>
</file>