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0" w:rsidRDefault="001D0340" w:rsidP="001D0340">
      <w:pPr>
        <w:jc w:val="both"/>
      </w:pPr>
    </w:p>
    <w:p w:rsidR="00C37219" w:rsidRDefault="00C37219" w:rsidP="001D0340">
      <w:pPr>
        <w:jc w:val="both"/>
      </w:pPr>
    </w:p>
    <w:p w:rsidR="00C37219" w:rsidRDefault="00C37219" w:rsidP="001D0340">
      <w:pPr>
        <w:jc w:val="both"/>
      </w:pPr>
    </w:p>
    <w:p w:rsidR="001D0340" w:rsidRPr="00E94E1F" w:rsidRDefault="001D0340" w:rsidP="001D034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                           </w:t>
      </w:r>
      <w:r w:rsidRPr="00E94E1F">
        <w:rPr>
          <w:sz w:val="20"/>
          <w:szCs w:val="20"/>
        </w:rPr>
        <w:t xml:space="preserve">Warszawa, </w:t>
      </w:r>
      <w:r w:rsidR="008F0E69">
        <w:rPr>
          <w:sz w:val="20"/>
          <w:szCs w:val="20"/>
        </w:rPr>
        <w:t>05.07</w:t>
      </w:r>
      <w:r w:rsidRPr="00E94E1F">
        <w:rPr>
          <w:sz w:val="20"/>
          <w:szCs w:val="20"/>
        </w:rPr>
        <w:t>.2017r.</w:t>
      </w:r>
    </w:p>
    <w:p w:rsidR="001D0340" w:rsidRPr="00E94E1F" w:rsidRDefault="001D0340" w:rsidP="001D0340">
      <w:pPr>
        <w:jc w:val="both"/>
        <w:rPr>
          <w:b/>
          <w:sz w:val="20"/>
          <w:szCs w:val="20"/>
        </w:rPr>
      </w:pPr>
    </w:p>
    <w:p w:rsidR="001D0340" w:rsidRDefault="001D0340" w:rsidP="001D0340">
      <w:pPr>
        <w:rPr>
          <w:b/>
          <w:sz w:val="24"/>
        </w:rPr>
      </w:pPr>
    </w:p>
    <w:p w:rsidR="00335752" w:rsidRDefault="00335752" w:rsidP="001D0340">
      <w:pPr>
        <w:rPr>
          <w:b/>
          <w:sz w:val="24"/>
        </w:rPr>
      </w:pPr>
    </w:p>
    <w:p w:rsidR="00690478" w:rsidRPr="00840E21" w:rsidRDefault="00C37219" w:rsidP="008F0E69">
      <w:pPr>
        <w:jc w:val="both"/>
        <w:rPr>
          <w:b/>
          <w:sz w:val="32"/>
          <w:szCs w:val="32"/>
        </w:rPr>
      </w:pPr>
      <w:r w:rsidRPr="00840E21">
        <w:rPr>
          <w:b/>
          <w:sz w:val="32"/>
          <w:szCs w:val="32"/>
        </w:rPr>
        <w:t>Nie odpuszczaj, windykuj online</w:t>
      </w:r>
    </w:p>
    <w:p w:rsidR="001D0340" w:rsidRDefault="001D0340" w:rsidP="008F0E69">
      <w:pPr>
        <w:jc w:val="both"/>
        <w:rPr>
          <w:b/>
          <w:sz w:val="24"/>
        </w:rPr>
      </w:pPr>
    </w:p>
    <w:p w:rsidR="00690478" w:rsidRDefault="00690478" w:rsidP="008F0E69">
      <w:pPr>
        <w:jc w:val="both"/>
        <w:rPr>
          <w:b/>
          <w:sz w:val="24"/>
        </w:rPr>
      </w:pPr>
    </w:p>
    <w:p w:rsidR="001D0340" w:rsidRPr="00C73275" w:rsidRDefault="001D0340" w:rsidP="00335752">
      <w:pPr>
        <w:jc w:val="both"/>
        <w:rPr>
          <w:b/>
          <w:sz w:val="28"/>
          <w:szCs w:val="28"/>
        </w:rPr>
      </w:pPr>
      <w:r w:rsidRPr="00C73275">
        <w:rPr>
          <w:b/>
          <w:sz w:val="28"/>
          <w:szCs w:val="28"/>
        </w:rPr>
        <w:t>Co dwunasty mikro i mały przedsiębiorca</w:t>
      </w:r>
      <w:r w:rsidR="00C37219" w:rsidRPr="00C73275">
        <w:rPr>
          <w:b/>
          <w:sz w:val="28"/>
          <w:szCs w:val="28"/>
        </w:rPr>
        <w:t xml:space="preserve"> oczekujący na mocno opóźnioną płatność od kontrahenta </w:t>
      </w:r>
      <w:r w:rsidRPr="00C73275">
        <w:rPr>
          <w:b/>
          <w:sz w:val="28"/>
          <w:szCs w:val="28"/>
        </w:rPr>
        <w:t xml:space="preserve">nie upomina się </w:t>
      </w:r>
      <w:r w:rsidR="00C37219" w:rsidRPr="00C73275">
        <w:rPr>
          <w:b/>
          <w:sz w:val="28"/>
          <w:szCs w:val="28"/>
        </w:rPr>
        <w:t>o pieniądze,</w:t>
      </w:r>
      <w:r w:rsidR="00FA02E7" w:rsidRPr="00C73275">
        <w:rPr>
          <w:b/>
          <w:sz w:val="28"/>
          <w:szCs w:val="28"/>
        </w:rPr>
        <w:t xml:space="preserve"> </w:t>
      </w:r>
      <w:r w:rsidR="005E7DF3" w:rsidRPr="00C73275">
        <w:rPr>
          <w:b/>
          <w:sz w:val="28"/>
          <w:szCs w:val="28"/>
        </w:rPr>
        <w:t xml:space="preserve">a </w:t>
      </w:r>
      <w:r w:rsidR="00C37219" w:rsidRPr="00C73275">
        <w:rPr>
          <w:b/>
          <w:sz w:val="28"/>
          <w:szCs w:val="28"/>
        </w:rPr>
        <w:t>p</w:t>
      </w:r>
      <w:r w:rsidR="00FA02E7" w:rsidRPr="00C73275">
        <w:rPr>
          <w:b/>
          <w:sz w:val="28"/>
          <w:szCs w:val="28"/>
        </w:rPr>
        <w:t>ołowa z nich</w:t>
      </w:r>
      <w:r w:rsidR="005E7DF3" w:rsidRPr="00C73275">
        <w:rPr>
          <w:b/>
          <w:sz w:val="28"/>
          <w:szCs w:val="28"/>
        </w:rPr>
        <w:t xml:space="preserve"> </w:t>
      </w:r>
      <w:r w:rsidR="00FA02E7" w:rsidRPr="00C73275">
        <w:rPr>
          <w:b/>
          <w:sz w:val="28"/>
          <w:szCs w:val="28"/>
        </w:rPr>
        <w:t>rezygnuje z wynagrodzenia</w:t>
      </w:r>
      <w:r w:rsidRPr="00C73275">
        <w:rPr>
          <w:b/>
          <w:sz w:val="28"/>
          <w:szCs w:val="28"/>
        </w:rPr>
        <w:t xml:space="preserve"> – wynika z badań BIG InfoMonitor. </w:t>
      </w:r>
      <w:r w:rsidR="00FA02E7" w:rsidRPr="00C73275">
        <w:rPr>
          <w:b/>
          <w:sz w:val="28"/>
          <w:szCs w:val="28"/>
        </w:rPr>
        <w:t>Boją</w:t>
      </w:r>
      <w:r w:rsidR="00190129" w:rsidRPr="00C73275">
        <w:rPr>
          <w:b/>
          <w:sz w:val="28"/>
          <w:szCs w:val="28"/>
        </w:rPr>
        <w:t xml:space="preserve"> się zepsuć relacje, ale też nie wie</w:t>
      </w:r>
      <w:r w:rsidR="00FA02E7" w:rsidRPr="00C73275">
        <w:rPr>
          <w:b/>
          <w:sz w:val="28"/>
          <w:szCs w:val="28"/>
        </w:rPr>
        <w:t>dzą</w:t>
      </w:r>
      <w:r w:rsidR="00190129" w:rsidRPr="00C73275">
        <w:rPr>
          <w:b/>
          <w:sz w:val="28"/>
          <w:szCs w:val="28"/>
        </w:rPr>
        <w:t xml:space="preserve"> jak się zabrać za windykację i nie ma</w:t>
      </w:r>
      <w:r w:rsidR="00FA02E7" w:rsidRPr="00C73275">
        <w:rPr>
          <w:b/>
          <w:sz w:val="28"/>
          <w:szCs w:val="28"/>
        </w:rPr>
        <w:t>ją</w:t>
      </w:r>
      <w:r w:rsidR="00190129" w:rsidRPr="00C73275">
        <w:rPr>
          <w:b/>
          <w:sz w:val="28"/>
          <w:szCs w:val="28"/>
        </w:rPr>
        <w:t xml:space="preserve"> </w:t>
      </w:r>
      <w:r w:rsidR="00C37219" w:rsidRPr="00C73275">
        <w:rPr>
          <w:b/>
          <w:sz w:val="28"/>
          <w:szCs w:val="28"/>
        </w:rPr>
        <w:t>za co</w:t>
      </w:r>
      <w:r w:rsidR="00190129" w:rsidRPr="00C73275">
        <w:rPr>
          <w:b/>
          <w:sz w:val="28"/>
          <w:szCs w:val="28"/>
        </w:rPr>
        <w:t xml:space="preserve">. </w:t>
      </w:r>
      <w:r w:rsidR="00690478" w:rsidRPr="00C73275">
        <w:rPr>
          <w:b/>
          <w:sz w:val="28"/>
          <w:szCs w:val="28"/>
        </w:rPr>
        <w:t>F</w:t>
      </w:r>
      <w:r w:rsidRPr="00C73275">
        <w:rPr>
          <w:b/>
          <w:sz w:val="28"/>
          <w:szCs w:val="28"/>
        </w:rPr>
        <w:t>irmom</w:t>
      </w:r>
      <w:r w:rsidR="00690478" w:rsidRPr="00C73275">
        <w:rPr>
          <w:b/>
          <w:sz w:val="28"/>
          <w:szCs w:val="28"/>
        </w:rPr>
        <w:t>-wierzycielom</w:t>
      </w:r>
      <w:r w:rsidRPr="00C73275">
        <w:rPr>
          <w:b/>
          <w:sz w:val="28"/>
          <w:szCs w:val="28"/>
        </w:rPr>
        <w:t xml:space="preserve"> </w:t>
      </w:r>
      <w:r w:rsidR="00690478" w:rsidRPr="00C73275">
        <w:rPr>
          <w:b/>
          <w:sz w:val="28"/>
          <w:szCs w:val="28"/>
        </w:rPr>
        <w:t xml:space="preserve">może pomóc </w:t>
      </w:r>
      <w:r w:rsidRPr="00C73275">
        <w:rPr>
          <w:b/>
          <w:sz w:val="28"/>
          <w:szCs w:val="28"/>
        </w:rPr>
        <w:t>w pełni zautomatyzowany</w:t>
      </w:r>
      <w:r w:rsidR="00373C9A" w:rsidRPr="00C73275">
        <w:rPr>
          <w:b/>
          <w:sz w:val="28"/>
          <w:szCs w:val="28"/>
        </w:rPr>
        <w:t>,</w:t>
      </w:r>
      <w:r w:rsidRPr="00C73275">
        <w:rPr>
          <w:b/>
          <w:sz w:val="28"/>
          <w:szCs w:val="28"/>
        </w:rPr>
        <w:t xml:space="preserve"> </w:t>
      </w:r>
      <w:r w:rsidR="00373C9A" w:rsidRPr="00C73275">
        <w:rPr>
          <w:b/>
          <w:sz w:val="28"/>
          <w:szCs w:val="28"/>
        </w:rPr>
        <w:t xml:space="preserve">innowacyjny </w:t>
      </w:r>
      <w:r w:rsidRPr="00C73275">
        <w:rPr>
          <w:b/>
          <w:sz w:val="28"/>
          <w:szCs w:val="28"/>
        </w:rPr>
        <w:t xml:space="preserve">system </w:t>
      </w:r>
      <w:r w:rsidR="00C37219" w:rsidRPr="00C73275">
        <w:rPr>
          <w:b/>
          <w:sz w:val="28"/>
          <w:szCs w:val="28"/>
        </w:rPr>
        <w:t>do odzyskiwania</w:t>
      </w:r>
      <w:r w:rsidR="00373C9A" w:rsidRPr="00C73275">
        <w:rPr>
          <w:b/>
          <w:sz w:val="28"/>
          <w:szCs w:val="28"/>
        </w:rPr>
        <w:t xml:space="preserve"> należności</w:t>
      </w:r>
      <w:r w:rsidR="00835A9A" w:rsidRPr="00C73275">
        <w:rPr>
          <w:b/>
          <w:sz w:val="28"/>
          <w:szCs w:val="28"/>
        </w:rPr>
        <w:t xml:space="preserve"> online</w:t>
      </w:r>
      <w:r w:rsidRPr="00C73275">
        <w:rPr>
          <w:b/>
          <w:sz w:val="28"/>
          <w:szCs w:val="28"/>
        </w:rPr>
        <w:t xml:space="preserve">. </w:t>
      </w:r>
      <w:r w:rsidR="00690478" w:rsidRPr="00C73275">
        <w:rPr>
          <w:b/>
          <w:sz w:val="28"/>
          <w:szCs w:val="28"/>
        </w:rPr>
        <w:t xml:space="preserve">Platforma </w:t>
      </w:r>
      <w:r w:rsidR="00835A9A" w:rsidRPr="00C73275">
        <w:rPr>
          <w:b/>
          <w:sz w:val="28"/>
          <w:szCs w:val="28"/>
        </w:rPr>
        <w:t>Vindicat.pl</w:t>
      </w:r>
      <w:r w:rsidR="00373C9A" w:rsidRPr="00C73275">
        <w:rPr>
          <w:b/>
          <w:sz w:val="28"/>
          <w:szCs w:val="28"/>
        </w:rPr>
        <w:t xml:space="preserve"> </w:t>
      </w:r>
      <w:r w:rsidR="00690478" w:rsidRPr="00C73275">
        <w:rPr>
          <w:b/>
          <w:sz w:val="28"/>
          <w:szCs w:val="28"/>
        </w:rPr>
        <w:t>podsuwa</w:t>
      </w:r>
      <w:r w:rsidRPr="00C73275">
        <w:rPr>
          <w:b/>
          <w:sz w:val="28"/>
          <w:szCs w:val="28"/>
        </w:rPr>
        <w:t xml:space="preserve"> </w:t>
      </w:r>
      <w:r w:rsidR="00835A9A" w:rsidRPr="00C73275">
        <w:rPr>
          <w:b/>
          <w:sz w:val="28"/>
          <w:szCs w:val="28"/>
        </w:rPr>
        <w:t xml:space="preserve">przedsiębiorcy </w:t>
      </w:r>
      <w:r w:rsidR="003046D7" w:rsidRPr="00C73275">
        <w:rPr>
          <w:b/>
          <w:sz w:val="28"/>
          <w:szCs w:val="28"/>
        </w:rPr>
        <w:t xml:space="preserve">m.in. </w:t>
      </w:r>
      <w:r w:rsidRPr="00C73275">
        <w:rPr>
          <w:b/>
          <w:sz w:val="28"/>
          <w:szCs w:val="28"/>
        </w:rPr>
        <w:t xml:space="preserve">scenariusze windykacji, </w:t>
      </w:r>
      <w:r w:rsidR="003046D7" w:rsidRPr="00C73275">
        <w:rPr>
          <w:b/>
          <w:sz w:val="28"/>
          <w:szCs w:val="28"/>
        </w:rPr>
        <w:t xml:space="preserve">pilnuje harmonogramu i </w:t>
      </w:r>
      <w:r w:rsidRPr="00C73275">
        <w:rPr>
          <w:b/>
          <w:sz w:val="28"/>
          <w:szCs w:val="28"/>
        </w:rPr>
        <w:t xml:space="preserve">dostarcza gotowe pisma stosowne do każdego etapu działania. </w:t>
      </w:r>
    </w:p>
    <w:p w:rsidR="00840E21" w:rsidRPr="00A73410" w:rsidRDefault="00840E21" w:rsidP="00335752">
      <w:pPr>
        <w:jc w:val="both"/>
        <w:rPr>
          <w:b/>
          <w:i/>
          <w:sz w:val="24"/>
        </w:rPr>
      </w:pPr>
    </w:p>
    <w:p w:rsidR="007B1950" w:rsidRDefault="001D0340" w:rsidP="00335752">
      <w:pPr>
        <w:jc w:val="both"/>
        <w:rPr>
          <w:sz w:val="24"/>
        </w:rPr>
      </w:pPr>
      <w:r>
        <w:rPr>
          <w:sz w:val="24"/>
        </w:rPr>
        <w:t>N</w:t>
      </w:r>
      <w:r w:rsidRPr="002C2739">
        <w:rPr>
          <w:sz w:val="24"/>
        </w:rPr>
        <w:t>a problemy z uzyskiwaniem płatności od swoich kontrahentów</w:t>
      </w:r>
      <w:r>
        <w:rPr>
          <w:sz w:val="24"/>
        </w:rPr>
        <w:t xml:space="preserve">, w Polsce od lat, skarży się </w:t>
      </w:r>
      <w:r w:rsidRPr="002C2739">
        <w:rPr>
          <w:sz w:val="24"/>
        </w:rPr>
        <w:t xml:space="preserve">między 40  a 50 </w:t>
      </w:r>
      <w:r w:rsidR="00840E21">
        <w:rPr>
          <w:sz w:val="24"/>
        </w:rPr>
        <w:t xml:space="preserve">% </w:t>
      </w:r>
      <w:r w:rsidRPr="002C2739">
        <w:rPr>
          <w:sz w:val="24"/>
        </w:rPr>
        <w:t>przedsiębiorców</w:t>
      </w:r>
      <w:r>
        <w:rPr>
          <w:sz w:val="24"/>
        </w:rPr>
        <w:t>.</w:t>
      </w:r>
      <w:r w:rsidRPr="002C2739"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i/>
          <w:sz w:val="24"/>
        </w:rPr>
        <w:t>N</w:t>
      </w:r>
      <w:r w:rsidRPr="002D39D2">
        <w:rPr>
          <w:i/>
          <w:sz w:val="24"/>
        </w:rPr>
        <w:t xml:space="preserve">iestety lepsza  koniunktura gospodarcza nie przekłada się na znaczącą poprawę płatności między </w:t>
      </w:r>
      <w:r w:rsidR="00190129">
        <w:rPr>
          <w:i/>
          <w:sz w:val="24"/>
        </w:rPr>
        <w:t xml:space="preserve">firmami, </w:t>
      </w:r>
      <w:r w:rsidR="00190129" w:rsidRPr="00190129">
        <w:rPr>
          <w:i/>
          <w:sz w:val="24"/>
        </w:rPr>
        <w:t xml:space="preserve">dlatego, tak ważna jest </w:t>
      </w:r>
      <w:r w:rsidR="00690478">
        <w:rPr>
          <w:i/>
          <w:sz w:val="24"/>
        </w:rPr>
        <w:t xml:space="preserve">dla polskich przedsiębiorców </w:t>
      </w:r>
      <w:r w:rsidR="00190129" w:rsidRPr="00190129">
        <w:rPr>
          <w:i/>
          <w:sz w:val="24"/>
        </w:rPr>
        <w:t>umiejętność dochodzenia swoich należności</w:t>
      </w:r>
      <w:r w:rsidRPr="00190129">
        <w:rPr>
          <w:i/>
          <w:sz w:val="24"/>
        </w:rPr>
        <w:t xml:space="preserve"> </w:t>
      </w:r>
      <w:r>
        <w:rPr>
          <w:sz w:val="24"/>
        </w:rPr>
        <w:t>– zwraca uwagę</w:t>
      </w:r>
      <w:r w:rsidR="00840E21">
        <w:rPr>
          <w:sz w:val="24"/>
        </w:rPr>
        <w:t xml:space="preserve"> dyrektor Grzegorz Kozłowski</w:t>
      </w:r>
      <w:r w:rsidRPr="002C2739">
        <w:rPr>
          <w:sz w:val="24"/>
        </w:rPr>
        <w:t xml:space="preserve">, </w:t>
      </w:r>
      <w:r w:rsidR="00840E21">
        <w:rPr>
          <w:sz w:val="24"/>
        </w:rPr>
        <w:t>odpowiedzialny w Rejestrze</w:t>
      </w:r>
      <w:r>
        <w:rPr>
          <w:sz w:val="24"/>
        </w:rPr>
        <w:t xml:space="preserve"> Dłużników </w:t>
      </w:r>
      <w:r w:rsidRPr="002C2739">
        <w:rPr>
          <w:sz w:val="24"/>
        </w:rPr>
        <w:t>BIG InfoMonitor</w:t>
      </w:r>
      <w:r w:rsidR="00840E21">
        <w:rPr>
          <w:sz w:val="24"/>
        </w:rPr>
        <w:t xml:space="preserve"> i BIK za innowacyjność i produkty korporacyjne</w:t>
      </w:r>
      <w:r w:rsidR="00190129">
        <w:rPr>
          <w:sz w:val="24"/>
        </w:rPr>
        <w:t xml:space="preserve">. </w:t>
      </w:r>
      <w:r w:rsidR="00C73376">
        <w:rPr>
          <w:sz w:val="24"/>
        </w:rPr>
        <w:t>J</w:t>
      </w:r>
      <w:r>
        <w:rPr>
          <w:sz w:val="24"/>
        </w:rPr>
        <w:t xml:space="preserve">ak pokazują badania BIG InfoMonitor, </w:t>
      </w:r>
      <w:r w:rsidRPr="002D39D2">
        <w:rPr>
          <w:sz w:val="24"/>
        </w:rPr>
        <w:t xml:space="preserve">przeciętnie 16 </w:t>
      </w:r>
      <w:r w:rsidR="00840E21">
        <w:rPr>
          <w:sz w:val="24"/>
        </w:rPr>
        <w:t xml:space="preserve">% </w:t>
      </w:r>
      <w:r w:rsidRPr="002D39D2">
        <w:rPr>
          <w:sz w:val="24"/>
        </w:rPr>
        <w:t>firm posiadających opóźnione płatności nie stosuje jakichkolwiek działań</w:t>
      </w:r>
      <w:r>
        <w:rPr>
          <w:sz w:val="24"/>
        </w:rPr>
        <w:t xml:space="preserve"> w tym kierunku i co szokujące w</w:t>
      </w:r>
      <w:r w:rsidRPr="002D39D2">
        <w:rPr>
          <w:sz w:val="24"/>
        </w:rPr>
        <w:t xml:space="preserve"> połowie przypadków kończy się to rezygnacją z należnych pieniędzy.  </w:t>
      </w:r>
      <w:r w:rsidR="00A220AB" w:rsidRPr="000822DF">
        <w:rPr>
          <w:sz w:val="24"/>
        </w:rPr>
        <w:t xml:space="preserve">- </w:t>
      </w:r>
      <w:r w:rsidR="00FA02E7" w:rsidRPr="000822DF">
        <w:rPr>
          <w:i/>
          <w:sz w:val="24"/>
        </w:rPr>
        <w:t xml:space="preserve">W grę wchodzą straty miliardów złotych i </w:t>
      </w:r>
      <w:r w:rsidR="00F26425" w:rsidRPr="000822DF">
        <w:rPr>
          <w:i/>
          <w:sz w:val="24"/>
        </w:rPr>
        <w:t xml:space="preserve">dalsze </w:t>
      </w:r>
      <w:r w:rsidR="00FA02E7" w:rsidRPr="000822DF">
        <w:rPr>
          <w:i/>
          <w:sz w:val="24"/>
        </w:rPr>
        <w:t>obniżanie moralności  płatniczej bezkarnych dłużników</w:t>
      </w:r>
      <w:r w:rsidR="00F26425" w:rsidRPr="000822DF">
        <w:rPr>
          <w:i/>
          <w:sz w:val="24"/>
        </w:rPr>
        <w:t xml:space="preserve"> </w:t>
      </w:r>
      <w:r w:rsidR="00A220AB" w:rsidRPr="000822DF">
        <w:rPr>
          <w:sz w:val="24"/>
        </w:rPr>
        <w:t xml:space="preserve"> – mówi Bogusław Bieda, prezes firmy Vindicat. </w:t>
      </w:r>
    </w:p>
    <w:p w:rsidR="00335752" w:rsidRDefault="00335752" w:rsidP="00335752">
      <w:pPr>
        <w:jc w:val="both"/>
        <w:rPr>
          <w:sz w:val="24"/>
        </w:rPr>
      </w:pPr>
    </w:p>
    <w:p w:rsidR="00335752" w:rsidRDefault="00335752" w:rsidP="00335752">
      <w:pPr>
        <w:jc w:val="both"/>
        <w:rPr>
          <w:b/>
          <w:sz w:val="24"/>
        </w:rPr>
      </w:pPr>
      <w:r w:rsidRPr="00335752">
        <w:rPr>
          <w:b/>
          <w:sz w:val="24"/>
        </w:rPr>
        <w:t>Nie odpuszczaj, windykuj</w:t>
      </w:r>
    </w:p>
    <w:p w:rsidR="00335752" w:rsidRPr="00335752" w:rsidRDefault="00335752" w:rsidP="00335752">
      <w:pPr>
        <w:jc w:val="both"/>
        <w:rPr>
          <w:b/>
          <w:sz w:val="24"/>
        </w:rPr>
      </w:pPr>
    </w:p>
    <w:p w:rsidR="00840E21" w:rsidRDefault="00C73275" w:rsidP="00335752">
      <w:pPr>
        <w:jc w:val="both"/>
        <w:rPr>
          <w:sz w:val="24"/>
        </w:rPr>
      </w:pPr>
      <w:r>
        <w:rPr>
          <w:sz w:val="24"/>
        </w:rPr>
        <w:t>„</w:t>
      </w:r>
      <w:r w:rsidR="00840E21" w:rsidRPr="002C2739">
        <w:rPr>
          <w:sz w:val="24"/>
        </w:rPr>
        <w:t>Odpuszczają</w:t>
      </w:r>
      <w:r>
        <w:rPr>
          <w:sz w:val="24"/>
        </w:rPr>
        <w:t>”</w:t>
      </w:r>
      <w:r w:rsidR="00840E21" w:rsidRPr="002C2739">
        <w:rPr>
          <w:sz w:val="24"/>
        </w:rPr>
        <w:t xml:space="preserve"> szczeg</w:t>
      </w:r>
      <w:r w:rsidR="00840E21">
        <w:rPr>
          <w:sz w:val="24"/>
        </w:rPr>
        <w:t xml:space="preserve">ólnie mikro </w:t>
      </w:r>
      <w:r w:rsidR="00840E21" w:rsidRPr="002C2739">
        <w:rPr>
          <w:sz w:val="24"/>
        </w:rPr>
        <w:t xml:space="preserve">i małe firmy zatrudniające </w:t>
      </w:r>
      <w:r w:rsidR="00840E21">
        <w:rPr>
          <w:sz w:val="24"/>
        </w:rPr>
        <w:t xml:space="preserve">odpowiednio do 9 oraz od 10 </w:t>
      </w:r>
      <w:r w:rsidR="00840E21" w:rsidRPr="002C2739">
        <w:rPr>
          <w:sz w:val="24"/>
        </w:rPr>
        <w:t>do 49 pracowników</w:t>
      </w:r>
      <w:r w:rsidR="00840E21">
        <w:rPr>
          <w:sz w:val="24"/>
        </w:rPr>
        <w:t>. Kwoty na które czekają</w:t>
      </w:r>
      <w:r w:rsidR="00835A9A">
        <w:rPr>
          <w:sz w:val="24"/>
        </w:rPr>
        <w:t>,</w:t>
      </w:r>
      <w:r w:rsidR="00840E21">
        <w:rPr>
          <w:sz w:val="24"/>
        </w:rPr>
        <w:t xml:space="preserve"> </w:t>
      </w:r>
      <w:r w:rsidR="00840E21" w:rsidRPr="002C2739">
        <w:rPr>
          <w:sz w:val="24"/>
        </w:rPr>
        <w:t xml:space="preserve">wynoszą </w:t>
      </w:r>
      <w:r w:rsidR="00840E21">
        <w:rPr>
          <w:sz w:val="24"/>
        </w:rPr>
        <w:t xml:space="preserve">przeciętnie </w:t>
      </w:r>
      <w:r w:rsidR="00840E21" w:rsidRPr="002C2739">
        <w:rPr>
          <w:sz w:val="24"/>
        </w:rPr>
        <w:t xml:space="preserve">ok. 30 </w:t>
      </w:r>
      <w:r w:rsidR="00840E21">
        <w:rPr>
          <w:sz w:val="24"/>
        </w:rPr>
        <w:t>tys. i ok. 40 tys. zł</w:t>
      </w:r>
      <w:r w:rsidR="00840E21" w:rsidRPr="002C2739">
        <w:rPr>
          <w:sz w:val="24"/>
        </w:rPr>
        <w:t xml:space="preserve">. </w:t>
      </w:r>
    </w:p>
    <w:p w:rsidR="00840E21" w:rsidRDefault="00840E21" w:rsidP="00335752">
      <w:pPr>
        <w:jc w:val="both"/>
        <w:rPr>
          <w:sz w:val="24"/>
        </w:rPr>
      </w:pPr>
      <w:r w:rsidRPr="002C2739">
        <w:rPr>
          <w:sz w:val="24"/>
        </w:rPr>
        <w:t xml:space="preserve">W firmach średnich (z zatrudnieniem od 50  do 249 osób) do </w:t>
      </w:r>
      <w:r>
        <w:rPr>
          <w:sz w:val="24"/>
        </w:rPr>
        <w:t xml:space="preserve">nie podejmowania działań w celu odzyskania należności przyznaje się </w:t>
      </w:r>
      <w:r w:rsidRPr="002C2739">
        <w:rPr>
          <w:sz w:val="24"/>
        </w:rPr>
        <w:t xml:space="preserve">5 </w:t>
      </w:r>
      <w:r>
        <w:rPr>
          <w:sz w:val="24"/>
        </w:rPr>
        <w:t>% przedsiębiorstw, a mniej n</w:t>
      </w:r>
      <w:r w:rsidRPr="002C2739">
        <w:rPr>
          <w:sz w:val="24"/>
        </w:rPr>
        <w:t xml:space="preserve">iż 1 </w:t>
      </w:r>
      <w:r>
        <w:rPr>
          <w:sz w:val="24"/>
        </w:rPr>
        <w:t>% ostatecznie nie pobiera wynagrodzenia od odbiorcy usług lub towarów.</w:t>
      </w:r>
    </w:p>
    <w:p w:rsidR="001D0340" w:rsidRDefault="00335752" w:rsidP="00335752">
      <w:pPr>
        <w:jc w:val="both"/>
        <w:rPr>
          <w:sz w:val="24"/>
        </w:rPr>
      </w:pPr>
      <w:r>
        <w:rPr>
          <w:sz w:val="24"/>
        </w:rPr>
        <w:t xml:space="preserve">Powody takich zaniechań są różne. - </w:t>
      </w:r>
      <w:r w:rsidRPr="002D39D2">
        <w:rPr>
          <w:i/>
          <w:sz w:val="24"/>
        </w:rPr>
        <w:t xml:space="preserve">Część </w:t>
      </w:r>
      <w:r>
        <w:rPr>
          <w:i/>
          <w:sz w:val="24"/>
        </w:rPr>
        <w:t xml:space="preserve">przedsiębiorców </w:t>
      </w:r>
      <w:r w:rsidRPr="002D39D2">
        <w:rPr>
          <w:i/>
          <w:sz w:val="24"/>
        </w:rPr>
        <w:t xml:space="preserve">w ogóle nie chce rozpocząć działań windykacyjnych, bo obawiają się zepsucia relacji z kontrahentem i w konsekwencji braku kolejnych zleceń </w:t>
      </w:r>
      <w:r>
        <w:rPr>
          <w:sz w:val="24"/>
        </w:rPr>
        <w:t>– tłumaczy Grzegorz Kozłowski.</w:t>
      </w:r>
    </w:p>
    <w:p w:rsidR="001D0340" w:rsidRDefault="00190129" w:rsidP="008F0E69">
      <w:pPr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6F199E7" wp14:editId="1DA9F8FA">
            <wp:extent cx="5097780" cy="5943600"/>
            <wp:effectExtent l="0" t="0" r="2667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29" w:rsidRDefault="00190129" w:rsidP="008F0E69">
      <w:pPr>
        <w:jc w:val="both"/>
        <w:rPr>
          <w:i/>
          <w:sz w:val="18"/>
          <w:szCs w:val="18"/>
        </w:rPr>
      </w:pPr>
      <w:r w:rsidRPr="00AC363F">
        <w:rPr>
          <w:i/>
          <w:sz w:val="18"/>
          <w:szCs w:val="18"/>
        </w:rPr>
        <w:t>Źródło: Badanie Kantar MillwardBrown dla BIG InfoMonitor</w:t>
      </w:r>
    </w:p>
    <w:p w:rsidR="00190129" w:rsidRDefault="00190129" w:rsidP="008F0E69">
      <w:pPr>
        <w:jc w:val="both"/>
        <w:rPr>
          <w:sz w:val="24"/>
        </w:rPr>
      </w:pPr>
    </w:p>
    <w:p w:rsidR="001D0340" w:rsidRDefault="001D0340" w:rsidP="008F0E69">
      <w:pPr>
        <w:jc w:val="both"/>
        <w:rPr>
          <w:sz w:val="24"/>
        </w:rPr>
      </w:pPr>
      <w:r>
        <w:rPr>
          <w:sz w:val="24"/>
        </w:rPr>
        <w:t xml:space="preserve">Zdaniem </w:t>
      </w:r>
      <w:r>
        <w:rPr>
          <w:rStyle w:val="acf-required"/>
          <w:sz w:val="24"/>
        </w:rPr>
        <w:t xml:space="preserve">Bogusława Biedy, prezesa firmy Vindicat </w:t>
      </w:r>
      <w:r w:rsidR="00190129">
        <w:rPr>
          <w:rStyle w:val="acf-required"/>
          <w:sz w:val="24"/>
        </w:rPr>
        <w:t xml:space="preserve">jest to </w:t>
      </w:r>
      <w:r w:rsidR="00C73376">
        <w:rPr>
          <w:rStyle w:val="acf-required"/>
          <w:sz w:val="24"/>
        </w:rPr>
        <w:t xml:space="preserve">też </w:t>
      </w:r>
      <w:r w:rsidR="00190129">
        <w:rPr>
          <w:rStyle w:val="acf-required"/>
          <w:sz w:val="24"/>
        </w:rPr>
        <w:t>efekt</w:t>
      </w:r>
      <w:r>
        <w:rPr>
          <w:rStyle w:val="acf-required"/>
          <w:sz w:val="24"/>
        </w:rPr>
        <w:t xml:space="preserve"> </w:t>
      </w:r>
      <w:r w:rsidRPr="002C2739">
        <w:rPr>
          <w:rStyle w:val="acf-required"/>
          <w:sz w:val="24"/>
        </w:rPr>
        <w:t>brak</w:t>
      </w:r>
      <w:r>
        <w:rPr>
          <w:rStyle w:val="acf-required"/>
          <w:sz w:val="24"/>
        </w:rPr>
        <w:t>u</w:t>
      </w:r>
      <w:r w:rsidRPr="002C2739">
        <w:rPr>
          <w:rStyle w:val="acf-required"/>
          <w:sz w:val="24"/>
        </w:rPr>
        <w:t xml:space="preserve"> wiedzy i odpowiednich narzędzi do windykacji</w:t>
      </w:r>
      <w:r>
        <w:rPr>
          <w:rStyle w:val="acf-required"/>
          <w:sz w:val="24"/>
        </w:rPr>
        <w:t xml:space="preserve">. – </w:t>
      </w:r>
      <w:r w:rsidRPr="00C170A9">
        <w:rPr>
          <w:rStyle w:val="acf-required"/>
          <w:i/>
          <w:sz w:val="24"/>
        </w:rPr>
        <w:t xml:space="preserve">Szczególnie mikro i małe przedsiębiorstwa pozostawione są z problemem </w:t>
      </w:r>
      <w:r w:rsidR="00190129">
        <w:rPr>
          <w:rStyle w:val="acf-required"/>
          <w:i/>
          <w:sz w:val="24"/>
        </w:rPr>
        <w:t xml:space="preserve">„same sobie”. </w:t>
      </w:r>
      <w:r w:rsidRPr="00C170A9">
        <w:rPr>
          <w:rStyle w:val="acf-required"/>
          <w:i/>
          <w:sz w:val="24"/>
        </w:rPr>
        <w:t xml:space="preserve">Kłopotem jest choćby minimalny próg </w:t>
      </w:r>
      <w:r>
        <w:rPr>
          <w:rStyle w:val="acf-required"/>
          <w:i/>
          <w:sz w:val="24"/>
        </w:rPr>
        <w:t xml:space="preserve">wartości faktury, od </w:t>
      </w:r>
      <w:r w:rsidRPr="00C170A9">
        <w:rPr>
          <w:rStyle w:val="acf-required"/>
          <w:i/>
          <w:sz w:val="24"/>
        </w:rPr>
        <w:t>któr</w:t>
      </w:r>
      <w:r>
        <w:rPr>
          <w:rStyle w:val="acf-required"/>
          <w:i/>
          <w:sz w:val="24"/>
        </w:rPr>
        <w:t xml:space="preserve">ego chcą się nią </w:t>
      </w:r>
      <w:r w:rsidRPr="00C170A9">
        <w:rPr>
          <w:rStyle w:val="acf-required"/>
          <w:i/>
          <w:sz w:val="24"/>
        </w:rPr>
        <w:t>zaj</w:t>
      </w:r>
      <w:r>
        <w:rPr>
          <w:rStyle w:val="acf-required"/>
          <w:i/>
          <w:sz w:val="24"/>
        </w:rPr>
        <w:t xml:space="preserve">ąć </w:t>
      </w:r>
      <w:r w:rsidRPr="00C170A9">
        <w:rPr>
          <w:rStyle w:val="acf-required"/>
          <w:i/>
          <w:sz w:val="24"/>
        </w:rPr>
        <w:t>firmy windykacyjne czy kancelarie prawnicze</w:t>
      </w:r>
      <w:r>
        <w:rPr>
          <w:rStyle w:val="acf-required"/>
          <w:i/>
          <w:sz w:val="24"/>
        </w:rPr>
        <w:t>, wynoszący zazwyczaj 5 tys. zł</w:t>
      </w:r>
      <w:r w:rsidRPr="00C170A9">
        <w:rPr>
          <w:rStyle w:val="acf-required"/>
          <w:i/>
          <w:sz w:val="24"/>
        </w:rPr>
        <w:t xml:space="preserve"> </w:t>
      </w:r>
      <w:r>
        <w:rPr>
          <w:rStyle w:val="acf-required"/>
          <w:sz w:val="24"/>
        </w:rPr>
        <w:t xml:space="preserve">– mówi Bogusław Bieda. - </w:t>
      </w:r>
      <w:r w:rsidRPr="001D0340">
        <w:rPr>
          <w:rStyle w:val="acf-required"/>
          <w:i/>
          <w:sz w:val="24"/>
        </w:rPr>
        <w:t>Stąd m.in.</w:t>
      </w:r>
      <w:r w:rsidR="00190129">
        <w:rPr>
          <w:rStyle w:val="acf-required"/>
          <w:i/>
          <w:sz w:val="24"/>
        </w:rPr>
        <w:t xml:space="preserve"> </w:t>
      </w:r>
      <w:r w:rsidRPr="001D0340">
        <w:rPr>
          <w:rStyle w:val="acf-required"/>
          <w:i/>
          <w:sz w:val="24"/>
        </w:rPr>
        <w:t xml:space="preserve">pomysł na </w:t>
      </w:r>
      <w:r w:rsidR="00190129">
        <w:rPr>
          <w:rStyle w:val="acf-required"/>
          <w:i/>
          <w:sz w:val="24"/>
        </w:rPr>
        <w:t xml:space="preserve">stworzenie </w:t>
      </w:r>
      <w:r w:rsidRPr="001D0340">
        <w:rPr>
          <w:rStyle w:val="acf-required"/>
          <w:i/>
          <w:sz w:val="24"/>
        </w:rPr>
        <w:t>us</w:t>
      </w:r>
      <w:r w:rsidRPr="001D0340">
        <w:rPr>
          <w:i/>
          <w:sz w:val="24"/>
        </w:rPr>
        <w:t>ług</w:t>
      </w:r>
      <w:r w:rsidR="00190129">
        <w:rPr>
          <w:i/>
          <w:sz w:val="24"/>
        </w:rPr>
        <w:t>i</w:t>
      </w:r>
      <w:r w:rsidRPr="001D0340">
        <w:rPr>
          <w:i/>
          <w:sz w:val="24"/>
        </w:rPr>
        <w:t xml:space="preserve"> zautomatyzowanej windykacji </w:t>
      </w:r>
      <w:r w:rsidRPr="00C73275">
        <w:rPr>
          <w:i/>
          <w:sz w:val="24"/>
        </w:rPr>
        <w:t>online</w:t>
      </w:r>
      <w:r w:rsidRPr="001D0340">
        <w:rPr>
          <w:i/>
          <w:sz w:val="24"/>
        </w:rPr>
        <w:t xml:space="preserve">, którą kierujemy </w:t>
      </w:r>
      <w:r w:rsidR="00190129">
        <w:rPr>
          <w:i/>
          <w:sz w:val="24"/>
        </w:rPr>
        <w:t xml:space="preserve">przede wszystkim </w:t>
      </w:r>
      <w:r w:rsidRPr="001D0340">
        <w:rPr>
          <w:i/>
          <w:sz w:val="24"/>
        </w:rPr>
        <w:t>do mikro, małych i średnich przedsiębiorstw</w:t>
      </w:r>
      <w:r>
        <w:rPr>
          <w:sz w:val="24"/>
        </w:rPr>
        <w:t xml:space="preserve"> - </w:t>
      </w:r>
      <w:r w:rsidR="003046D7">
        <w:rPr>
          <w:sz w:val="24"/>
        </w:rPr>
        <w:t>tłumaczy</w:t>
      </w:r>
      <w:r>
        <w:rPr>
          <w:sz w:val="24"/>
        </w:rPr>
        <w:t>.</w:t>
      </w:r>
      <w:r w:rsidRPr="002C2739">
        <w:rPr>
          <w:sz w:val="24"/>
        </w:rPr>
        <w:t xml:space="preserve"> </w:t>
      </w:r>
    </w:p>
    <w:p w:rsidR="001D0340" w:rsidRDefault="001D0340" w:rsidP="008F0E69">
      <w:pPr>
        <w:jc w:val="both"/>
        <w:rPr>
          <w:i/>
          <w:sz w:val="24"/>
        </w:rPr>
      </w:pPr>
    </w:p>
    <w:p w:rsidR="001D0340" w:rsidRPr="002C2739" w:rsidRDefault="001D0340" w:rsidP="008F0E69">
      <w:pPr>
        <w:jc w:val="both"/>
        <w:rPr>
          <w:sz w:val="24"/>
        </w:rPr>
      </w:pPr>
      <w:r w:rsidRPr="002C2739">
        <w:rPr>
          <w:sz w:val="24"/>
        </w:rPr>
        <w:lastRenderedPageBreak/>
        <w:t xml:space="preserve">  </w:t>
      </w:r>
      <w:r>
        <w:rPr>
          <w:noProof/>
        </w:rPr>
        <w:drawing>
          <wp:inline distT="0" distB="0" distL="0" distR="0" wp14:anchorId="1CC1624B" wp14:editId="41E4980F">
            <wp:extent cx="4572000" cy="481965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0340" w:rsidRDefault="00335752" w:rsidP="008F0E69">
      <w:pPr>
        <w:jc w:val="both"/>
        <w:rPr>
          <w:i/>
          <w:sz w:val="18"/>
          <w:szCs w:val="18"/>
        </w:rPr>
      </w:pPr>
      <w:r>
        <w:rPr>
          <w:sz w:val="24"/>
        </w:rPr>
        <w:t>  </w:t>
      </w:r>
      <w:r w:rsidR="001D0340" w:rsidRPr="00AC363F">
        <w:rPr>
          <w:i/>
          <w:sz w:val="18"/>
          <w:szCs w:val="18"/>
        </w:rPr>
        <w:t>Źródło: Badanie Kantar MillwardBrown dla BIG InfoMonitor</w:t>
      </w:r>
    </w:p>
    <w:p w:rsidR="00190129" w:rsidRPr="00000408" w:rsidRDefault="00190129" w:rsidP="008F0E69">
      <w:pPr>
        <w:jc w:val="both"/>
        <w:rPr>
          <w:rStyle w:val="acf-required"/>
          <w:i/>
          <w:sz w:val="24"/>
        </w:rPr>
      </w:pPr>
    </w:p>
    <w:p w:rsidR="00335752" w:rsidRPr="00000408" w:rsidRDefault="00000408" w:rsidP="008F0E69">
      <w:pPr>
        <w:jc w:val="both"/>
        <w:rPr>
          <w:b/>
          <w:sz w:val="24"/>
        </w:rPr>
      </w:pPr>
      <w:r w:rsidRPr="00000408">
        <w:rPr>
          <w:b/>
          <w:sz w:val="24"/>
        </w:rPr>
        <w:t>P</w:t>
      </w:r>
      <w:r w:rsidR="00335752" w:rsidRPr="00000408">
        <w:rPr>
          <w:b/>
          <w:sz w:val="24"/>
        </w:rPr>
        <w:t>latforma windykacji online</w:t>
      </w:r>
    </w:p>
    <w:p w:rsidR="00335752" w:rsidRPr="00000408" w:rsidRDefault="00335752" w:rsidP="008F0E69">
      <w:pPr>
        <w:jc w:val="both"/>
        <w:rPr>
          <w:b/>
        </w:rPr>
      </w:pPr>
    </w:p>
    <w:p w:rsidR="001D0340" w:rsidRPr="002C2739" w:rsidRDefault="001D0340" w:rsidP="008F0E69">
      <w:pPr>
        <w:jc w:val="both"/>
        <w:rPr>
          <w:sz w:val="24"/>
        </w:rPr>
      </w:pPr>
      <w:r w:rsidRPr="00AC363F">
        <w:t>Na</w:t>
      </w:r>
      <w:r>
        <w:t xml:space="preserve"> </w:t>
      </w:r>
      <w:r w:rsidRPr="00AC363F">
        <w:rPr>
          <w:rFonts w:ascii="Calibri" w:hAnsi="Calibri"/>
          <w:sz w:val="24"/>
          <w:lang w:eastAsia="en-US"/>
        </w:rPr>
        <w:t>platformie do windykacji</w:t>
      </w:r>
      <w:r w:rsidR="00835A9A">
        <w:rPr>
          <w:rFonts w:ascii="Calibri" w:hAnsi="Calibri"/>
          <w:sz w:val="24"/>
          <w:lang w:eastAsia="en-US"/>
        </w:rPr>
        <w:t xml:space="preserve"> </w:t>
      </w:r>
      <w:r w:rsidR="00835A9A" w:rsidRPr="00C73275">
        <w:rPr>
          <w:rFonts w:ascii="Calibri" w:hAnsi="Calibri"/>
          <w:sz w:val="24"/>
          <w:lang w:eastAsia="en-US"/>
        </w:rPr>
        <w:t>online,</w:t>
      </w:r>
      <w:r w:rsidRPr="00C73275">
        <w:rPr>
          <w:rFonts w:ascii="Calibri" w:hAnsi="Calibri"/>
          <w:sz w:val="24"/>
          <w:lang w:eastAsia="en-US"/>
        </w:rPr>
        <w:t xml:space="preserve"> </w:t>
      </w:r>
      <w:r w:rsidR="001C38CF">
        <w:t xml:space="preserve">Vindicat.pl </w:t>
      </w:r>
      <w:r w:rsidR="003046D7">
        <w:t xml:space="preserve">aktualnie </w:t>
      </w:r>
      <w:r>
        <w:rPr>
          <w:rFonts w:ascii="Calibri" w:hAnsi="Calibri"/>
          <w:sz w:val="24"/>
          <w:lang w:eastAsia="en-US"/>
        </w:rPr>
        <w:t>ś</w:t>
      </w:r>
      <w:r w:rsidRPr="006067DF">
        <w:rPr>
          <w:sz w:val="24"/>
        </w:rPr>
        <w:t xml:space="preserve">rednia wartość windykowanej zaległości wynosi niewiele ponad 790 zł. </w:t>
      </w:r>
      <w:r w:rsidR="008E5CED">
        <w:rPr>
          <w:sz w:val="24"/>
        </w:rPr>
        <w:t>Z</w:t>
      </w:r>
      <w:r w:rsidRPr="00AC363F">
        <w:rPr>
          <w:rFonts w:ascii="Calibri" w:hAnsi="Calibri"/>
          <w:sz w:val="24"/>
          <w:lang w:eastAsia="en-US"/>
        </w:rPr>
        <w:t xml:space="preserve">głoszonych jest </w:t>
      </w:r>
      <w:r>
        <w:rPr>
          <w:rFonts w:ascii="Calibri" w:hAnsi="Calibri"/>
          <w:sz w:val="24"/>
          <w:lang w:eastAsia="en-US"/>
        </w:rPr>
        <w:t xml:space="preserve">już </w:t>
      </w:r>
      <w:r w:rsidRPr="00AC363F">
        <w:t xml:space="preserve">ponad 2,4 tys. faktur o łącznej  wartości 16,6 mln zł.  </w:t>
      </w:r>
      <w:r>
        <w:rPr>
          <w:sz w:val="24"/>
        </w:rPr>
        <w:t>Pr</w:t>
      </w:r>
      <w:r w:rsidRPr="002C2739">
        <w:rPr>
          <w:sz w:val="24"/>
        </w:rPr>
        <w:t xml:space="preserve">zedsiębiorca po wprowadzeniu </w:t>
      </w:r>
      <w:r>
        <w:rPr>
          <w:sz w:val="24"/>
        </w:rPr>
        <w:t xml:space="preserve">do systemu niezapłaconej faktury, prowadzony jest przez niego krok po kroku. Po wstępnej bezpłatnej analizie stanu sprawy, ma możliwość wyboru </w:t>
      </w:r>
      <w:r w:rsidRPr="002C2739">
        <w:rPr>
          <w:sz w:val="24"/>
        </w:rPr>
        <w:t>gotow</w:t>
      </w:r>
      <w:r>
        <w:rPr>
          <w:sz w:val="24"/>
        </w:rPr>
        <w:t xml:space="preserve">ych </w:t>
      </w:r>
      <w:r w:rsidRPr="002C2739">
        <w:rPr>
          <w:sz w:val="24"/>
        </w:rPr>
        <w:t>scenariusz</w:t>
      </w:r>
      <w:r>
        <w:rPr>
          <w:sz w:val="24"/>
        </w:rPr>
        <w:t>y</w:t>
      </w:r>
      <w:r w:rsidRPr="002C2739">
        <w:rPr>
          <w:sz w:val="24"/>
        </w:rPr>
        <w:t xml:space="preserve"> windykacji</w:t>
      </w:r>
      <w:r>
        <w:rPr>
          <w:sz w:val="24"/>
        </w:rPr>
        <w:t xml:space="preserve"> np. </w:t>
      </w:r>
      <w:r w:rsidR="003046D7">
        <w:rPr>
          <w:sz w:val="24"/>
        </w:rPr>
        <w:t>w</w:t>
      </w:r>
      <w:r w:rsidRPr="002C2739">
        <w:rPr>
          <w:sz w:val="24"/>
        </w:rPr>
        <w:t>indykacj</w:t>
      </w:r>
      <w:r w:rsidR="003046D7">
        <w:rPr>
          <w:sz w:val="24"/>
        </w:rPr>
        <w:t>i</w:t>
      </w:r>
      <w:r>
        <w:rPr>
          <w:sz w:val="24"/>
        </w:rPr>
        <w:t xml:space="preserve"> </w:t>
      </w:r>
      <w:r w:rsidRPr="002C2739">
        <w:rPr>
          <w:sz w:val="24"/>
        </w:rPr>
        <w:t>polubown</w:t>
      </w:r>
      <w:r w:rsidR="003046D7">
        <w:rPr>
          <w:sz w:val="24"/>
        </w:rPr>
        <w:t xml:space="preserve">ej </w:t>
      </w:r>
      <w:r>
        <w:rPr>
          <w:sz w:val="24"/>
        </w:rPr>
        <w:t>lub</w:t>
      </w:r>
      <w:r w:rsidRPr="002C2739">
        <w:rPr>
          <w:sz w:val="24"/>
        </w:rPr>
        <w:t xml:space="preserve"> </w:t>
      </w:r>
      <w:r>
        <w:rPr>
          <w:sz w:val="24"/>
        </w:rPr>
        <w:t>sądow</w:t>
      </w:r>
      <w:r w:rsidR="003046D7">
        <w:rPr>
          <w:sz w:val="24"/>
        </w:rPr>
        <w:t>ej</w:t>
      </w:r>
      <w:r w:rsidRPr="002C2739">
        <w:rPr>
          <w:sz w:val="24"/>
        </w:rPr>
        <w:t xml:space="preserve">. </w:t>
      </w:r>
      <w:r>
        <w:rPr>
          <w:sz w:val="24"/>
        </w:rPr>
        <w:t xml:space="preserve">Kolejnych etapów </w:t>
      </w:r>
      <w:r w:rsidR="003046D7">
        <w:rPr>
          <w:sz w:val="24"/>
        </w:rPr>
        <w:t xml:space="preserve">działania </w:t>
      </w:r>
      <w:r>
        <w:rPr>
          <w:sz w:val="24"/>
        </w:rPr>
        <w:t xml:space="preserve">pilnuje </w:t>
      </w:r>
      <w:r w:rsidRPr="002C2739">
        <w:rPr>
          <w:sz w:val="24"/>
        </w:rPr>
        <w:t>kalendarz</w:t>
      </w:r>
      <w:r w:rsidR="00835A9A">
        <w:rPr>
          <w:sz w:val="24"/>
        </w:rPr>
        <w:t>. Wierzyciel wspierany jest</w:t>
      </w:r>
      <w:r>
        <w:rPr>
          <w:sz w:val="24"/>
        </w:rPr>
        <w:t xml:space="preserve"> też </w:t>
      </w:r>
      <w:r w:rsidRPr="00AC363F">
        <w:rPr>
          <w:rFonts w:ascii="Calibri" w:hAnsi="Calibri"/>
          <w:sz w:val="24"/>
          <w:lang w:eastAsia="en-US"/>
        </w:rPr>
        <w:t>indywidualnie przygotowywanymi pismami urzędowymi i co istotne dla wzajemnych relacji przedsiębiorców, w kontakcie z dłużnikiem</w:t>
      </w:r>
      <w:r>
        <w:rPr>
          <w:sz w:val="24"/>
        </w:rPr>
        <w:t>,</w:t>
      </w:r>
      <w:r w:rsidRPr="00AC363F">
        <w:rPr>
          <w:rFonts w:ascii="Calibri" w:hAnsi="Calibri"/>
          <w:sz w:val="24"/>
          <w:lang w:eastAsia="en-US"/>
        </w:rPr>
        <w:t xml:space="preserve"> </w:t>
      </w:r>
      <w:r>
        <w:rPr>
          <w:sz w:val="24"/>
        </w:rPr>
        <w:t xml:space="preserve">system </w:t>
      </w:r>
      <w:r w:rsidRPr="00AC363F">
        <w:rPr>
          <w:rFonts w:ascii="Calibri" w:hAnsi="Calibri"/>
          <w:sz w:val="24"/>
          <w:lang w:eastAsia="en-US"/>
        </w:rPr>
        <w:t>występ</w:t>
      </w:r>
      <w:r>
        <w:rPr>
          <w:sz w:val="24"/>
        </w:rPr>
        <w:t>uje</w:t>
      </w:r>
      <w:r w:rsidRPr="00AC363F">
        <w:rPr>
          <w:rFonts w:ascii="Calibri" w:hAnsi="Calibri"/>
          <w:sz w:val="24"/>
          <w:lang w:eastAsia="en-US"/>
        </w:rPr>
        <w:t xml:space="preserve"> w </w:t>
      </w:r>
      <w:r>
        <w:rPr>
          <w:sz w:val="24"/>
        </w:rPr>
        <w:t>jego imieniu</w:t>
      </w:r>
      <w:r w:rsidRPr="00AC363F">
        <w:rPr>
          <w:rFonts w:ascii="Calibri" w:hAnsi="Calibri"/>
          <w:sz w:val="24"/>
          <w:lang w:eastAsia="en-US"/>
        </w:rPr>
        <w:t xml:space="preserve"> jako niezależny podmiot. Platforma da</w:t>
      </w:r>
      <w:r w:rsidRPr="006067DF">
        <w:rPr>
          <w:rFonts w:ascii="Calibri" w:hAnsi="Calibri"/>
          <w:sz w:val="24"/>
          <w:lang w:eastAsia="en-US"/>
        </w:rPr>
        <w:t xml:space="preserve">je </w:t>
      </w:r>
      <w:r>
        <w:rPr>
          <w:rFonts w:ascii="Calibri" w:hAnsi="Calibri"/>
          <w:sz w:val="24"/>
          <w:lang w:eastAsia="en-US"/>
        </w:rPr>
        <w:t>równi</w:t>
      </w:r>
      <w:r>
        <w:rPr>
          <w:sz w:val="24"/>
        </w:rPr>
        <w:t>eż</w:t>
      </w:r>
      <w:r w:rsidRPr="002C2739">
        <w:rPr>
          <w:sz w:val="24"/>
        </w:rPr>
        <w:t xml:space="preserve"> możliwość </w:t>
      </w:r>
      <w:r>
        <w:rPr>
          <w:sz w:val="24"/>
        </w:rPr>
        <w:t>s</w:t>
      </w:r>
      <w:r w:rsidRPr="002C2739">
        <w:rPr>
          <w:sz w:val="24"/>
        </w:rPr>
        <w:t>korzystania z pomocy prawnej.</w:t>
      </w:r>
    </w:p>
    <w:p w:rsidR="001D0340" w:rsidRDefault="006276E6" w:rsidP="008F0E69">
      <w:pPr>
        <w:jc w:val="both"/>
        <w:rPr>
          <w:sz w:val="24"/>
        </w:r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5422568" cy="76676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 VINDIACT.PL 5_05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836" cy="76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0340" w:rsidRDefault="001D0340" w:rsidP="008F0E69">
      <w:pPr>
        <w:jc w:val="both"/>
        <w:rPr>
          <w:sz w:val="24"/>
        </w:rPr>
      </w:pPr>
    </w:p>
    <w:p w:rsidR="00190129" w:rsidRDefault="001D0340" w:rsidP="008F0E69">
      <w:pPr>
        <w:jc w:val="both"/>
        <w:rPr>
          <w:sz w:val="24"/>
        </w:rPr>
      </w:pPr>
      <w:r>
        <w:rPr>
          <w:sz w:val="24"/>
        </w:rPr>
        <w:t xml:space="preserve">Podsuwa także </w:t>
      </w:r>
      <w:r w:rsidRPr="002C2739">
        <w:rPr>
          <w:sz w:val="24"/>
        </w:rPr>
        <w:t xml:space="preserve">możliwość </w:t>
      </w:r>
      <w:r>
        <w:rPr>
          <w:sz w:val="24"/>
        </w:rPr>
        <w:t>sprawdzenia</w:t>
      </w:r>
      <w:r w:rsidRPr="002C2739">
        <w:rPr>
          <w:sz w:val="24"/>
        </w:rPr>
        <w:t xml:space="preserve"> </w:t>
      </w:r>
      <w:r w:rsidR="005E7DF3">
        <w:rPr>
          <w:sz w:val="24"/>
        </w:rPr>
        <w:t xml:space="preserve">wiarygodności finansowej </w:t>
      </w:r>
      <w:r>
        <w:rPr>
          <w:sz w:val="24"/>
        </w:rPr>
        <w:t xml:space="preserve">czy też wpisania </w:t>
      </w:r>
      <w:r w:rsidR="005E7DF3">
        <w:rPr>
          <w:sz w:val="24"/>
        </w:rPr>
        <w:t xml:space="preserve">niesolidnego </w:t>
      </w:r>
      <w:r>
        <w:rPr>
          <w:sz w:val="24"/>
        </w:rPr>
        <w:t xml:space="preserve">kontrahenta do Rejestru Dłużników </w:t>
      </w:r>
      <w:r w:rsidRPr="002C2739">
        <w:rPr>
          <w:sz w:val="24"/>
        </w:rPr>
        <w:t>BIG InfoMonitor</w:t>
      </w:r>
      <w:r>
        <w:rPr>
          <w:sz w:val="24"/>
        </w:rPr>
        <w:t xml:space="preserve"> oraz u</w:t>
      </w:r>
      <w:r w:rsidRPr="002C2739">
        <w:rPr>
          <w:sz w:val="24"/>
        </w:rPr>
        <w:t xml:space="preserve">mieszczenia </w:t>
      </w:r>
      <w:r>
        <w:rPr>
          <w:sz w:val="24"/>
        </w:rPr>
        <w:t xml:space="preserve">go </w:t>
      </w:r>
      <w:r w:rsidRPr="002C2739">
        <w:rPr>
          <w:sz w:val="24"/>
        </w:rPr>
        <w:t xml:space="preserve">na </w:t>
      </w:r>
      <w:r w:rsidRPr="002C2739">
        <w:rPr>
          <w:sz w:val="24"/>
        </w:rPr>
        <w:lastRenderedPageBreak/>
        <w:t>giełdzie d</w:t>
      </w:r>
      <w:r>
        <w:rPr>
          <w:sz w:val="24"/>
        </w:rPr>
        <w:t xml:space="preserve">ługów i podbicie tej informacji w sieci. - </w:t>
      </w:r>
      <w:r w:rsidRPr="006067DF">
        <w:rPr>
          <w:i/>
          <w:sz w:val="24"/>
        </w:rPr>
        <w:t xml:space="preserve">Nasze usługi są komplementarne, ich połączenie pozwala zwiększyć skuteczność działania poszkodowanego przedsiębiorcy, </w:t>
      </w:r>
      <w:r w:rsidR="008E5CED">
        <w:rPr>
          <w:i/>
          <w:sz w:val="24"/>
        </w:rPr>
        <w:t xml:space="preserve">dlatego postanowiliśmy podjąć decyzję </w:t>
      </w:r>
      <w:r w:rsidRPr="006067DF">
        <w:rPr>
          <w:i/>
          <w:sz w:val="24"/>
        </w:rPr>
        <w:t>o współpracy</w:t>
      </w:r>
      <w:r>
        <w:rPr>
          <w:sz w:val="24"/>
        </w:rPr>
        <w:t xml:space="preserve"> –</w:t>
      </w:r>
      <w:r w:rsidR="00190129">
        <w:rPr>
          <w:sz w:val="24"/>
        </w:rPr>
        <w:t xml:space="preserve"> mówią </w:t>
      </w:r>
      <w:r>
        <w:rPr>
          <w:sz w:val="24"/>
        </w:rPr>
        <w:t xml:space="preserve">przedstawiciele BIG InfoMonitor oraz Vindicat. </w:t>
      </w:r>
      <w:r w:rsidR="008E5CED">
        <w:rPr>
          <w:sz w:val="24"/>
        </w:rPr>
        <w:t>W efekcie k</w:t>
      </w:r>
      <w:r>
        <w:rPr>
          <w:sz w:val="24"/>
        </w:rPr>
        <w:t xml:space="preserve">lientom </w:t>
      </w:r>
      <w:r w:rsidR="008E5CED">
        <w:rPr>
          <w:sz w:val="24"/>
        </w:rPr>
        <w:t xml:space="preserve">Rejestru Dłużników  </w:t>
      </w:r>
      <w:r>
        <w:rPr>
          <w:sz w:val="24"/>
        </w:rPr>
        <w:t xml:space="preserve">BIG InfoMonitor usługi platformy Vindicat.pl </w:t>
      </w:r>
      <w:r w:rsidR="00373C9A">
        <w:rPr>
          <w:sz w:val="24"/>
        </w:rPr>
        <w:t xml:space="preserve">są </w:t>
      </w:r>
      <w:r>
        <w:rPr>
          <w:sz w:val="24"/>
        </w:rPr>
        <w:t xml:space="preserve">oferowane </w:t>
      </w:r>
      <w:r w:rsidR="008E5CED">
        <w:rPr>
          <w:sz w:val="24"/>
        </w:rPr>
        <w:t xml:space="preserve">po obniżonych cenach, podobnie jak </w:t>
      </w:r>
      <w:r w:rsidR="00373C9A">
        <w:rPr>
          <w:sz w:val="24"/>
        </w:rPr>
        <w:t xml:space="preserve">usługi </w:t>
      </w:r>
      <w:r>
        <w:rPr>
          <w:sz w:val="24"/>
        </w:rPr>
        <w:t>BIG InfoMonitor</w:t>
      </w:r>
      <w:r w:rsidR="00373C9A">
        <w:rPr>
          <w:sz w:val="24"/>
        </w:rPr>
        <w:t xml:space="preserve"> klientom Vindicat. </w:t>
      </w:r>
      <w:r w:rsidR="00690478">
        <w:rPr>
          <w:sz w:val="24"/>
        </w:rPr>
        <w:t xml:space="preserve">Obecnie </w:t>
      </w:r>
      <w:r w:rsidR="008E5CED">
        <w:rPr>
          <w:sz w:val="24"/>
        </w:rPr>
        <w:t xml:space="preserve">sprawdzający kontrahenta </w:t>
      </w:r>
      <w:r w:rsidR="00690478">
        <w:rPr>
          <w:sz w:val="24"/>
        </w:rPr>
        <w:t xml:space="preserve">w </w:t>
      </w:r>
      <w:r w:rsidR="008E5CED">
        <w:rPr>
          <w:sz w:val="24"/>
        </w:rPr>
        <w:t xml:space="preserve">Rejestrze Dłużników </w:t>
      </w:r>
      <w:r w:rsidR="00190129">
        <w:rPr>
          <w:sz w:val="24"/>
        </w:rPr>
        <w:t xml:space="preserve">BIG InfoMonitor </w:t>
      </w:r>
      <w:r w:rsidR="008E5CED">
        <w:rPr>
          <w:sz w:val="24"/>
        </w:rPr>
        <w:t>ma do dyspozycji bazę z informacjami o</w:t>
      </w:r>
      <w:r w:rsidR="00190129">
        <w:rPr>
          <w:sz w:val="24"/>
        </w:rPr>
        <w:t xml:space="preserve"> </w:t>
      </w:r>
      <w:r w:rsidR="00373C9A">
        <w:rPr>
          <w:sz w:val="24"/>
        </w:rPr>
        <w:t xml:space="preserve">184,5 tys. </w:t>
      </w:r>
      <w:r w:rsidR="00190129">
        <w:rPr>
          <w:sz w:val="24"/>
        </w:rPr>
        <w:t>firm</w:t>
      </w:r>
      <w:r w:rsidR="008E5CED">
        <w:rPr>
          <w:sz w:val="24"/>
        </w:rPr>
        <w:t xml:space="preserve">, z zaległościami wynoszącymi </w:t>
      </w:r>
      <w:r w:rsidR="005E7DF3">
        <w:rPr>
          <w:sz w:val="24"/>
        </w:rPr>
        <w:t xml:space="preserve">łącznie </w:t>
      </w:r>
      <w:r w:rsidR="008E5CED">
        <w:rPr>
          <w:sz w:val="24"/>
        </w:rPr>
        <w:t xml:space="preserve">3,6 mld zł. </w:t>
      </w:r>
    </w:p>
    <w:p w:rsidR="003625E4" w:rsidRPr="00EC7850" w:rsidRDefault="003625E4" w:rsidP="008F0E69">
      <w:pPr>
        <w:jc w:val="both"/>
        <w:rPr>
          <w:sz w:val="24"/>
        </w:rPr>
      </w:pPr>
      <w:r w:rsidRPr="002C2739">
        <w:rPr>
          <w:b/>
          <w:sz w:val="24"/>
        </w:rPr>
        <w:t>–</w:t>
      </w:r>
      <w:r w:rsidRPr="001D0340">
        <w:rPr>
          <w:b/>
          <w:i/>
          <w:sz w:val="24"/>
        </w:rPr>
        <w:t xml:space="preserve">  </w:t>
      </w:r>
      <w:r w:rsidRPr="001D0340">
        <w:rPr>
          <w:i/>
          <w:sz w:val="24"/>
        </w:rPr>
        <w:t xml:space="preserve">Windykacja online jest szybka, prosta i tania w zastosowaniu, podobnie jak sprawdzenie kontrahenta czy wpisywanie go do rejestru BIG. </w:t>
      </w:r>
      <w:r w:rsidR="000822DF" w:rsidRPr="000822DF">
        <w:rPr>
          <w:i/>
          <w:sz w:val="24"/>
        </w:rPr>
        <w:t>T</w:t>
      </w:r>
      <w:r w:rsidRPr="000822DF">
        <w:rPr>
          <w:i/>
          <w:sz w:val="24"/>
        </w:rPr>
        <w:t>ak naprawdę najtrudniejszy jest pierwszy krok i podjęcie decyzji o działaniu</w:t>
      </w:r>
      <w:r w:rsidRPr="000822DF">
        <w:rPr>
          <w:sz w:val="24"/>
        </w:rPr>
        <w:t xml:space="preserve"> –</w:t>
      </w:r>
      <w:r w:rsidR="008723CE">
        <w:rPr>
          <w:sz w:val="24"/>
        </w:rPr>
        <w:t xml:space="preserve"> twierdzą </w:t>
      </w:r>
      <w:r w:rsidRPr="00EC7850">
        <w:rPr>
          <w:sz w:val="24"/>
        </w:rPr>
        <w:t xml:space="preserve">zgodnie przedstawiciele BIG InfoMonitor oraz Vindicat.pl. </w:t>
      </w:r>
    </w:p>
    <w:p w:rsidR="001D0340" w:rsidRPr="0029114F" w:rsidRDefault="001D0340" w:rsidP="008F0E69">
      <w:pPr>
        <w:jc w:val="both"/>
        <w:rPr>
          <w:rFonts w:ascii="Times New Roman" w:hAnsi="Times New Roman"/>
          <w:vanish/>
          <w:sz w:val="24"/>
        </w:rPr>
      </w:pPr>
    </w:p>
    <w:p w:rsidR="001D0340" w:rsidRPr="0029114F" w:rsidRDefault="001D0340" w:rsidP="008F0E69">
      <w:pPr>
        <w:jc w:val="both"/>
        <w:rPr>
          <w:rFonts w:ascii="Times New Roman" w:hAnsi="Times New Roman"/>
          <w:vanish/>
          <w:sz w:val="24"/>
        </w:rPr>
      </w:pPr>
    </w:p>
    <w:p w:rsidR="00C73376" w:rsidRDefault="00C73376" w:rsidP="008F0E69">
      <w:pPr>
        <w:jc w:val="both"/>
        <w:rPr>
          <w:i/>
          <w:sz w:val="18"/>
          <w:szCs w:val="18"/>
        </w:rPr>
      </w:pPr>
    </w:p>
    <w:p w:rsidR="00190129" w:rsidRDefault="00190129" w:rsidP="008F0E69">
      <w:pPr>
        <w:jc w:val="both"/>
        <w:rPr>
          <w:sz w:val="24"/>
        </w:rPr>
      </w:pPr>
      <w:r>
        <w:rPr>
          <w:i/>
          <w:sz w:val="18"/>
          <w:szCs w:val="18"/>
        </w:rPr>
        <w:t>*</w:t>
      </w:r>
      <w:r w:rsidRPr="00AC363F">
        <w:rPr>
          <w:i/>
          <w:sz w:val="18"/>
          <w:szCs w:val="18"/>
        </w:rPr>
        <w:t xml:space="preserve">Badanie Kantar MillwardBrown dla BIG InfoMonitor, </w:t>
      </w:r>
      <w:r>
        <w:rPr>
          <w:i/>
          <w:sz w:val="18"/>
          <w:szCs w:val="18"/>
        </w:rPr>
        <w:t xml:space="preserve">wykonane </w:t>
      </w:r>
      <w:r w:rsidRPr="00AC363F">
        <w:rPr>
          <w:i/>
          <w:sz w:val="18"/>
          <w:szCs w:val="18"/>
        </w:rPr>
        <w:t xml:space="preserve">metodą CATI, </w:t>
      </w:r>
      <w:r>
        <w:rPr>
          <w:i/>
          <w:sz w:val="18"/>
          <w:szCs w:val="18"/>
        </w:rPr>
        <w:t xml:space="preserve">udział wzięło </w:t>
      </w:r>
      <w:r w:rsidRPr="00AC363F">
        <w:rPr>
          <w:i/>
          <w:sz w:val="18"/>
          <w:szCs w:val="18"/>
        </w:rPr>
        <w:t>600 firm zatrudniających do 249 pracowników, listopad 2016 r</w:t>
      </w:r>
      <w:r>
        <w:rPr>
          <w:i/>
          <w:sz w:val="18"/>
          <w:szCs w:val="18"/>
        </w:rPr>
        <w:t xml:space="preserve">.  </w:t>
      </w:r>
    </w:p>
    <w:p w:rsidR="001D0340" w:rsidRPr="00D0790E" w:rsidRDefault="001D0340" w:rsidP="008F0E69">
      <w:pPr>
        <w:jc w:val="both"/>
      </w:pPr>
    </w:p>
    <w:p w:rsidR="001D0340" w:rsidRPr="00D6589B" w:rsidRDefault="001D0340" w:rsidP="008F0E69">
      <w:pPr>
        <w:jc w:val="both"/>
        <w:rPr>
          <w:sz w:val="16"/>
          <w:szCs w:val="16"/>
        </w:rPr>
      </w:pPr>
      <w:r w:rsidRPr="00D6589B">
        <w:rPr>
          <w:b/>
          <w:bCs/>
          <w:color w:val="595959" w:themeColor="text1" w:themeTint="A6"/>
          <w:sz w:val="16"/>
          <w:szCs w:val="16"/>
        </w:rPr>
        <w:t xml:space="preserve">Biuro Informacji Gospodarczej InfoMonitor </w:t>
      </w:r>
      <w:r w:rsidRPr="00D6589B">
        <w:rPr>
          <w:bCs/>
          <w:color w:val="595959" w:themeColor="text1" w:themeTint="A6"/>
          <w:sz w:val="16"/>
          <w:szCs w:val="16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:rsidR="001D0340" w:rsidRDefault="001D0340" w:rsidP="008F0E69">
      <w:pPr>
        <w:spacing w:after="60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1D0340" w:rsidRPr="00835A9A" w:rsidRDefault="00835A9A" w:rsidP="008F0E69">
      <w:pPr>
        <w:spacing w:after="60"/>
        <w:jc w:val="both"/>
        <w:rPr>
          <w:rFonts w:cs="Arial"/>
          <w:color w:val="595959" w:themeColor="text1" w:themeTint="A6"/>
          <w:sz w:val="16"/>
          <w:szCs w:val="16"/>
        </w:rPr>
      </w:pPr>
      <w:r w:rsidRPr="00835A9A">
        <w:rPr>
          <w:rFonts w:cs="Arial"/>
          <w:b/>
          <w:color w:val="595959" w:themeColor="text1" w:themeTint="A6"/>
          <w:sz w:val="16"/>
          <w:szCs w:val="16"/>
        </w:rPr>
        <w:t>Vindicat</w:t>
      </w:r>
      <w:r w:rsidR="0079467B">
        <w:rPr>
          <w:rFonts w:cs="Arial"/>
          <w:b/>
          <w:color w:val="595959" w:themeColor="text1" w:themeTint="A6"/>
          <w:sz w:val="16"/>
          <w:szCs w:val="16"/>
        </w:rPr>
        <w:t>.pl -</w:t>
      </w:r>
      <w:r w:rsidRPr="00835A9A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Pr="00835A9A">
        <w:rPr>
          <w:rFonts w:cs="Arial"/>
          <w:color w:val="595959" w:themeColor="text1" w:themeTint="A6"/>
          <w:sz w:val="16"/>
          <w:szCs w:val="16"/>
        </w:rPr>
        <w:t>to nowoczesny i skuteczny system, który pozwala przedsiębiorcom (firmom) na odzyskiwanie pieniędzy od swoich kontrahentów. By to osiągnąć, system umożliwia dostęp do różnych skutecznych działań związanych z wyegzekwowaniem należności od dłużnika</w:t>
      </w:r>
      <w:r w:rsidR="00E209A0">
        <w:rPr>
          <w:rFonts w:cs="Arial"/>
          <w:color w:val="595959" w:themeColor="text1" w:themeTint="A6"/>
          <w:sz w:val="16"/>
          <w:szCs w:val="16"/>
        </w:rPr>
        <w:t>.</w:t>
      </w:r>
      <w:r w:rsidRPr="00835A9A">
        <w:rPr>
          <w:rFonts w:cs="Arial"/>
          <w:color w:val="595959" w:themeColor="text1" w:themeTint="A6"/>
          <w:sz w:val="16"/>
          <w:szCs w:val="16"/>
        </w:rPr>
        <w:t xml:space="preserve"> Działania te pozwalają na automatyczne wygenerowanie wezwania do zapłaty, pozwu o zapłatę, pozwu do e-sądu, a także pisma o upublicznieniu danych dłużnika na internetowej giełdzie długów Vindicat.pl Dla osób które dbają o relacje ze swoimi kontrahentami, przygotowaliśmy moż</w:t>
      </w:r>
      <w:r w:rsidR="00E209A0">
        <w:rPr>
          <w:rFonts w:cs="Arial"/>
          <w:color w:val="595959" w:themeColor="text1" w:themeTint="A6"/>
          <w:sz w:val="16"/>
          <w:szCs w:val="16"/>
        </w:rPr>
        <w:t>liwość negocjacji online,</w:t>
      </w:r>
      <w:r w:rsidRPr="00835A9A">
        <w:rPr>
          <w:rFonts w:cs="Arial"/>
          <w:color w:val="595959" w:themeColor="text1" w:themeTint="A6"/>
          <w:sz w:val="16"/>
          <w:szCs w:val="16"/>
        </w:rPr>
        <w:t xml:space="preserve"> w wyniku której można zawrzeć ugodę, którą również generuje system. Dzięki rejestracji w systemie Vindicat.pl masz dostęp do wszystkich narzędzi potrzebnych by odzyskać Twoje pieniądze. Jeżeli chcesz, na każdym etapie sprawy możesz zlecić prowadzenie jej naszej kancelarii,  a my w Twoim imieniu zajmiemy się odzyskaniem pieniędzy.</w:t>
      </w:r>
    </w:p>
    <w:p w:rsidR="001D0340" w:rsidRPr="00D6589B" w:rsidRDefault="001D0340" w:rsidP="008F0E69">
      <w:pPr>
        <w:spacing w:after="60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1D0340" w:rsidRPr="00000408" w:rsidRDefault="001D0340" w:rsidP="008F0E69">
      <w:pPr>
        <w:spacing w:after="60"/>
        <w:jc w:val="both"/>
        <w:rPr>
          <w:rFonts w:cs="Arial"/>
          <w:b/>
          <w:sz w:val="16"/>
          <w:szCs w:val="16"/>
        </w:rPr>
      </w:pPr>
      <w:r w:rsidRPr="00000408">
        <w:rPr>
          <w:rFonts w:cs="Arial"/>
          <w:b/>
          <w:sz w:val="16"/>
          <w:szCs w:val="16"/>
        </w:rPr>
        <w:t>Kontakt dla prasy:</w:t>
      </w:r>
    </w:p>
    <w:p w:rsidR="00335752" w:rsidRDefault="00335752" w:rsidP="008F0E69">
      <w:pPr>
        <w:spacing w:after="60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1D0340" w:rsidRPr="00000408" w:rsidRDefault="00335752" w:rsidP="008F0E69">
      <w:pPr>
        <w:spacing w:after="60"/>
        <w:jc w:val="both"/>
        <w:rPr>
          <w:rFonts w:cs="Arial"/>
          <w:b/>
          <w:sz w:val="16"/>
          <w:szCs w:val="16"/>
        </w:rPr>
      </w:pPr>
      <w:r w:rsidRPr="00000408">
        <w:rPr>
          <w:rFonts w:cs="Arial"/>
          <w:b/>
          <w:sz w:val="16"/>
          <w:szCs w:val="16"/>
        </w:rPr>
        <w:t>Grupa BIK:</w:t>
      </w:r>
    </w:p>
    <w:p w:rsidR="00335752" w:rsidRPr="00335752" w:rsidRDefault="00335752" w:rsidP="00335752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335752">
        <w:rPr>
          <w:rFonts w:ascii="Calibri" w:eastAsia="Calibri" w:hAnsi="Calibri" w:cs="Calibri"/>
          <w:b/>
          <w:sz w:val="16"/>
          <w:szCs w:val="16"/>
          <w:lang w:eastAsia="en-US"/>
        </w:rPr>
        <w:t>Alina Stahl</w:t>
      </w:r>
    </w:p>
    <w:p w:rsidR="00335752" w:rsidRPr="00335752" w:rsidRDefault="00335752" w:rsidP="00335752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335752">
        <w:rPr>
          <w:rFonts w:ascii="Calibri" w:eastAsia="Calibri" w:hAnsi="Calibri" w:cs="Calibri"/>
          <w:sz w:val="16"/>
          <w:szCs w:val="16"/>
          <w:lang w:eastAsia="en-US"/>
        </w:rPr>
        <w:t>Dyrektor Biura PR i Komunikacji</w:t>
      </w:r>
    </w:p>
    <w:p w:rsidR="00335752" w:rsidRPr="00335752" w:rsidRDefault="00335752" w:rsidP="00335752">
      <w:pPr>
        <w:jc w:val="both"/>
        <w:rPr>
          <w:rFonts w:ascii="Calibri" w:eastAsia="Calibri" w:hAnsi="Calibri" w:cs="Calibri"/>
          <w:sz w:val="16"/>
          <w:szCs w:val="16"/>
          <w:lang w:val="sv-SE" w:eastAsia="en-US"/>
        </w:rPr>
      </w:pPr>
      <w:r w:rsidRPr="00335752">
        <w:rPr>
          <w:rFonts w:ascii="Calibri" w:eastAsia="Calibri" w:hAnsi="Calibri" w:cs="Calibri"/>
          <w:sz w:val="16"/>
          <w:szCs w:val="16"/>
          <w:lang w:val="sv-SE" w:eastAsia="en-US"/>
        </w:rPr>
        <w:t>tel.: +48 22 348 4180</w:t>
      </w:r>
    </w:p>
    <w:p w:rsidR="00335752" w:rsidRPr="00335752" w:rsidRDefault="00335752" w:rsidP="00335752">
      <w:pPr>
        <w:jc w:val="both"/>
        <w:rPr>
          <w:rFonts w:ascii="Calibri" w:eastAsia="Calibri" w:hAnsi="Calibri" w:cs="Calibri"/>
          <w:sz w:val="16"/>
          <w:szCs w:val="16"/>
          <w:lang w:val="sv-SE" w:eastAsia="en-US"/>
        </w:rPr>
      </w:pPr>
      <w:r w:rsidRPr="00335752">
        <w:rPr>
          <w:rFonts w:ascii="Calibri" w:eastAsia="Calibri" w:hAnsi="Calibri" w:cs="Calibri"/>
          <w:sz w:val="16"/>
          <w:szCs w:val="16"/>
          <w:lang w:val="sv-SE" w:eastAsia="en-US"/>
        </w:rPr>
        <w:t>kom.: + 48 512 164 476</w:t>
      </w:r>
    </w:p>
    <w:p w:rsidR="00335752" w:rsidRPr="00335752" w:rsidRDefault="00AF0EA9" w:rsidP="00335752">
      <w:pPr>
        <w:spacing w:after="60"/>
        <w:jc w:val="both"/>
        <w:rPr>
          <w:rFonts w:cs="Arial"/>
          <w:b/>
          <w:color w:val="595959" w:themeColor="text1" w:themeTint="A6"/>
          <w:sz w:val="16"/>
          <w:szCs w:val="16"/>
        </w:rPr>
      </w:pPr>
      <w:hyperlink r:id="rId11" w:history="1">
        <w:r w:rsidR="00335752" w:rsidRPr="00335752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sv-SE" w:eastAsia="en-US"/>
          </w:rPr>
          <w:t>kontaktmedia@bik.pl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340" w:rsidRPr="00D6589B" w:rsidTr="000B4ED1">
        <w:tc>
          <w:tcPr>
            <w:tcW w:w="4606" w:type="dxa"/>
            <w:hideMark/>
          </w:tcPr>
          <w:p w:rsidR="001D0340" w:rsidRPr="00D6589B" w:rsidRDefault="001D0340" w:rsidP="008F0E69">
            <w:pPr>
              <w:ind w:left="-108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606" w:type="dxa"/>
            <w:hideMark/>
          </w:tcPr>
          <w:p w:rsidR="001D0340" w:rsidRPr="00D6589B" w:rsidRDefault="001D0340" w:rsidP="008F0E69">
            <w:pPr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D6589B">
              <w:rPr>
                <w:rFonts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</w:tbl>
    <w:p w:rsidR="00335752" w:rsidRPr="00000408" w:rsidRDefault="00335752" w:rsidP="008F0E69">
      <w:pPr>
        <w:jc w:val="both"/>
        <w:rPr>
          <w:b/>
          <w:sz w:val="16"/>
          <w:szCs w:val="16"/>
        </w:rPr>
      </w:pPr>
      <w:r w:rsidRPr="00000408">
        <w:rPr>
          <w:b/>
          <w:sz w:val="16"/>
          <w:szCs w:val="16"/>
        </w:rPr>
        <w:t xml:space="preserve">Vindicat: </w:t>
      </w:r>
    </w:p>
    <w:p w:rsidR="00335752" w:rsidRDefault="00335752" w:rsidP="008F0E69">
      <w:pPr>
        <w:jc w:val="both"/>
        <w:rPr>
          <w:sz w:val="16"/>
          <w:szCs w:val="16"/>
        </w:rPr>
      </w:pPr>
    </w:p>
    <w:p w:rsidR="00517C2D" w:rsidRPr="00AD0C67" w:rsidRDefault="00AD0C67" w:rsidP="008F0E69">
      <w:pPr>
        <w:jc w:val="both"/>
        <w:rPr>
          <w:b/>
          <w:sz w:val="16"/>
          <w:szCs w:val="16"/>
        </w:rPr>
      </w:pPr>
      <w:r w:rsidRPr="00AD0C67">
        <w:rPr>
          <w:b/>
          <w:sz w:val="16"/>
          <w:szCs w:val="16"/>
        </w:rPr>
        <w:t>Mateusz Jakóbiak</w:t>
      </w:r>
    </w:p>
    <w:p w:rsidR="00AD0C67" w:rsidRPr="00AD0C67" w:rsidRDefault="00AD0C67" w:rsidP="008F0E69">
      <w:pPr>
        <w:jc w:val="both"/>
        <w:rPr>
          <w:sz w:val="16"/>
          <w:szCs w:val="16"/>
        </w:rPr>
      </w:pPr>
      <w:r w:rsidRPr="00AD0C67">
        <w:rPr>
          <w:sz w:val="16"/>
          <w:szCs w:val="16"/>
        </w:rPr>
        <w:t>Członek Zarządu Vindicat.pl</w:t>
      </w:r>
    </w:p>
    <w:p w:rsidR="00AD0C67" w:rsidRPr="00AD0C67" w:rsidRDefault="00AD0C67" w:rsidP="008F0E69">
      <w:pPr>
        <w:jc w:val="both"/>
        <w:rPr>
          <w:sz w:val="16"/>
          <w:szCs w:val="16"/>
        </w:rPr>
      </w:pPr>
      <w:r w:rsidRPr="00AD0C67">
        <w:rPr>
          <w:sz w:val="16"/>
          <w:szCs w:val="16"/>
        </w:rPr>
        <w:t>Tel: +48796123124</w:t>
      </w:r>
    </w:p>
    <w:p w:rsidR="00AD0C67" w:rsidRPr="00AD0C67" w:rsidRDefault="00AF0EA9" w:rsidP="008F0E69">
      <w:pPr>
        <w:jc w:val="both"/>
        <w:rPr>
          <w:sz w:val="16"/>
          <w:szCs w:val="16"/>
        </w:rPr>
      </w:pPr>
      <w:hyperlink r:id="rId12" w:history="1">
        <w:r w:rsidR="00335752" w:rsidRPr="00C634C1">
          <w:rPr>
            <w:rStyle w:val="Hipercze"/>
            <w:sz w:val="16"/>
            <w:szCs w:val="16"/>
          </w:rPr>
          <w:t>biuro@vindicat.pl</w:t>
        </w:r>
      </w:hyperlink>
      <w:r w:rsidR="00335752">
        <w:rPr>
          <w:sz w:val="16"/>
          <w:szCs w:val="16"/>
        </w:rPr>
        <w:t xml:space="preserve"> </w:t>
      </w:r>
    </w:p>
    <w:sectPr w:rsidR="00AD0C67" w:rsidRPr="00AD0C67" w:rsidSect="003E4F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A9" w:rsidRDefault="00AF0EA9" w:rsidP="001D0340">
      <w:r>
        <w:separator/>
      </w:r>
    </w:p>
  </w:endnote>
  <w:endnote w:type="continuationSeparator" w:id="0">
    <w:p w:rsidR="00AF0EA9" w:rsidRDefault="00AF0EA9" w:rsidP="001D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0972F5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A26" w:rsidRDefault="00AF0EA9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0972F5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76E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44FC5" w:rsidRPr="00D94BC7" w:rsidRDefault="00AF0E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26" w:rsidRDefault="00AF0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A9" w:rsidRDefault="00AF0EA9" w:rsidP="001D0340">
      <w:r>
        <w:separator/>
      </w:r>
    </w:p>
  </w:footnote>
  <w:footnote w:type="continuationSeparator" w:id="0">
    <w:p w:rsidR="00AF0EA9" w:rsidRDefault="00AF0EA9" w:rsidP="001D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FD" w:rsidRPr="005C5726" w:rsidRDefault="00AF0EA9" w:rsidP="005C5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25" w:rsidRDefault="000972F5" w:rsidP="0027489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1B849A" wp14:editId="6BBAE5AE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5" w:rsidRDefault="000972F5" w:rsidP="0027489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A26F7" wp14:editId="2C85BB02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5" w:rsidRDefault="00AF0EA9">
    <w:pPr>
      <w:pStyle w:val="Nagwek"/>
    </w:pPr>
  </w:p>
  <w:p w:rsidR="006E7F0C" w:rsidRDefault="00AF0EA9">
    <w:pPr>
      <w:pStyle w:val="Nagwek"/>
    </w:pPr>
  </w:p>
  <w:p w:rsidR="00085155" w:rsidRPr="00695EB6" w:rsidRDefault="000972F5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0"/>
    <w:rsid w:val="00000408"/>
    <w:rsid w:val="0000188B"/>
    <w:rsid w:val="000822DF"/>
    <w:rsid w:val="000972F5"/>
    <w:rsid w:val="001432B3"/>
    <w:rsid w:val="00190129"/>
    <w:rsid w:val="001C38CF"/>
    <w:rsid w:val="001D0340"/>
    <w:rsid w:val="001E634F"/>
    <w:rsid w:val="00231C77"/>
    <w:rsid w:val="002B12A3"/>
    <w:rsid w:val="003046D7"/>
    <w:rsid w:val="00335752"/>
    <w:rsid w:val="003625E4"/>
    <w:rsid w:val="00370AE5"/>
    <w:rsid w:val="00373C9A"/>
    <w:rsid w:val="00390FBD"/>
    <w:rsid w:val="00402CC6"/>
    <w:rsid w:val="004C7BA0"/>
    <w:rsid w:val="00513919"/>
    <w:rsid w:val="005E7DF3"/>
    <w:rsid w:val="006276E6"/>
    <w:rsid w:val="00690478"/>
    <w:rsid w:val="006A1BB9"/>
    <w:rsid w:val="00740BC7"/>
    <w:rsid w:val="0079467B"/>
    <w:rsid w:val="007B1950"/>
    <w:rsid w:val="007E48F2"/>
    <w:rsid w:val="00835A9A"/>
    <w:rsid w:val="00840E21"/>
    <w:rsid w:val="008723CE"/>
    <w:rsid w:val="008837F4"/>
    <w:rsid w:val="008D0BD1"/>
    <w:rsid w:val="008E5CED"/>
    <w:rsid w:val="008F0E69"/>
    <w:rsid w:val="009605C0"/>
    <w:rsid w:val="009E37B2"/>
    <w:rsid w:val="00A220AB"/>
    <w:rsid w:val="00A6097C"/>
    <w:rsid w:val="00A73410"/>
    <w:rsid w:val="00AD0C67"/>
    <w:rsid w:val="00AF0EA9"/>
    <w:rsid w:val="00B014E5"/>
    <w:rsid w:val="00B25E39"/>
    <w:rsid w:val="00C37219"/>
    <w:rsid w:val="00C73275"/>
    <w:rsid w:val="00C73376"/>
    <w:rsid w:val="00C7393F"/>
    <w:rsid w:val="00E209A0"/>
    <w:rsid w:val="00EB7F87"/>
    <w:rsid w:val="00F26425"/>
    <w:rsid w:val="00FA02E7"/>
    <w:rsid w:val="00FF04F5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4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0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3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1D0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3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1D0340"/>
  </w:style>
  <w:style w:type="paragraph" w:styleId="Tekstdymka">
    <w:name w:val="Balloon Text"/>
    <w:basedOn w:val="Normalny"/>
    <w:link w:val="TekstdymkaZnak"/>
    <w:uiPriority w:val="99"/>
    <w:semiHidden/>
    <w:unhideWhenUsed/>
    <w:rsid w:val="001D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f-required">
    <w:name w:val="acf-required"/>
    <w:basedOn w:val="Domylnaczcionkaakapitu"/>
    <w:rsid w:val="001D0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3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34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3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4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0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34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1D0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34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1D0340"/>
  </w:style>
  <w:style w:type="paragraph" w:styleId="Tekstdymka">
    <w:name w:val="Balloon Text"/>
    <w:basedOn w:val="Normalny"/>
    <w:link w:val="TekstdymkaZnak"/>
    <w:uiPriority w:val="99"/>
    <w:semiHidden/>
    <w:unhideWhenUsed/>
    <w:rsid w:val="001D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f-required">
    <w:name w:val="acf-required"/>
    <w:basedOn w:val="Domylnaczcionkaakapitu"/>
    <w:rsid w:val="001D0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3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34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3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vindicat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media@bi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Czy w ciągu ostatnich 12 miesięcy zdarzyło się firmie zrezygnować z należnych pieniędzy od kluczowych klientów? </a:t>
            </a:r>
          </a:p>
        </c:rich>
      </c:tx>
      <c:layout>
        <c:manualLayout>
          <c:xMode val="edge"/>
          <c:yMode val="edge"/>
          <c:x val="0.12691666666666668"/>
          <c:y val="2.336903363832341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4B-4A78-A22A-F700899D273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4B-4A78-A22A-F700899D273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4B-4A78-A22A-F700899D273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4B-4A78-A22A-F700899D273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E4B-4A78-A22A-F700899D273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E4B-4A78-A22A-F700899D273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Arkusz1!$B$58:$B$68</c:f>
              <c:strCache>
                <c:ptCount val="11"/>
                <c:pt idx="0">
                  <c:v>mikrofirma </c:v>
                </c:pt>
                <c:pt idx="1">
                  <c:v>mała firma</c:v>
                </c:pt>
                <c:pt idx="2">
                  <c:v>średnia firma</c:v>
                </c:pt>
                <c:pt idx="4">
                  <c:v>Usługi</c:v>
                </c:pt>
                <c:pt idx="5">
                  <c:v>Handel</c:v>
                </c:pt>
                <c:pt idx="6">
                  <c:v>Budownictwo</c:v>
                </c:pt>
                <c:pt idx="7">
                  <c:v>Produkcja</c:v>
                </c:pt>
                <c:pt idx="9">
                  <c:v>Firmy bez zatorów płatniczych </c:v>
                </c:pt>
                <c:pt idx="10">
                  <c:v>Firmy z zatorami płatniczymi</c:v>
                </c:pt>
              </c:strCache>
            </c:strRef>
          </c:cat>
          <c:val>
            <c:numRef>
              <c:f>Arkusz1!$C$58:$C$68</c:f>
              <c:numCache>
                <c:formatCode>0%</c:formatCode>
                <c:ptCount val="11"/>
                <c:pt idx="0">
                  <c:v>0.08</c:v>
                </c:pt>
                <c:pt idx="1">
                  <c:v>0.08</c:v>
                </c:pt>
                <c:pt idx="2">
                  <c:v>0.01</c:v>
                </c:pt>
                <c:pt idx="4">
                  <c:v>0.06</c:v>
                </c:pt>
                <c:pt idx="5">
                  <c:v>0.06</c:v>
                </c:pt>
                <c:pt idx="6">
                  <c:v>0.11</c:v>
                </c:pt>
                <c:pt idx="7">
                  <c:v>0.11</c:v>
                </c:pt>
                <c:pt idx="9">
                  <c:v>0.04</c:v>
                </c:pt>
                <c:pt idx="10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E4B-4A78-A22A-F700899D27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2466304"/>
        <c:axId val="82479744"/>
      </c:barChart>
      <c:catAx>
        <c:axId val="82466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2479744"/>
        <c:crosses val="autoZero"/>
        <c:auto val="1"/>
        <c:lblAlgn val="ctr"/>
        <c:lblOffset val="100"/>
        <c:noMultiLvlLbl val="0"/>
      </c:catAx>
      <c:valAx>
        <c:axId val="824797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246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pl-PL" sz="1600" b="1" i="0" u="none" strike="noStrike" baseline="0">
                <a:effectLst/>
              </a:rPr>
              <a:t>Najczęściej stosowane działania w celu odzyskania należności</a:t>
            </a:r>
            <a:r>
              <a:rPr lang="pl-PL" sz="1600" b="1" i="0" u="none" strike="noStrike" baseline="0"/>
              <a:t> </a:t>
            </a:r>
            <a:endParaRPr lang="pl-PL" sz="1600" b="1"/>
          </a:p>
        </c:rich>
      </c:tx>
      <c:layout>
        <c:manualLayout>
          <c:xMode val="edge"/>
          <c:yMode val="edge"/>
          <c:x val="0.13857633420822396"/>
          <c:y val="1.317523056653491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Arkusz1!$B$36:$B$44</c:f>
              <c:strCache>
                <c:ptCount val="9"/>
                <c:pt idx="0">
                  <c:v>droga sądowa</c:v>
                </c:pt>
                <c:pt idx="1">
                  <c:v>wezwaniew do zapłaty</c:v>
                </c:pt>
                <c:pt idx="2">
                  <c:v>windykacja zlecona firmie zewnętrznej </c:v>
                </c:pt>
                <c:pt idx="3">
                  <c:v>negocjacje</c:v>
                </c:pt>
                <c:pt idx="4">
                  <c:v>komornik</c:v>
                </c:pt>
                <c:pt idx="5">
                  <c:v>wpis do rejestru dłużników BIG</c:v>
                </c:pt>
                <c:pt idx="6">
                  <c:v>windykacja samodzielna</c:v>
                </c:pt>
                <c:pt idx="7">
                  <c:v>blokada towaru</c:v>
                </c:pt>
                <c:pt idx="8">
                  <c:v>wystawienie długu na giełdzie wierzytelności</c:v>
                </c:pt>
              </c:strCache>
            </c:strRef>
          </c:cat>
          <c:val>
            <c:numRef>
              <c:f>Arkusz1!$C$36:$C$44</c:f>
              <c:numCache>
                <c:formatCode>0%</c:formatCode>
                <c:ptCount val="9"/>
                <c:pt idx="0">
                  <c:v>0.47</c:v>
                </c:pt>
                <c:pt idx="1">
                  <c:v>0.4</c:v>
                </c:pt>
                <c:pt idx="2">
                  <c:v>0.24</c:v>
                </c:pt>
                <c:pt idx="3">
                  <c:v>0.14000000000000001</c:v>
                </c:pt>
                <c:pt idx="4">
                  <c:v>0.08</c:v>
                </c:pt>
                <c:pt idx="5">
                  <c:v>0.08</c:v>
                </c:pt>
                <c:pt idx="6">
                  <c:v>0.04</c:v>
                </c:pt>
                <c:pt idx="7">
                  <c:v>0.01</c:v>
                </c:pt>
                <c:pt idx="8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C-46A8-935A-85EB47B92A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2500224"/>
        <c:axId val="155059712"/>
      </c:barChart>
      <c:catAx>
        <c:axId val="82500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5059712"/>
        <c:crosses val="autoZero"/>
        <c:auto val="1"/>
        <c:lblAlgn val="ctr"/>
        <c:lblOffset val="100"/>
        <c:noMultiLvlLbl val="0"/>
      </c:catAx>
      <c:valAx>
        <c:axId val="1550597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250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516FBB9-85AB-4280-BE0C-582E817F8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5841</Characters>
  <Application>Microsoft Office Word</Application>
  <DocSecurity>0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Stankiewicz-Billewicz Aleksandra</cp:lastModifiedBy>
  <cp:revision>2</cp:revision>
  <dcterms:created xsi:type="dcterms:W3CDTF">2017-07-05T09:57:00Z</dcterms:created>
  <dcterms:modified xsi:type="dcterms:W3CDTF">2017-07-05T09:57:00Z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1f3b18dc-1d6f-47ac-beb3-b0b17282af4f</vt:lpwstr>
  </property>
  <property fmtid="{D5CDD505-2E9C-101B-9397-08002B2CF9AE}" pid="3" name="bjSaver">
    <vt:lpwstr>xORkW3ca6iDiqdk6AI3lgo0hmKRVQTR4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