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1FAD" w:rsidRPr="002F5971" w:rsidRDefault="00BF05EE" w:rsidP="001B1C31">
      <w:pPr>
        <w:pStyle w:val="Nagwek1"/>
        <w:spacing w:line="276" w:lineRule="auto"/>
        <w:ind w:left="7090"/>
        <w:rPr>
          <w:b w:val="0"/>
          <w:sz w:val="20"/>
          <w:szCs w:val="20"/>
          <w:lang w:eastAsia="pl-PL"/>
        </w:rPr>
      </w:pPr>
      <w:r>
        <w:rPr>
          <w:b w:val="0"/>
          <w:sz w:val="20"/>
          <w:szCs w:val="20"/>
          <w:lang w:eastAsia="pl-PL"/>
        </w:rPr>
        <w:t xml:space="preserve">      </w:t>
      </w:r>
      <w:r w:rsidR="00F37889" w:rsidRPr="002F5971">
        <w:rPr>
          <w:b w:val="0"/>
          <w:sz w:val="20"/>
          <w:szCs w:val="20"/>
          <w:lang w:eastAsia="pl-PL"/>
        </w:rPr>
        <w:t>Warszawa</w:t>
      </w:r>
      <w:r w:rsidR="00A16AA8" w:rsidRPr="002F5971">
        <w:rPr>
          <w:b w:val="0"/>
          <w:sz w:val="20"/>
          <w:szCs w:val="20"/>
          <w:lang w:eastAsia="pl-PL"/>
        </w:rPr>
        <w:t xml:space="preserve">, </w:t>
      </w:r>
      <w:r w:rsidR="00953FC5">
        <w:rPr>
          <w:b w:val="0"/>
          <w:sz w:val="20"/>
          <w:szCs w:val="20"/>
          <w:lang w:eastAsia="pl-PL"/>
        </w:rPr>
        <w:t>1</w:t>
      </w:r>
      <w:r w:rsidR="00CE722C">
        <w:rPr>
          <w:b w:val="0"/>
          <w:sz w:val="20"/>
          <w:szCs w:val="20"/>
          <w:lang w:eastAsia="pl-PL"/>
        </w:rPr>
        <w:t>8</w:t>
      </w:r>
      <w:r w:rsidR="000C7557" w:rsidRPr="002F5971">
        <w:rPr>
          <w:b w:val="0"/>
          <w:sz w:val="20"/>
          <w:szCs w:val="20"/>
          <w:lang w:eastAsia="pl-PL"/>
        </w:rPr>
        <w:t xml:space="preserve"> </w:t>
      </w:r>
      <w:r>
        <w:rPr>
          <w:b w:val="0"/>
          <w:sz w:val="20"/>
          <w:szCs w:val="20"/>
          <w:lang w:eastAsia="pl-PL"/>
        </w:rPr>
        <w:t>sierpnia</w:t>
      </w:r>
      <w:r w:rsidR="00394502" w:rsidRPr="002F5971">
        <w:rPr>
          <w:b w:val="0"/>
          <w:sz w:val="20"/>
          <w:szCs w:val="20"/>
          <w:lang w:eastAsia="pl-PL"/>
        </w:rPr>
        <w:t xml:space="preserve"> </w:t>
      </w:r>
      <w:r w:rsidR="00405ED1" w:rsidRPr="002F5971">
        <w:rPr>
          <w:b w:val="0"/>
          <w:sz w:val="20"/>
          <w:szCs w:val="20"/>
          <w:lang w:eastAsia="pl-PL"/>
        </w:rPr>
        <w:t>2017</w:t>
      </w:r>
      <w:r w:rsidR="00F37889" w:rsidRPr="002F5971">
        <w:rPr>
          <w:b w:val="0"/>
          <w:sz w:val="20"/>
          <w:szCs w:val="20"/>
          <w:lang w:eastAsia="pl-PL"/>
        </w:rPr>
        <w:t xml:space="preserve"> </w:t>
      </w:r>
    </w:p>
    <w:p w:rsidR="00191266" w:rsidRDefault="00191266" w:rsidP="001A3107">
      <w:pPr>
        <w:jc w:val="center"/>
        <w:rPr>
          <w:b/>
        </w:rPr>
      </w:pPr>
    </w:p>
    <w:p w:rsidR="00191266" w:rsidRDefault="00191266" w:rsidP="00BF05EE">
      <w:pPr>
        <w:spacing w:line="276" w:lineRule="auto"/>
        <w:jc w:val="center"/>
        <w:rPr>
          <w:b/>
        </w:rPr>
      </w:pPr>
    </w:p>
    <w:p w:rsidR="00BF05EE" w:rsidRDefault="0058203C" w:rsidP="00BF05EE">
      <w:pPr>
        <w:spacing w:line="276" w:lineRule="auto"/>
        <w:jc w:val="center"/>
        <w:rPr>
          <w:b/>
        </w:rPr>
      </w:pPr>
      <w:r>
        <w:rPr>
          <w:b/>
        </w:rPr>
        <w:t>Wolimy wydawać na przyjemności niż oszczędzać</w:t>
      </w:r>
      <w:bookmarkStart w:id="0" w:name="_GoBack"/>
      <w:bookmarkEnd w:id="0"/>
    </w:p>
    <w:p w:rsidR="00BF05EE" w:rsidRPr="00E94E82" w:rsidRDefault="00BF05EE" w:rsidP="00BF05EE">
      <w:pPr>
        <w:spacing w:line="276" w:lineRule="auto"/>
        <w:jc w:val="center"/>
        <w:rPr>
          <w:b/>
        </w:rPr>
      </w:pPr>
    </w:p>
    <w:p w:rsidR="00BF05EE" w:rsidRDefault="00BF05EE" w:rsidP="00BF05EE">
      <w:pPr>
        <w:spacing w:line="276" w:lineRule="auto"/>
        <w:jc w:val="both"/>
        <w:rPr>
          <w:b/>
        </w:rPr>
      </w:pPr>
      <w:r>
        <w:rPr>
          <w:b/>
        </w:rPr>
        <w:t>Polacy wydają</w:t>
      </w:r>
      <w:r w:rsidRPr="00102042">
        <w:rPr>
          <w:b/>
        </w:rPr>
        <w:t xml:space="preserve"> na swoje przyjemności </w:t>
      </w:r>
      <w:r>
        <w:rPr>
          <w:b/>
        </w:rPr>
        <w:t xml:space="preserve">przeciętnie </w:t>
      </w:r>
      <w:r w:rsidRPr="00102042">
        <w:rPr>
          <w:b/>
        </w:rPr>
        <w:t xml:space="preserve">168 zł miesięcznie – wynika z badania „Finanse Polaków” przeprowadzonego przez PBS na zlecenie </w:t>
      </w:r>
      <w:proofErr w:type="spellStart"/>
      <w:r w:rsidRPr="00102042">
        <w:rPr>
          <w:b/>
        </w:rPr>
        <w:t>Providenta</w:t>
      </w:r>
      <w:proofErr w:type="spellEnd"/>
      <w:r w:rsidRPr="00102042">
        <w:rPr>
          <w:b/>
        </w:rPr>
        <w:t xml:space="preserve">, największej instytucji pożyczkowej w Polsce. Tylko co dziesiąty </w:t>
      </w:r>
      <w:r>
        <w:rPr>
          <w:b/>
        </w:rPr>
        <w:t>z nas</w:t>
      </w:r>
      <w:r w:rsidRPr="00102042">
        <w:rPr>
          <w:b/>
        </w:rPr>
        <w:t xml:space="preserve"> może przeznaczyć na ten cel ponad 300 zł miesięcznie, zaś ponad jedna czwarta</w:t>
      </w:r>
      <w:r>
        <w:rPr>
          <w:b/>
        </w:rPr>
        <w:t xml:space="preserve"> </w:t>
      </w:r>
      <w:r w:rsidRPr="00102042">
        <w:rPr>
          <w:b/>
        </w:rPr>
        <w:t>zamyka się w kwocie do 50 zł.</w:t>
      </w:r>
    </w:p>
    <w:p w:rsidR="00BF05EE" w:rsidRPr="00102042" w:rsidRDefault="00BF05EE" w:rsidP="00BF05EE">
      <w:pPr>
        <w:spacing w:line="276" w:lineRule="auto"/>
        <w:jc w:val="both"/>
        <w:rPr>
          <w:b/>
        </w:rPr>
      </w:pPr>
    </w:p>
    <w:p w:rsidR="003F0F48" w:rsidRDefault="00BF05EE" w:rsidP="00BF05EE">
      <w:pPr>
        <w:spacing w:line="276" w:lineRule="auto"/>
        <w:jc w:val="both"/>
      </w:pPr>
      <w:r>
        <w:t xml:space="preserve">Wartość wydatków związanych ze spędzaniem wolnego czasu jest bardzo zróżnicowana w poszczególnych grupach. Wyraźnie wpływa na nią wysokość dochodów – osoby zamożniejsze przeznaczają na swoje przyjemności </w:t>
      </w:r>
      <w:r w:rsidRPr="003F0F48">
        <w:t xml:space="preserve">zdecydowanie </w:t>
      </w:r>
      <w:r w:rsidR="003F0F48" w:rsidRPr="003F0F48">
        <w:t>większą część swoich dochodów</w:t>
      </w:r>
      <w:r w:rsidR="00966168">
        <w:t xml:space="preserve"> (ok. 20 proc.)</w:t>
      </w:r>
      <w:r w:rsidR="003F0F48" w:rsidRPr="003F0F48">
        <w:t xml:space="preserve"> niż o</w:t>
      </w:r>
      <w:r w:rsidR="00966168">
        <w:t>soby uboższe (ok. 10 proc.</w:t>
      </w:r>
      <w:r w:rsidR="0058203C">
        <w:t>). W</w:t>
      </w:r>
      <w:r w:rsidR="003F0F48" w:rsidRPr="003F0F48">
        <w:t xml:space="preserve">yjątkiem są młodzi ludzie, którzy mimo skromnych budżetów, na przyjemności przeznaczają ponad </w:t>
      </w:r>
      <w:r w:rsidR="00966168">
        <w:t>jedną piątą</w:t>
      </w:r>
      <w:r w:rsidR="003F0F48" w:rsidRPr="003F0F48">
        <w:t xml:space="preserve"> swoich dochodów.</w:t>
      </w:r>
      <w:r w:rsidR="003F0F48">
        <w:t xml:space="preserve"> </w:t>
      </w:r>
    </w:p>
    <w:p w:rsidR="003F0F48" w:rsidRDefault="003F0F48" w:rsidP="00BF05EE">
      <w:pPr>
        <w:spacing w:line="276" w:lineRule="auto"/>
        <w:jc w:val="both"/>
      </w:pPr>
    </w:p>
    <w:p w:rsidR="00BF05EE" w:rsidRDefault="003F0F48" w:rsidP="00BF05EE">
      <w:pPr>
        <w:spacing w:line="276" w:lineRule="auto"/>
        <w:jc w:val="both"/>
      </w:pPr>
      <w:r>
        <w:t>K</w:t>
      </w:r>
      <w:r w:rsidR="00BF05EE">
        <w:t xml:space="preserve">obiety </w:t>
      </w:r>
      <w:r>
        <w:t xml:space="preserve">na przyjemności </w:t>
      </w:r>
      <w:r w:rsidR="00BF05EE">
        <w:t>wydają średnio 155 zł</w:t>
      </w:r>
      <w:r>
        <w:t xml:space="preserve"> miesięcznie</w:t>
      </w:r>
      <w:r w:rsidR="00BF05EE">
        <w:t>, o ok. 30 zł mniej niż mężczyźni, osoby starsze, wśród których dominują emeryci – o ponad 60 zł mniej niż wynosi średnia dla wszystkich grup, czyli niewiele ponad 100 zł, zaś osoby z wykształceniem podstawowym, które zazwyczaj nie mogą liczyć na wysokie zarobki, na rozrywkę i przyjemności przeznaczają niespełna 100 zł miesięcznie – blisko trzykrotnie mniej niż osoby z wyższym wykształceniem.</w:t>
      </w:r>
    </w:p>
    <w:p w:rsidR="003F3882" w:rsidRDefault="003F3882" w:rsidP="00BF05EE">
      <w:pPr>
        <w:spacing w:line="276" w:lineRule="auto"/>
        <w:jc w:val="both"/>
      </w:pPr>
    </w:p>
    <w:p w:rsidR="00BF05EE" w:rsidRDefault="00BF05EE" w:rsidP="00BF05EE">
      <w:pPr>
        <w:spacing w:line="276" w:lineRule="auto"/>
        <w:jc w:val="both"/>
      </w:pPr>
      <w:r>
        <w:t xml:space="preserve">– </w:t>
      </w:r>
      <w:r w:rsidRPr="00785AF6">
        <w:rPr>
          <w:i/>
        </w:rPr>
        <w:t xml:space="preserve">Środki przeznaczane na przyjemności i rozrywkę są najczęściej proporcjonalne do budżetów, jakimi dysponują poszczególne osoby. </w:t>
      </w:r>
      <w:r w:rsidR="003F3882">
        <w:rPr>
          <w:i/>
        </w:rPr>
        <w:t>Uwagę zwraca fakt</w:t>
      </w:r>
      <w:r w:rsidRPr="00785AF6">
        <w:rPr>
          <w:i/>
        </w:rPr>
        <w:t xml:space="preserve">, że nawet osoby w </w:t>
      </w:r>
      <w:r>
        <w:rPr>
          <w:i/>
        </w:rPr>
        <w:t>słabszej</w:t>
      </w:r>
      <w:r w:rsidRPr="00785AF6">
        <w:rPr>
          <w:i/>
        </w:rPr>
        <w:t xml:space="preserve"> sytuacji finansowej starają się wygospodarować pieniądze na swoje przyjemności</w:t>
      </w:r>
      <w:r>
        <w:rPr>
          <w:i/>
        </w:rPr>
        <w:t xml:space="preserve"> </w:t>
      </w:r>
      <w:r>
        <w:t xml:space="preserve">– mówi Anna Karasińska, ekspert ds. badań rynkowych w Provident Polska. Firma z okazji 20-lecia swojej działalności na polskim rynku przygotowała raport na temat podejścia Polaków do pieniędzy. – </w:t>
      </w:r>
      <w:r w:rsidRPr="00785AF6">
        <w:rPr>
          <w:i/>
        </w:rPr>
        <w:t xml:space="preserve">Nasze badania pokazują, że wydatki na przyjemności są dla </w:t>
      </w:r>
      <w:r>
        <w:rPr>
          <w:i/>
        </w:rPr>
        <w:t xml:space="preserve">sporej części </w:t>
      </w:r>
      <w:r w:rsidRPr="00785AF6">
        <w:rPr>
          <w:i/>
        </w:rPr>
        <w:t xml:space="preserve">Polaków </w:t>
      </w:r>
      <w:r>
        <w:rPr>
          <w:i/>
        </w:rPr>
        <w:t xml:space="preserve">nawet </w:t>
      </w:r>
      <w:r w:rsidRPr="00785AF6">
        <w:rPr>
          <w:i/>
        </w:rPr>
        <w:t>ważniejsze niż gromadzenie oszczędności</w:t>
      </w:r>
      <w:r>
        <w:rPr>
          <w:i/>
        </w:rPr>
        <w:t xml:space="preserve">. Ponad jedna trzecia Polaków nie jest w stanie przeznaczać regularnie żadnych środków na oszczędności, podczas gdy z wydatków na przyjemności rezygnuje tylko 13 proc. </w:t>
      </w:r>
      <w:r>
        <w:t xml:space="preserve"> – zauważa Karasińska.</w:t>
      </w:r>
    </w:p>
    <w:p w:rsidR="003F3882" w:rsidRDefault="003F3882" w:rsidP="00BF05EE">
      <w:pPr>
        <w:spacing w:line="276" w:lineRule="auto"/>
        <w:jc w:val="both"/>
      </w:pPr>
    </w:p>
    <w:p w:rsidR="00BF05EE" w:rsidRDefault="00BF05EE" w:rsidP="00BF05EE">
      <w:pPr>
        <w:spacing w:line="276" w:lineRule="auto"/>
        <w:jc w:val="both"/>
      </w:pPr>
      <w:r>
        <w:t>Prymat wydawania nad oszczędzaniem widoczny jest także w strukturze wydatków Polaków. Statystyczny Polak na podstawowe koszty życia przeznacza ponad 60 proc. swoich dochodów, na przyjemności i rozrywki</w:t>
      </w:r>
      <w:r w:rsidR="0058203C">
        <w:t xml:space="preserve"> dla siebie i rodziny</w:t>
      </w:r>
      <w:r>
        <w:t xml:space="preserve"> – 14 proc., na inne wydatki – 15 proc., zaś na </w:t>
      </w:r>
      <w:r>
        <w:lastRenderedPageBreak/>
        <w:t>oszczędności – tylko 10 proc.</w:t>
      </w:r>
    </w:p>
    <w:p w:rsidR="003F3882" w:rsidRDefault="003F3882" w:rsidP="00BF05EE">
      <w:pPr>
        <w:spacing w:line="276" w:lineRule="auto"/>
        <w:jc w:val="both"/>
      </w:pPr>
    </w:p>
    <w:p w:rsidR="00BF05EE" w:rsidRPr="00336D53" w:rsidRDefault="00BF05EE" w:rsidP="00BF05EE">
      <w:pPr>
        <w:spacing w:line="276" w:lineRule="auto"/>
        <w:jc w:val="both"/>
        <w:rPr>
          <w:b/>
        </w:rPr>
      </w:pPr>
      <w:r>
        <w:rPr>
          <w:b/>
        </w:rPr>
        <w:t>Dwie godziny dla siebie</w:t>
      </w:r>
    </w:p>
    <w:p w:rsidR="003F0F48" w:rsidRDefault="003F0F48" w:rsidP="003F0F48">
      <w:pPr>
        <w:spacing w:line="276" w:lineRule="auto"/>
        <w:jc w:val="both"/>
      </w:pPr>
    </w:p>
    <w:p w:rsidR="003F0F48" w:rsidRDefault="003F0F48" w:rsidP="003F0F48">
      <w:pPr>
        <w:spacing w:line="276" w:lineRule="auto"/>
        <w:jc w:val="both"/>
      </w:pPr>
      <w:r w:rsidRPr="003F0F48">
        <w:t xml:space="preserve">Badania przeprowadzone dla </w:t>
      </w:r>
      <w:proofErr w:type="spellStart"/>
      <w:r w:rsidRPr="003F0F48">
        <w:t>Providenta</w:t>
      </w:r>
      <w:proofErr w:type="spellEnd"/>
      <w:r w:rsidRPr="003F0F48">
        <w:t xml:space="preserve"> pokazują, że raczej jesteśmy zadowoleni z ilości czasu dla siebie i dla rodziny – deklaruje tak 75 proc. respondentów. </w:t>
      </w:r>
      <w:r w:rsidR="0058203C">
        <w:t xml:space="preserve">Uwspólniając wyniki, możemy powiedzieć, że </w:t>
      </w:r>
      <w:r w:rsidRPr="003F0F48">
        <w:t>dla rodziny jesteśmy w stanie wygospodarować prawie 4 godziny w dzień powszedni, zaś tylko dla siebie – ponad 2,5 godziny. To średnia. Zawyżają ją osoby starsze, które mogą poświęcić rodzinie niemal 6 godzin w dzień powszedni i ponad 4 godziny tylko dla siebie oraz  osoby bardzo młode, bez obowiązków rodzinnych czy opiekuńczych, które na swoje przyjemności i rozrywki przeznaczają ponad 3,5 godziny dziennie.</w:t>
      </w:r>
    </w:p>
    <w:p w:rsidR="003F3882" w:rsidRDefault="003F3882" w:rsidP="00BF05EE">
      <w:pPr>
        <w:spacing w:line="276" w:lineRule="auto"/>
        <w:jc w:val="both"/>
        <w:rPr>
          <w:i/>
        </w:rPr>
      </w:pPr>
    </w:p>
    <w:p w:rsidR="00BF05EE" w:rsidRDefault="00BF05EE" w:rsidP="00BF05EE">
      <w:pPr>
        <w:spacing w:line="276" w:lineRule="auto"/>
        <w:jc w:val="both"/>
      </w:pPr>
      <w:r>
        <w:t xml:space="preserve">– </w:t>
      </w:r>
      <w:r w:rsidRPr="00C156A3">
        <w:rPr>
          <w:i/>
        </w:rPr>
        <w:t xml:space="preserve">Niestety aż 35 proc. Polaków ma w tygodniu dla siebie miej niż godzinę dziennie, a kolejne 26 proc. między 1 a 2 godziny. </w:t>
      </w:r>
      <w:r>
        <w:rPr>
          <w:i/>
        </w:rPr>
        <w:t xml:space="preserve">W tej sytuacji na pewno ważna staje się umiejętność efektywnego wykorzystania tego czasu. Sprzyja temu coraz lepsza sytuacja finansowa Polaków, która daje im coraz większe możliwości </w:t>
      </w:r>
      <w:r>
        <w:t>– mówi Anna Karasińska.</w:t>
      </w:r>
    </w:p>
    <w:p w:rsidR="003F3882" w:rsidRPr="00DB44BA" w:rsidRDefault="003F3882" w:rsidP="00BF05EE">
      <w:pPr>
        <w:spacing w:line="276" w:lineRule="auto"/>
        <w:jc w:val="both"/>
        <w:rPr>
          <w:i/>
        </w:rPr>
      </w:pPr>
    </w:p>
    <w:p w:rsidR="00BF05EE" w:rsidRDefault="00BF05EE" w:rsidP="00BF05EE">
      <w:pPr>
        <w:spacing w:line="276" w:lineRule="auto"/>
        <w:jc w:val="both"/>
      </w:pPr>
      <w:r>
        <w:t>Na przestrzeni ostatnich 20 lat sytuacja finansowa Polaków wyraźnie się poprawiła. To spowodowało, że coraz więcej z nas korzysta z różnego rodzaju rozrywek. Jak wynika z badań CBOS, już dwie trzecie Polaków odwiedza od czasu do czasu restauracje wraz z rodziną, niemal połowa chodzi do kina, 55% pozwala sobie czasem na kupno czegoś atrakcyjnego, nieplanowanego, zaś ponad 70 proc. urządza przyjęcia w domu dla znajomych. Dwie dekady temu w każdej z tych kategorii wskazań było zdecydowanie mniej – w 1997 roku do restauracji chodziło 27 proc. Polaków, niemal tyle samo odwiedzało kino, na kupno czegoś atrakcyjnego, nieplanowanego pozwalało sobie 34 proc. z nas, zaś przyjęcia dla znajomych urządzało 62 proc.</w:t>
      </w:r>
    </w:p>
    <w:p w:rsidR="008061E7" w:rsidRDefault="008061E7" w:rsidP="00A16AA8">
      <w:pPr>
        <w:spacing w:line="276" w:lineRule="auto"/>
        <w:jc w:val="both"/>
      </w:pPr>
    </w:p>
    <w:p w:rsidR="004E6188" w:rsidRDefault="004E6188" w:rsidP="00A16AA8">
      <w:pPr>
        <w:spacing w:before="100" w:beforeAutospacing="1" w:after="180" w:line="276" w:lineRule="auto"/>
        <w:contextualSpacing/>
        <w:jc w:val="both"/>
        <w:rPr>
          <w:rFonts w:eastAsia="Times New Roman" w:cs="Arial"/>
          <w:b/>
          <w:bCs/>
          <w:color w:val="262626" w:themeColor="text1" w:themeTint="D9"/>
          <w:lang w:eastAsia="pl-PL"/>
        </w:rPr>
      </w:pPr>
      <w:r>
        <w:rPr>
          <w:rFonts w:eastAsia="Times New Roman" w:cs="Arial"/>
          <w:b/>
          <w:bCs/>
          <w:color w:val="262626" w:themeColor="text1" w:themeTint="D9"/>
          <w:lang w:eastAsia="pl-PL"/>
        </w:rPr>
        <w:t>O badaniu „Finanse Polaków”</w:t>
      </w:r>
    </w:p>
    <w:p w:rsidR="004E6188" w:rsidRDefault="004E6188" w:rsidP="00A16AA8">
      <w:pPr>
        <w:spacing w:before="100" w:beforeAutospacing="1" w:after="180" w:line="276" w:lineRule="auto"/>
        <w:contextualSpacing/>
        <w:jc w:val="both"/>
        <w:rPr>
          <w:rFonts w:eastAsia="Times New Roman" w:cs="Arial"/>
          <w:b/>
          <w:bCs/>
          <w:color w:val="262626" w:themeColor="text1" w:themeTint="D9"/>
          <w:lang w:eastAsia="pl-PL"/>
        </w:rPr>
      </w:pPr>
    </w:p>
    <w:p w:rsidR="004E6188" w:rsidRDefault="004E6188" w:rsidP="00A16AA8">
      <w:pPr>
        <w:spacing w:before="100" w:beforeAutospacing="1" w:after="180" w:line="276" w:lineRule="auto"/>
        <w:contextualSpacing/>
        <w:jc w:val="both"/>
        <w:rPr>
          <w:rFonts w:eastAsia="Times New Roman" w:cs="Arial"/>
          <w:bCs/>
          <w:color w:val="262626" w:themeColor="text1" w:themeTint="D9"/>
          <w:lang w:eastAsia="pl-PL"/>
        </w:rPr>
      </w:pPr>
      <w:r>
        <w:rPr>
          <w:rFonts w:eastAsia="Times New Roman" w:cs="Arial"/>
          <w:bCs/>
          <w:color w:val="262626" w:themeColor="text1" w:themeTint="D9"/>
          <w:lang w:eastAsia="pl-PL"/>
        </w:rPr>
        <w:t xml:space="preserve">Badanie </w:t>
      </w:r>
      <w:r w:rsidRPr="00862D11">
        <w:rPr>
          <w:rFonts w:eastAsia="Times New Roman" w:cs="Arial"/>
          <w:bCs/>
          <w:color w:val="262626" w:themeColor="text1" w:themeTint="D9"/>
          <w:lang w:eastAsia="pl-PL"/>
        </w:rPr>
        <w:t>„</w:t>
      </w:r>
      <w:r>
        <w:rPr>
          <w:rFonts w:eastAsia="Times New Roman" w:cs="Arial"/>
          <w:bCs/>
          <w:color w:val="262626" w:themeColor="text1" w:themeTint="D9"/>
          <w:lang w:eastAsia="pl-PL"/>
        </w:rPr>
        <w:t>Finanse Polaków</w:t>
      </w:r>
      <w:r w:rsidRPr="00862D11">
        <w:rPr>
          <w:rFonts w:eastAsia="Times New Roman" w:cs="Arial"/>
          <w:bCs/>
          <w:color w:val="262626" w:themeColor="text1" w:themeTint="D9"/>
          <w:lang w:eastAsia="pl-PL"/>
        </w:rPr>
        <w:t>”</w:t>
      </w:r>
      <w:r>
        <w:rPr>
          <w:rFonts w:eastAsia="Times New Roman" w:cs="Arial"/>
          <w:bCs/>
          <w:color w:val="262626" w:themeColor="text1" w:themeTint="D9"/>
          <w:lang w:eastAsia="pl-PL"/>
        </w:rPr>
        <w:t xml:space="preserve"> powstało z okazji 20-lecia działalności firmy Provident Polska. </w:t>
      </w:r>
      <w:r>
        <w:t xml:space="preserve">Ma ono na celu pokazanie, jak zmieniła się sytuacja finansowa Polaków oraz ich zwyczaje konsumenckie na przestrzeni ostatnich lat oraz jakie są ich oczekiwania na przyszłość. </w:t>
      </w:r>
      <w:r w:rsidRPr="00862D11">
        <w:rPr>
          <w:rFonts w:eastAsia="Times New Roman" w:cs="Arial"/>
          <w:bCs/>
          <w:color w:val="262626" w:themeColor="text1" w:themeTint="D9"/>
          <w:lang w:eastAsia="pl-PL"/>
        </w:rPr>
        <w:t xml:space="preserve">Badanie zrealizował PBS w dniach </w:t>
      </w:r>
      <w:r w:rsidR="00A16AA8">
        <w:rPr>
          <w:rFonts w:eastAsia="Times New Roman" w:cs="Arial"/>
          <w:bCs/>
          <w:color w:val="262626" w:themeColor="text1" w:themeTint="D9"/>
          <w:lang w:eastAsia="pl-PL"/>
        </w:rPr>
        <w:t>12-14</w:t>
      </w:r>
      <w:r w:rsidRPr="00862D11">
        <w:rPr>
          <w:rFonts w:eastAsia="Times New Roman" w:cs="Arial"/>
          <w:bCs/>
          <w:color w:val="262626" w:themeColor="text1" w:themeTint="D9"/>
          <w:lang w:eastAsia="pl-PL"/>
        </w:rPr>
        <w:t>.</w:t>
      </w:r>
      <w:r>
        <w:rPr>
          <w:rFonts w:eastAsia="Times New Roman" w:cs="Arial"/>
          <w:bCs/>
          <w:color w:val="262626" w:themeColor="text1" w:themeTint="D9"/>
          <w:lang w:eastAsia="pl-PL"/>
        </w:rPr>
        <w:t>05.</w:t>
      </w:r>
      <w:r w:rsidRPr="00862D11">
        <w:rPr>
          <w:rFonts w:eastAsia="Times New Roman" w:cs="Arial"/>
          <w:bCs/>
          <w:color w:val="262626" w:themeColor="text1" w:themeTint="D9"/>
          <w:lang w:eastAsia="pl-PL"/>
        </w:rPr>
        <w:t>2017 r. na ogólnopolskiej próbie n=1000 Polaków w wieku 15+.</w:t>
      </w:r>
    </w:p>
    <w:p w:rsidR="004E6188" w:rsidRDefault="004E6188" w:rsidP="004E6188">
      <w:pPr>
        <w:jc w:val="both"/>
      </w:pPr>
    </w:p>
    <w:p w:rsidR="00230AC6" w:rsidRPr="00C53C4A" w:rsidRDefault="00230AC6" w:rsidP="00370CEB">
      <w:pPr>
        <w:spacing w:before="100" w:beforeAutospacing="1" w:after="180" w:line="276" w:lineRule="auto"/>
        <w:contextualSpacing/>
        <w:jc w:val="both"/>
        <w:rPr>
          <w:rFonts w:eastAsia="Times New Roman" w:cs="Arial"/>
          <w:bCs/>
          <w:color w:val="262626" w:themeColor="text1" w:themeTint="D9"/>
          <w:lang w:eastAsia="pl-PL"/>
        </w:rPr>
      </w:pPr>
    </w:p>
    <w:p w:rsidR="00D41FAD" w:rsidRPr="008721FA" w:rsidRDefault="00F37889" w:rsidP="00370CEB">
      <w:pPr>
        <w:spacing w:before="100" w:beforeAutospacing="1" w:after="180" w:line="276" w:lineRule="auto"/>
        <w:contextualSpacing/>
        <w:jc w:val="both"/>
        <w:rPr>
          <w:iCs/>
          <w:sz w:val="22"/>
          <w:szCs w:val="22"/>
        </w:rPr>
      </w:pPr>
      <w:r w:rsidRPr="00315D1E">
        <w:rPr>
          <w:b/>
          <w:iCs/>
          <w:sz w:val="22"/>
          <w:szCs w:val="22"/>
        </w:rPr>
        <w:t>Podstawowe informacje o Provident Polska S.A.</w:t>
      </w:r>
    </w:p>
    <w:p w:rsidR="00D41FAD" w:rsidRDefault="00D41FAD" w:rsidP="00B96964">
      <w:pPr>
        <w:spacing w:line="276" w:lineRule="auto"/>
        <w:jc w:val="both"/>
        <w:rPr>
          <w:b/>
          <w:iCs/>
          <w:sz w:val="22"/>
          <w:szCs w:val="22"/>
        </w:rPr>
      </w:pPr>
    </w:p>
    <w:p w:rsidR="00D41FAD" w:rsidRDefault="00F37889" w:rsidP="00B96964">
      <w:pPr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lastRenderedPageBreak/>
        <w:t>Provident Polska S.A jest częścią grupy finansowej International Personal Finance (IPF). Firma jest notowana na Londyńskiej Giełdzie Papierów Wartościowych, a także – w ramach notowań równoległych – na Giełdzie Papierów Wartościow</w:t>
      </w:r>
      <w:r w:rsidR="00CC42B4">
        <w:rPr>
          <w:iCs/>
          <w:sz w:val="22"/>
          <w:szCs w:val="22"/>
        </w:rPr>
        <w:t>ych w Warszawie. IPF działa w 11</w:t>
      </w:r>
      <w:r>
        <w:rPr>
          <w:iCs/>
          <w:sz w:val="22"/>
          <w:szCs w:val="22"/>
        </w:rPr>
        <w:t xml:space="preserve"> krajach na całym świecie i planuje rozwój na kolejnych rynkach. W Polsce Provident działa od 1997 roku i jest największą firmą na rynku </w:t>
      </w:r>
      <w:proofErr w:type="spellStart"/>
      <w:r>
        <w:rPr>
          <w:iCs/>
          <w:sz w:val="22"/>
          <w:szCs w:val="22"/>
        </w:rPr>
        <w:t>pozabankowych</w:t>
      </w:r>
      <w:proofErr w:type="spellEnd"/>
      <w:r>
        <w:rPr>
          <w:iCs/>
          <w:sz w:val="22"/>
          <w:szCs w:val="22"/>
        </w:rPr>
        <w:t xml:space="preserve"> pożyczek gotówkowych. Prezesem Zarządu jest David Parkinson.</w:t>
      </w:r>
    </w:p>
    <w:p w:rsidR="00D41FAD" w:rsidRDefault="00D41FAD" w:rsidP="00B96964">
      <w:pPr>
        <w:spacing w:line="276" w:lineRule="auto"/>
        <w:jc w:val="both"/>
        <w:rPr>
          <w:iCs/>
          <w:sz w:val="22"/>
          <w:szCs w:val="22"/>
        </w:rPr>
      </w:pPr>
    </w:p>
    <w:p w:rsidR="00D41FAD" w:rsidRDefault="00F37889" w:rsidP="00B96964">
      <w:pPr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Provident Polska jest firmą </w:t>
      </w:r>
      <w:proofErr w:type="spellStart"/>
      <w:r>
        <w:rPr>
          <w:iCs/>
          <w:sz w:val="22"/>
          <w:szCs w:val="22"/>
        </w:rPr>
        <w:t>multikanałową</w:t>
      </w:r>
      <w:proofErr w:type="spellEnd"/>
      <w:r>
        <w:rPr>
          <w:iCs/>
          <w:sz w:val="22"/>
          <w:szCs w:val="22"/>
        </w:rPr>
        <w:t xml:space="preserve"> i </w:t>
      </w:r>
      <w:proofErr w:type="spellStart"/>
      <w:r>
        <w:rPr>
          <w:iCs/>
          <w:sz w:val="22"/>
          <w:szCs w:val="22"/>
        </w:rPr>
        <w:t>multiproduktową</w:t>
      </w:r>
      <w:proofErr w:type="spellEnd"/>
      <w:r>
        <w:rPr>
          <w:iCs/>
          <w:sz w:val="22"/>
          <w:szCs w:val="22"/>
        </w:rPr>
        <w:t xml:space="preserve"> - dociera do wszystkich grup klientów, </w:t>
      </w:r>
      <w:r w:rsidR="00E83E49">
        <w:rPr>
          <w:iCs/>
          <w:sz w:val="22"/>
          <w:szCs w:val="22"/>
        </w:rPr>
        <w:br/>
      </w:r>
      <w:r>
        <w:rPr>
          <w:iCs/>
          <w:sz w:val="22"/>
          <w:szCs w:val="22"/>
        </w:rPr>
        <w:t>i oferuje szereg produktów: Pożyczkę konsumencką (w różnych wariantach: pożyczkę online, z obsługą domową lub samodzielną spłatą), pożyczkę konsolidacyjną i pożyczkę dla firm.</w:t>
      </w:r>
    </w:p>
    <w:p w:rsidR="00D41FAD" w:rsidRDefault="00D41FAD" w:rsidP="00B96964">
      <w:pPr>
        <w:spacing w:line="276" w:lineRule="auto"/>
        <w:jc w:val="both"/>
        <w:rPr>
          <w:iCs/>
          <w:sz w:val="22"/>
          <w:szCs w:val="22"/>
        </w:rPr>
      </w:pPr>
    </w:p>
    <w:p w:rsidR="00D41FAD" w:rsidRDefault="00F37889" w:rsidP="00B96964">
      <w:pPr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Jednym z filarów strategii biznesowej </w:t>
      </w:r>
      <w:proofErr w:type="spellStart"/>
      <w:r>
        <w:rPr>
          <w:iCs/>
          <w:sz w:val="22"/>
          <w:szCs w:val="22"/>
        </w:rPr>
        <w:t>Providenta</w:t>
      </w:r>
      <w:proofErr w:type="spellEnd"/>
      <w:r>
        <w:rPr>
          <w:iCs/>
          <w:sz w:val="22"/>
          <w:szCs w:val="22"/>
        </w:rPr>
        <w:t xml:space="preserve"> jest </w:t>
      </w:r>
      <w:proofErr w:type="spellStart"/>
      <w:r>
        <w:rPr>
          <w:iCs/>
          <w:sz w:val="22"/>
          <w:szCs w:val="22"/>
        </w:rPr>
        <w:t>responsible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lending</w:t>
      </w:r>
      <w:proofErr w:type="spellEnd"/>
      <w:r>
        <w:rPr>
          <w:iCs/>
          <w:sz w:val="22"/>
          <w:szCs w:val="22"/>
        </w:rPr>
        <w:t xml:space="preserve">, czyli odpowiedzialne pożyczanie. </w:t>
      </w:r>
    </w:p>
    <w:p w:rsidR="00D41FAD" w:rsidRPr="00ED5BFE" w:rsidRDefault="00F37889" w:rsidP="00B96964">
      <w:pPr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 2014 roku Provident zaprezentował pierwszy raport społeczny na rynku pożyczkowym, w którym podsumowane zostały działania firmy w latach 2012-2013 oraz przedstawił strategię działań na kolejne lata. W 2015 i 2016 roku Provident otrzymał nagrodę Etyczna Firma przyznawaną przez dziennik </w:t>
      </w:r>
      <w:r w:rsidR="009A3FEA">
        <w:rPr>
          <w:iCs/>
          <w:sz w:val="22"/>
          <w:szCs w:val="22"/>
        </w:rPr>
        <w:t>„</w:t>
      </w:r>
      <w:r>
        <w:rPr>
          <w:iCs/>
          <w:sz w:val="22"/>
          <w:szCs w:val="22"/>
        </w:rPr>
        <w:t>Puls Biznesu</w:t>
      </w:r>
      <w:r w:rsidR="009A3FEA">
        <w:rPr>
          <w:iCs/>
          <w:sz w:val="22"/>
          <w:szCs w:val="22"/>
        </w:rPr>
        <w:t>”</w:t>
      </w:r>
      <w:r>
        <w:rPr>
          <w:iCs/>
          <w:sz w:val="22"/>
          <w:szCs w:val="22"/>
        </w:rPr>
        <w:t>. W 2015 roku Provident</w:t>
      </w:r>
      <w:r w:rsidR="0013382D">
        <w:rPr>
          <w:iCs/>
          <w:sz w:val="22"/>
          <w:szCs w:val="22"/>
        </w:rPr>
        <w:t>,</w:t>
      </w:r>
      <w:r>
        <w:rPr>
          <w:iCs/>
          <w:sz w:val="22"/>
          <w:szCs w:val="22"/>
        </w:rPr>
        <w:t xml:space="preserve"> będąc jednym z największych reklamodawców sektora finansowego, został sygnatariuszem Rady Reklamy.</w:t>
      </w:r>
      <w:r w:rsidR="007A34DC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Firma </w:t>
      </w:r>
      <w:r w:rsidR="0013382D">
        <w:rPr>
          <w:iCs/>
          <w:sz w:val="22"/>
          <w:szCs w:val="22"/>
        </w:rPr>
        <w:t xml:space="preserve">pięciokrotnie została wyróżniona certyfikatem </w:t>
      </w:r>
      <w:r>
        <w:rPr>
          <w:iCs/>
          <w:sz w:val="22"/>
          <w:szCs w:val="22"/>
        </w:rPr>
        <w:t xml:space="preserve">Top </w:t>
      </w:r>
      <w:proofErr w:type="spellStart"/>
      <w:r>
        <w:rPr>
          <w:iCs/>
          <w:sz w:val="22"/>
          <w:szCs w:val="22"/>
        </w:rPr>
        <w:t>Employer</w:t>
      </w:r>
      <w:proofErr w:type="spellEnd"/>
      <w:r>
        <w:rPr>
          <w:iCs/>
          <w:sz w:val="22"/>
          <w:szCs w:val="22"/>
        </w:rPr>
        <w:t xml:space="preserve"> (2013, 2014, 2015, 2016</w:t>
      </w:r>
      <w:r w:rsidR="0013382D">
        <w:rPr>
          <w:iCs/>
          <w:sz w:val="22"/>
          <w:szCs w:val="22"/>
        </w:rPr>
        <w:t>, 2017</w:t>
      </w:r>
      <w:r>
        <w:rPr>
          <w:iCs/>
          <w:sz w:val="22"/>
          <w:szCs w:val="22"/>
        </w:rPr>
        <w:t>).</w:t>
      </w:r>
    </w:p>
    <w:sectPr w:rsidR="00D41FAD" w:rsidRPr="00ED5BFE">
      <w:headerReference w:type="default" r:id="rId9"/>
      <w:footerReference w:type="default" r:id="rId10"/>
      <w:pgSz w:w="11906" w:h="16838"/>
      <w:pgMar w:top="2797" w:right="1134" w:bottom="2521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2C7" w:rsidRDefault="00B002C7">
      <w:r>
        <w:separator/>
      </w:r>
    </w:p>
  </w:endnote>
  <w:endnote w:type="continuationSeparator" w:id="0">
    <w:p w:rsidR="00B002C7" w:rsidRDefault="00B0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FAD" w:rsidRDefault="00F37889">
    <w:pPr>
      <w:pStyle w:val="Stopka"/>
    </w:pPr>
    <w:r>
      <w:rPr>
        <w:noProof/>
        <w:lang w:eastAsia="pl-PL" w:bidi="ar-SA"/>
      </w:rPr>
      <w:drawing>
        <wp:anchor distT="0" distB="0" distL="0" distR="0" simplePos="0" relativeHeight="251657728" behindDoc="0" locked="0" layoutInCell="1" allowOverlap="1" wp14:anchorId="35100ED7" wp14:editId="44162B64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118225" cy="67310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673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1FAD" w:rsidRDefault="00D41FAD">
    <w:pPr>
      <w:pStyle w:val="Stopka"/>
    </w:pPr>
  </w:p>
  <w:p w:rsidR="00D41FAD" w:rsidRDefault="00D41FAD">
    <w:pPr>
      <w:pStyle w:val="Stopka"/>
    </w:pPr>
  </w:p>
  <w:p w:rsidR="00D41FAD" w:rsidRDefault="00D41F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2C7" w:rsidRDefault="00B002C7">
      <w:r>
        <w:separator/>
      </w:r>
    </w:p>
  </w:footnote>
  <w:footnote w:type="continuationSeparator" w:id="0">
    <w:p w:rsidR="00B002C7" w:rsidRDefault="00B00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FAD" w:rsidRPr="00B62ACC" w:rsidRDefault="00F521A0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752" behindDoc="1" locked="0" layoutInCell="1" allowOverlap="1" wp14:anchorId="084DA860" wp14:editId="26412459">
          <wp:simplePos x="0" y="0"/>
          <wp:positionH relativeFrom="column">
            <wp:posOffset>-635</wp:posOffset>
          </wp:positionH>
          <wp:positionV relativeFrom="paragraph">
            <wp:posOffset>64135</wp:posOffset>
          </wp:positionV>
          <wp:extent cx="1223010" cy="675005"/>
          <wp:effectExtent l="0" t="0" r="0" b="0"/>
          <wp:wrapThrough wrapText="bothSides">
            <wp:wrapPolygon edited="0">
              <wp:start x="0" y="0"/>
              <wp:lineTo x="0" y="20726"/>
              <wp:lineTo x="21196" y="20726"/>
              <wp:lineTo x="21196" y="0"/>
              <wp:lineTo x="0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vident_20-lat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010" cy="675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776" behindDoc="1" locked="0" layoutInCell="1" allowOverlap="1" wp14:anchorId="2C1C2A06" wp14:editId="4F84EACA">
          <wp:simplePos x="0" y="0"/>
          <wp:positionH relativeFrom="column">
            <wp:posOffset>3903345</wp:posOffset>
          </wp:positionH>
          <wp:positionV relativeFrom="paragraph">
            <wp:posOffset>41910</wp:posOffset>
          </wp:positionV>
          <wp:extent cx="1224280" cy="692785"/>
          <wp:effectExtent l="0" t="0" r="0" b="0"/>
          <wp:wrapThrough wrapText="bothSides">
            <wp:wrapPolygon edited="0">
              <wp:start x="0" y="0"/>
              <wp:lineTo x="0" y="20788"/>
              <wp:lineTo x="21174" y="20788"/>
              <wp:lineTo x="21174" y="0"/>
              <wp:lineTo x="0" y="0"/>
            </wp:wrapPolygon>
          </wp:wrapThrough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vident_colour_logo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280" cy="692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0800" behindDoc="1" locked="0" layoutInCell="1" allowOverlap="1" wp14:anchorId="39303394" wp14:editId="093799B3">
          <wp:simplePos x="0" y="0"/>
          <wp:positionH relativeFrom="column">
            <wp:posOffset>5128260</wp:posOffset>
          </wp:positionH>
          <wp:positionV relativeFrom="paragraph">
            <wp:posOffset>-15240</wp:posOffset>
          </wp:positionV>
          <wp:extent cx="1085850" cy="866775"/>
          <wp:effectExtent l="0" t="0" r="0" b="9525"/>
          <wp:wrapThrough wrapText="bothSides">
            <wp:wrapPolygon edited="0">
              <wp:start x="0" y="0"/>
              <wp:lineTo x="0" y="21363"/>
              <wp:lineTo x="21221" y="21363"/>
              <wp:lineTo x="21221" y="0"/>
              <wp:lineTo x="0" y="0"/>
            </wp:wrapPolygon>
          </wp:wrapThrough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pw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2ACC">
      <w:rPr>
        <w:noProof/>
        <w:lang w:eastAsia="pl-PL" w:bidi="ar-SA"/>
      </w:rPr>
      <w:t>`</w:t>
    </w:r>
  </w:p>
  <w:p w:rsidR="00D41FAD" w:rsidRDefault="00D41FAD">
    <w:pPr>
      <w:pStyle w:val="Nagwek"/>
    </w:pPr>
  </w:p>
  <w:p w:rsidR="00D41FAD" w:rsidRDefault="00D41FAD">
    <w:pPr>
      <w:pStyle w:val="Nagwek"/>
    </w:pPr>
  </w:p>
  <w:p w:rsidR="00D41FAD" w:rsidRDefault="00B62ACC" w:rsidP="00B62ACC">
    <w:pPr>
      <w:pStyle w:val="Nagwek"/>
      <w:tabs>
        <w:tab w:val="clear" w:pos="4819"/>
        <w:tab w:val="clear" w:pos="9638"/>
        <w:tab w:val="left" w:pos="39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5AAB"/>
    <w:multiLevelType w:val="hybridMultilevel"/>
    <w:tmpl w:val="715E96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70B1D"/>
    <w:multiLevelType w:val="hybridMultilevel"/>
    <w:tmpl w:val="333268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710C5"/>
    <w:multiLevelType w:val="hybridMultilevel"/>
    <w:tmpl w:val="251E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B68E7"/>
    <w:multiLevelType w:val="hybridMultilevel"/>
    <w:tmpl w:val="3306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6112E"/>
    <w:multiLevelType w:val="hybridMultilevel"/>
    <w:tmpl w:val="7B90D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jciech Nadejczyk">
    <w15:presenceInfo w15:providerId="Windows Live" w15:userId="263d1aea9709bf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AD"/>
    <w:rsid w:val="00001CD0"/>
    <w:rsid w:val="00004DFE"/>
    <w:rsid w:val="0001691E"/>
    <w:rsid w:val="000211DA"/>
    <w:rsid w:val="00026370"/>
    <w:rsid w:val="000363AB"/>
    <w:rsid w:val="000536BF"/>
    <w:rsid w:val="000622DF"/>
    <w:rsid w:val="00063B4F"/>
    <w:rsid w:val="00064B0B"/>
    <w:rsid w:val="00066AA3"/>
    <w:rsid w:val="00071C80"/>
    <w:rsid w:val="00083C85"/>
    <w:rsid w:val="000A2F6F"/>
    <w:rsid w:val="000A66A3"/>
    <w:rsid w:val="000B2046"/>
    <w:rsid w:val="000C2264"/>
    <w:rsid w:val="000C449A"/>
    <w:rsid w:val="000C4BB7"/>
    <w:rsid w:val="000C7557"/>
    <w:rsid w:val="000D3911"/>
    <w:rsid w:val="000E7574"/>
    <w:rsid w:val="000F38D1"/>
    <w:rsid w:val="000F4A94"/>
    <w:rsid w:val="000F4D2A"/>
    <w:rsid w:val="00103189"/>
    <w:rsid w:val="001054FB"/>
    <w:rsid w:val="00105E87"/>
    <w:rsid w:val="00113583"/>
    <w:rsid w:val="001234FE"/>
    <w:rsid w:val="00132204"/>
    <w:rsid w:val="00133220"/>
    <w:rsid w:val="0013382D"/>
    <w:rsid w:val="00145FCE"/>
    <w:rsid w:val="00160319"/>
    <w:rsid w:val="0016188B"/>
    <w:rsid w:val="00163BB8"/>
    <w:rsid w:val="001676E1"/>
    <w:rsid w:val="0017468B"/>
    <w:rsid w:val="00191266"/>
    <w:rsid w:val="001915A3"/>
    <w:rsid w:val="00196E4D"/>
    <w:rsid w:val="00197DB8"/>
    <w:rsid w:val="001A1EC2"/>
    <w:rsid w:val="001A3107"/>
    <w:rsid w:val="001A45B5"/>
    <w:rsid w:val="001A67A1"/>
    <w:rsid w:val="001B1C31"/>
    <w:rsid w:val="001B2FAE"/>
    <w:rsid w:val="001B41EC"/>
    <w:rsid w:val="001C117A"/>
    <w:rsid w:val="001C61CF"/>
    <w:rsid w:val="001C63B4"/>
    <w:rsid w:val="001C76B1"/>
    <w:rsid w:val="001C7FF2"/>
    <w:rsid w:val="001D44B8"/>
    <w:rsid w:val="001D7A57"/>
    <w:rsid w:val="001E6A63"/>
    <w:rsid w:val="0020013D"/>
    <w:rsid w:val="00200C1A"/>
    <w:rsid w:val="00206BBA"/>
    <w:rsid w:val="00207A48"/>
    <w:rsid w:val="00207E8B"/>
    <w:rsid w:val="00210449"/>
    <w:rsid w:val="00213E0F"/>
    <w:rsid w:val="00216A60"/>
    <w:rsid w:val="00230AC6"/>
    <w:rsid w:val="00232D58"/>
    <w:rsid w:val="00253026"/>
    <w:rsid w:val="002555E4"/>
    <w:rsid w:val="002558AF"/>
    <w:rsid w:val="002626E0"/>
    <w:rsid w:val="00264749"/>
    <w:rsid w:val="00266F22"/>
    <w:rsid w:val="00271DA7"/>
    <w:rsid w:val="00275B5F"/>
    <w:rsid w:val="00281CB1"/>
    <w:rsid w:val="0028312B"/>
    <w:rsid w:val="00285BDE"/>
    <w:rsid w:val="002908A4"/>
    <w:rsid w:val="002A49E2"/>
    <w:rsid w:val="002A5550"/>
    <w:rsid w:val="002E5278"/>
    <w:rsid w:val="002F311C"/>
    <w:rsid w:val="002F5971"/>
    <w:rsid w:val="00301369"/>
    <w:rsid w:val="00304181"/>
    <w:rsid w:val="00305847"/>
    <w:rsid w:val="00315D1E"/>
    <w:rsid w:val="00317720"/>
    <w:rsid w:val="003236F0"/>
    <w:rsid w:val="0032526E"/>
    <w:rsid w:val="00334BFF"/>
    <w:rsid w:val="00340741"/>
    <w:rsid w:val="00342C45"/>
    <w:rsid w:val="00347276"/>
    <w:rsid w:val="00362316"/>
    <w:rsid w:val="003627C8"/>
    <w:rsid w:val="00370CEB"/>
    <w:rsid w:val="00372966"/>
    <w:rsid w:val="00377F6A"/>
    <w:rsid w:val="0038520D"/>
    <w:rsid w:val="00394502"/>
    <w:rsid w:val="003A46F4"/>
    <w:rsid w:val="003C13EC"/>
    <w:rsid w:val="003C1DE8"/>
    <w:rsid w:val="003C2F58"/>
    <w:rsid w:val="003C420E"/>
    <w:rsid w:val="003D2B2C"/>
    <w:rsid w:val="003D6A98"/>
    <w:rsid w:val="003E23D1"/>
    <w:rsid w:val="003E4382"/>
    <w:rsid w:val="003F0F48"/>
    <w:rsid w:val="003F3882"/>
    <w:rsid w:val="003F4BC5"/>
    <w:rsid w:val="00402BC7"/>
    <w:rsid w:val="00405ED1"/>
    <w:rsid w:val="00412D9F"/>
    <w:rsid w:val="00420EBC"/>
    <w:rsid w:val="0042643C"/>
    <w:rsid w:val="00427C72"/>
    <w:rsid w:val="00435A6F"/>
    <w:rsid w:val="00445D4F"/>
    <w:rsid w:val="00447C34"/>
    <w:rsid w:val="004573BA"/>
    <w:rsid w:val="0046652D"/>
    <w:rsid w:val="00475BEF"/>
    <w:rsid w:val="00485FB5"/>
    <w:rsid w:val="00491E9C"/>
    <w:rsid w:val="0049480F"/>
    <w:rsid w:val="004A1DD4"/>
    <w:rsid w:val="004A6B1D"/>
    <w:rsid w:val="004C7B06"/>
    <w:rsid w:val="004D21FD"/>
    <w:rsid w:val="004D3C96"/>
    <w:rsid w:val="004E1BCA"/>
    <w:rsid w:val="004E323E"/>
    <w:rsid w:val="004E6188"/>
    <w:rsid w:val="004E6F68"/>
    <w:rsid w:val="004F1AD6"/>
    <w:rsid w:val="004F72DC"/>
    <w:rsid w:val="00500701"/>
    <w:rsid w:val="00500B72"/>
    <w:rsid w:val="00501AAE"/>
    <w:rsid w:val="00515290"/>
    <w:rsid w:val="00526676"/>
    <w:rsid w:val="00527A42"/>
    <w:rsid w:val="0054348E"/>
    <w:rsid w:val="005434F8"/>
    <w:rsid w:val="005436D5"/>
    <w:rsid w:val="005477A8"/>
    <w:rsid w:val="0055014A"/>
    <w:rsid w:val="005556D3"/>
    <w:rsid w:val="00562063"/>
    <w:rsid w:val="00571BF3"/>
    <w:rsid w:val="005812B7"/>
    <w:rsid w:val="0058203C"/>
    <w:rsid w:val="005841AA"/>
    <w:rsid w:val="00584DCB"/>
    <w:rsid w:val="00591B91"/>
    <w:rsid w:val="00595104"/>
    <w:rsid w:val="005B2AA9"/>
    <w:rsid w:val="005C3CCA"/>
    <w:rsid w:val="005C5CC5"/>
    <w:rsid w:val="005D2F31"/>
    <w:rsid w:val="005D3BE4"/>
    <w:rsid w:val="005D635B"/>
    <w:rsid w:val="005D66C4"/>
    <w:rsid w:val="005E2414"/>
    <w:rsid w:val="005F0FF8"/>
    <w:rsid w:val="005F42DC"/>
    <w:rsid w:val="005F4F7E"/>
    <w:rsid w:val="0060244B"/>
    <w:rsid w:val="00605B70"/>
    <w:rsid w:val="00624503"/>
    <w:rsid w:val="006259FA"/>
    <w:rsid w:val="0062677A"/>
    <w:rsid w:val="00627634"/>
    <w:rsid w:val="00642671"/>
    <w:rsid w:val="00643F1D"/>
    <w:rsid w:val="00651EE8"/>
    <w:rsid w:val="006776C4"/>
    <w:rsid w:val="006872FB"/>
    <w:rsid w:val="00692FB1"/>
    <w:rsid w:val="006A187D"/>
    <w:rsid w:val="006A7257"/>
    <w:rsid w:val="006B00E1"/>
    <w:rsid w:val="006B1C1A"/>
    <w:rsid w:val="006B311D"/>
    <w:rsid w:val="006C4686"/>
    <w:rsid w:val="006C5F67"/>
    <w:rsid w:val="006D0410"/>
    <w:rsid w:val="006D0A93"/>
    <w:rsid w:val="006F0D0F"/>
    <w:rsid w:val="006F2982"/>
    <w:rsid w:val="00702F31"/>
    <w:rsid w:val="007059B8"/>
    <w:rsid w:val="00706F53"/>
    <w:rsid w:val="007075DE"/>
    <w:rsid w:val="007229EF"/>
    <w:rsid w:val="00723780"/>
    <w:rsid w:val="00730A6F"/>
    <w:rsid w:val="007362E5"/>
    <w:rsid w:val="00737362"/>
    <w:rsid w:val="0074470D"/>
    <w:rsid w:val="00747953"/>
    <w:rsid w:val="00747F49"/>
    <w:rsid w:val="00766238"/>
    <w:rsid w:val="00767392"/>
    <w:rsid w:val="00770FB9"/>
    <w:rsid w:val="00772B1E"/>
    <w:rsid w:val="00773FEC"/>
    <w:rsid w:val="0077494B"/>
    <w:rsid w:val="007824A0"/>
    <w:rsid w:val="0078569E"/>
    <w:rsid w:val="00787CA6"/>
    <w:rsid w:val="00792AE1"/>
    <w:rsid w:val="007A34DC"/>
    <w:rsid w:val="007C115C"/>
    <w:rsid w:val="007D504D"/>
    <w:rsid w:val="007F3F3D"/>
    <w:rsid w:val="00800AC3"/>
    <w:rsid w:val="0080113A"/>
    <w:rsid w:val="00804EBC"/>
    <w:rsid w:val="008061E7"/>
    <w:rsid w:val="00807472"/>
    <w:rsid w:val="00811F64"/>
    <w:rsid w:val="00813DC7"/>
    <w:rsid w:val="0082083E"/>
    <w:rsid w:val="00824E5C"/>
    <w:rsid w:val="00833957"/>
    <w:rsid w:val="00841D04"/>
    <w:rsid w:val="00846E2A"/>
    <w:rsid w:val="00852AB8"/>
    <w:rsid w:val="0085501D"/>
    <w:rsid w:val="008551FF"/>
    <w:rsid w:val="00856EF0"/>
    <w:rsid w:val="00862D11"/>
    <w:rsid w:val="008721FA"/>
    <w:rsid w:val="008812A7"/>
    <w:rsid w:val="00883BF9"/>
    <w:rsid w:val="00884750"/>
    <w:rsid w:val="00891928"/>
    <w:rsid w:val="0089369C"/>
    <w:rsid w:val="008A1D19"/>
    <w:rsid w:val="008A2E15"/>
    <w:rsid w:val="008A4BF6"/>
    <w:rsid w:val="008A531B"/>
    <w:rsid w:val="008A605A"/>
    <w:rsid w:val="008A68E3"/>
    <w:rsid w:val="008B0FCD"/>
    <w:rsid w:val="008B116C"/>
    <w:rsid w:val="008B28FA"/>
    <w:rsid w:val="008B4EC7"/>
    <w:rsid w:val="008B6909"/>
    <w:rsid w:val="008B7EEB"/>
    <w:rsid w:val="008C1A27"/>
    <w:rsid w:val="008C2B9F"/>
    <w:rsid w:val="008C4841"/>
    <w:rsid w:val="008C5435"/>
    <w:rsid w:val="008D5947"/>
    <w:rsid w:val="008D5D09"/>
    <w:rsid w:val="008D6EC2"/>
    <w:rsid w:val="008D72FF"/>
    <w:rsid w:val="008D7457"/>
    <w:rsid w:val="008E109C"/>
    <w:rsid w:val="008E71A6"/>
    <w:rsid w:val="008F58F5"/>
    <w:rsid w:val="00903D29"/>
    <w:rsid w:val="0092327B"/>
    <w:rsid w:val="00935D16"/>
    <w:rsid w:val="00941509"/>
    <w:rsid w:val="0094205B"/>
    <w:rsid w:val="00944103"/>
    <w:rsid w:val="00944D28"/>
    <w:rsid w:val="00945ED4"/>
    <w:rsid w:val="00951CE6"/>
    <w:rsid w:val="009524B7"/>
    <w:rsid w:val="00953FC5"/>
    <w:rsid w:val="009609C8"/>
    <w:rsid w:val="00961444"/>
    <w:rsid w:val="00966168"/>
    <w:rsid w:val="0097038D"/>
    <w:rsid w:val="009751E2"/>
    <w:rsid w:val="009760DA"/>
    <w:rsid w:val="009832CC"/>
    <w:rsid w:val="0098544E"/>
    <w:rsid w:val="00985C77"/>
    <w:rsid w:val="009879EA"/>
    <w:rsid w:val="009A28B9"/>
    <w:rsid w:val="009A3FEA"/>
    <w:rsid w:val="009B09A7"/>
    <w:rsid w:val="009B2DC9"/>
    <w:rsid w:val="009B3216"/>
    <w:rsid w:val="009D2F11"/>
    <w:rsid w:val="009E084D"/>
    <w:rsid w:val="009E2497"/>
    <w:rsid w:val="009F4696"/>
    <w:rsid w:val="00A0092D"/>
    <w:rsid w:val="00A10738"/>
    <w:rsid w:val="00A16AA8"/>
    <w:rsid w:val="00A16E9F"/>
    <w:rsid w:val="00A252FF"/>
    <w:rsid w:val="00A2772B"/>
    <w:rsid w:val="00A30105"/>
    <w:rsid w:val="00A32327"/>
    <w:rsid w:val="00A40886"/>
    <w:rsid w:val="00A41AFC"/>
    <w:rsid w:val="00A41F79"/>
    <w:rsid w:val="00A43451"/>
    <w:rsid w:val="00A43BEE"/>
    <w:rsid w:val="00A45A7D"/>
    <w:rsid w:val="00A52081"/>
    <w:rsid w:val="00A54AF3"/>
    <w:rsid w:val="00A65D43"/>
    <w:rsid w:val="00A66981"/>
    <w:rsid w:val="00A72F75"/>
    <w:rsid w:val="00A8392E"/>
    <w:rsid w:val="00A84BB7"/>
    <w:rsid w:val="00A84D7B"/>
    <w:rsid w:val="00A85A8E"/>
    <w:rsid w:val="00A95099"/>
    <w:rsid w:val="00AA17CC"/>
    <w:rsid w:val="00AA1B8B"/>
    <w:rsid w:val="00AA284E"/>
    <w:rsid w:val="00AA2901"/>
    <w:rsid w:val="00AA5C0E"/>
    <w:rsid w:val="00AA71C8"/>
    <w:rsid w:val="00AB1FF8"/>
    <w:rsid w:val="00AB4A65"/>
    <w:rsid w:val="00AC0762"/>
    <w:rsid w:val="00AD1675"/>
    <w:rsid w:val="00AD1B17"/>
    <w:rsid w:val="00AD5E3C"/>
    <w:rsid w:val="00AD7CDD"/>
    <w:rsid w:val="00AE0170"/>
    <w:rsid w:val="00AE4A8C"/>
    <w:rsid w:val="00AE758F"/>
    <w:rsid w:val="00AF0C3E"/>
    <w:rsid w:val="00B002C7"/>
    <w:rsid w:val="00B041BE"/>
    <w:rsid w:val="00B103BD"/>
    <w:rsid w:val="00B10978"/>
    <w:rsid w:val="00B11045"/>
    <w:rsid w:val="00B1458F"/>
    <w:rsid w:val="00B15D92"/>
    <w:rsid w:val="00B20BFC"/>
    <w:rsid w:val="00B21CAD"/>
    <w:rsid w:val="00B224B0"/>
    <w:rsid w:val="00B22B1A"/>
    <w:rsid w:val="00B30E9F"/>
    <w:rsid w:val="00B322E9"/>
    <w:rsid w:val="00B43B81"/>
    <w:rsid w:val="00B475EB"/>
    <w:rsid w:val="00B62ACC"/>
    <w:rsid w:val="00B64ECB"/>
    <w:rsid w:val="00B65624"/>
    <w:rsid w:val="00B92C6F"/>
    <w:rsid w:val="00B9418A"/>
    <w:rsid w:val="00B96964"/>
    <w:rsid w:val="00BA175A"/>
    <w:rsid w:val="00BA7666"/>
    <w:rsid w:val="00BA769D"/>
    <w:rsid w:val="00BC1811"/>
    <w:rsid w:val="00BC20E7"/>
    <w:rsid w:val="00BC3181"/>
    <w:rsid w:val="00BC751B"/>
    <w:rsid w:val="00BD03B1"/>
    <w:rsid w:val="00BD1B6F"/>
    <w:rsid w:val="00BE0246"/>
    <w:rsid w:val="00BF05EE"/>
    <w:rsid w:val="00BF2681"/>
    <w:rsid w:val="00BF5B55"/>
    <w:rsid w:val="00C04066"/>
    <w:rsid w:val="00C16D5C"/>
    <w:rsid w:val="00C23325"/>
    <w:rsid w:val="00C248B4"/>
    <w:rsid w:val="00C33101"/>
    <w:rsid w:val="00C34E4E"/>
    <w:rsid w:val="00C47660"/>
    <w:rsid w:val="00C47787"/>
    <w:rsid w:val="00C53C4A"/>
    <w:rsid w:val="00C652E8"/>
    <w:rsid w:val="00C655D3"/>
    <w:rsid w:val="00C67881"/>
    <w:rsid w:val="00C76C56"/>
    <w:rsid w:val="00C804BC"/>
    <w:rsid w:val="00C82646"/>
    <w:rsid w:val="00C84B50"/>
    <w:rsid w:val="00C90317"/>
    <w:rsid w:val="00C92C09"/>
    <w:rsid w:val="00CA04D3"/>
    <w:rsid w:val="00CA3B29"/>
    <w:rsid w:val="00CA7CD2"/>
    <w:rsid w:val="00CB40CF"/>
    <w:rsid w:val="00CB6742"/>
    <w:rsid w:val="00CB7B0C"/>
    <w:rsid w:val="00CC42B4"/>
    <w:rsid w:val="00CD4880"/>
    <w:rsid w:val="00CD4925"/>
    <w:rsid w:val="00CE54F3"/>
    <w:rsid w:val="00CE722C"/>
    <w:rsid w:val="00CF0F89"/>
    <w:rsid w:val="00CF1EC8"/>
    <w:rsid w:val="00CF22AF"/>
    <w:rsid w:val="00D01991"/>
    <w:rsid w:val="00D05A87"/>
    <w:rsid w:val="00D1219B"/>
    <w:rsid w:val="00D138D0"/>
    <w:rsid w:val="00D1718A"/>
    <w:rsid w:val="00D20707"/>
    <w:rsid w:val="00D26377"/>
    <w:rsid w:val="00D30AE7"/>
    <w:rsid w:val="00D3335F"/>
    <w:rsid w:val="00D41FAD"/>
    <w:rsid w:val="00D443C7"/>
    <w:rsid w:val="00D45BED"/>
    <w:rsid w:val="00D45D0F"/>
    <w:rsid w:val="00D45D82"/>
    <w:rsid w:val="00D517E0"/>
    <w:rsid w:val="00D54039"/>
    <w:rsid w:val="00D56D31"/>
    <w:rsid w:val="00D66FDE"/>
    <w:rsid w:val="00D676A1"/>
    <w:rsid w:val="00D70881"/>
    <w:rsid w:val="00D734F9"/>
    <w:rsid w:val="00D73A90"/>
    <w:rsid w:val="00D7742C"/>
    <w:rsid w:val="00D77F50"/>
    <w:rsid w:val="00D86814"/>
    <w:rsid w:val="00D91F71"/>
    <w:rsid w:val="00DA0DDB"/>
    <w:rsid w:val="00DB3806"/>
    <w:rsid w:val="00DC5963"/>
    <w:rsid w:val="00DD4D76"/>
    <w:rsid w:val="00DD56A6"/>
    <w:rsid w:val="00DF6688"/>
    <w:rsid w:val="00DF6F4E"/>
    <w:rsid w:val="00E02481"/>
    <w:rsid w:val="00E05C4A"/>
    <w:rsid w:val="00E11CC7"/>
    <w:rsid w:val="00E14D37"/>
    <w:rsid w:val="00E15827"/>
    <w:rsid w:val="00E243B7"/>
    <w:rsid w:val="00E26C97"/>
    <w:rsid w:val="00E372C0"/>
    <w:rsid w:val="00E41A1F"/>
    <w:rsid w:val="00E60083"/>
    <w:rsid w:val="00E624CE"/>
    <w:rsid w:val="00E83E49"/>
    <w:rsid w:val="00E9110D"/>
    <w:rsid w:val="00E94A6A"/>
    <w:rsid w:val="00EA3D6E"/>
    <w:rsid w:val="00EA582B"/>
    <w:rsid w:val="00EB76E5"/>
    <w:rsid w:val="00ED0E4B"/>
    <w:rsid w:val="00ED1142"/>
    <w:rsid w:val="00ED2657"/>
    <w:rsid w:val="00ED5BFE"/>
    <w:rsid w:val="00ED685C"/>
    <w:rsid w:val="00EE7D60"/>
    <w:rsid w:val="00EF1988"/>
    <w:rsid w:val="00F018A3"/>
    <w:rsid w:val="00F11A52"/>
    <w:rsid w:val="00F219C0"/>
    <w:rsid w:val="00F269E8"/>
    <w:rsid w:val="00F33A83"/>
    <w:rsid w:val="00F37889"/>
    <w:rsid w:val="00F42A6B"/>
    <w:rsid w:val="00F47555"/>
    <w:rsid w:val="00F514F6"/>
    <w:rsid w:val="00F521A0"/>
    <w:rsid w:val="00F55A6E"/>
    <w:rsid w:val="00F719CD"/>
    <w:rsid w:val="00F71A05"/>
    <w:rsid w:val="00F73266"/>
    <w:rsid w:val="00F76EAA"/>
    <w:rsid w:val="00F82FD3"/>
    <w:rsid w:val="00F90218"/>
    <w:rsid w:val="00F956B2"/>
    <w:rsid w:val="00F96D9A"/>
    <w:rsid w:val="00FB4E9E"/>
    <w:rsid w:val="00FC389A"/>
    <w:rsid w:val="00FC3D8C"/>
    <w:rsid w:val="00FC760E"/>
    <w:rsid w:val="00FD2762"/>
    <w:rsid w:val="00FE7CE3"/>
    <w:rsid w:val="00FF4509"/>
    <w:rsid w:val="00FF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val="pl-PL"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Segoe UI" w:eastAsia="Arial Unicode MS" w:hAnsi="Segoe UI" w:cs="Mangal"/>
      <w:kern w:val="1"/>
      <w:sz w:val="18"/>
      <w:szCs w:val="16"/>
      <w:lang w:val="pl-PL"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Mangal"/>
      <w:b/>
      <w:bCs/>
      <w:kern w:val="32"/>
      <w:sz w:val="32"/>
      <w:szCs w:val="29"/>
      <w:lang w:val="pl-PL" w:eastAsia="hi-IN" w:bidi="hi-IN"/>
    </w:rPr>
  </w:style>
  <w:style w:type="character" w:customStyle="1" w:styleId="Nagwek2Znak">
    <w:name w:val="Nagłówek 2 Znak"/>
    <w:link w:val="Nagwek2"/>
    <w:uiPriority w:val="9"/>
    <w:rPr>
      <w:rFonts w:ascii="Calibri Light" w:eastAsia="Times New Roman" w:hAnsi="Calibri Light" w:cs="Mangal"/>
      <w:b/>
      <w:bCs/>
      <w:i/>
      <w:iCs/>
      <w:kern w:val="1"/>
      <w:sz w:val="28"/>
      <w:szCs w:val="25"/>
      <w:lang w:val="pl-PL"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Pr>
      <w:rFonts w:ascii="Calibri Light" w:eastAsia="Times New Roman" w:hAnsi="Calibri Light" w:cs="Mangal"/>
      <w:b/>
      <w:bCs/>
      <w:kern w:val="28"/>
      <w:sz w:val="32"/>
      <w:szCs w:val="29"/>
      <w:lang w:val="pl-PL" w:eastAsia="hi-IN" w:bidi="hi-IN"/>
    </w:rPr>
  </w:style>
  <w:style w:type="paragraph" w:styleId="NormalnyWeb">
    <w:name w:val="Normal (Web)"/>
    <w:basedOn w:val="Normalny"/>
    <w:uiPriority w:val="99"/>
    <w:unhideWhenUsed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Pr>
      <w:b/>
      <w:bCs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Pr>
      <w:rFonts w:eastAsia="Arial Unicode MS" w:cs="Mangal"/>
      <w:b/>
      <w:bCs/>
      <w:kern w:val="1"/>
      <w:szCs w:val="18"/>
      <w:lang w:eastAsia="hi-IN" w:bidi="hi-IN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character" w:styleId="Hipercze">
    <w:name w:val="Hyperlink"/>
    <w:uiPriority w:val="99"/>
    <w:unhideWhenUsed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val="pl-PL"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Poprawka">
    <w:name w:val="Revision"/>
    <w:hidden/>
    <w:uiPriority w:val="99"/>
    <w:semiHidden/>
    <w:rPr>
      <w:rFonts w:eastAsia="Arial Unicode MS" w:cs="Mangal"/>
      <w:kern w:val="1"/>
      <w:sz w:val="24"/>
      <w:szCs w:val="21"/>
      <w:lang w:val="pl-PL"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1C117A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F0FF8"/>
    <w:rPr>
      <w:i/>
      <w:iCs/>
    </w:rPr>
  </w:style>
  <w:style w:type="character" w:customStyle="1" w:styleId="apple-converted-space">
    <w:name w:val="apple-converted-space"/>
    <w:basedOn w:val="Domylnaczcionkaakapitu"/>
    <w:rsid w:val="005F0F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val="pl-PL"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Segoe UI" w:eastAsia="Arial Unicode MS" w:hAnsi="Segoe UI" w:cs="Mangal"/>
      <w:kern w:val="1"/>
      <w:sz w:val="18"/>
      <w:szCs w:val="16"/>
      <w:lang w:val="pl-PL"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Mangal"/>
      <w:b/>
      <w:bCs/>
      <w:kern w:val="32"/>
      <w:sz w:val="32"/>
      <w:szCs w:val="29"/>
      <w:lang w:val="pl-PL" w:eastAsia="hi-IN" w:bidi="hi-IN"/>
    </w:rPr>
  </w:style>
  <w:style w:type="character" w:customStyle="1" w:styleId="Nagwek2Znak">
    <w:name w:val="Nagłówek 2 Znak"/>
    <w:link w:val="Nagwek2"/>
    <w:uiPriority w:val="9"/>
    <w:rPr>
      <w:rFonts w:ascii="Calibri Light" w:eastAsia="Times New Roman" w:hAnsi="Calibri Light" w:cs="Mangal"/>
      <w:b/>
      <w:bCs/>
      <w:i/>
      <w:iCs/>
      <w:kern w:val="1"/>
      <w:sz w:val="28"/>
      <w:szCs w:val="25"/>
      <w:lang w:val="pl-PL"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Pr>
      <w:rFonts w:ascii="Calibri Light" w:eastAsia="Times New Roman" w:hAnsi="Calibri Light" w:cs="Mangal"/>
      <w:b/>
      <w:bCs/>
      <w:kern w:val="28"/>
      <w:sz w:val="32"/>
      <w:szCs w:val="29"/>
      <w:lang w:val="pl-PL" w:eastAsia="hi-IN" w:bidi="hi-IN"/>
    </w:rPr>
  </w:style>
  <w:style w:type="paragraph" w:styleId="NormalnyWeb">
    <w:name w:val="Normal (Web)"/>
    <w:basedOn w:val="Normalny"/>
    <w:uiPriority w:val="99"/>
    <w:unhideWhenUsed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Pr>
      <w:b/>
      <w:bCs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Pr>
      <w:rFonts w:eastAsia="Arial Unicode MS" w:cs="Mangal"/>
      <w:b/>
      <w:bCs/>
      <w:kern w:val="1"/>
      <w:szCs w:val="18"/>
      <w:lang w:eastAsia="hi-IN" w:bidi="hi-IN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character" w:styleId="Hipercze">
    <w:name w:val="Hyperlink"/>
    <w:uiPriority w:val="99"/>
    <w:unhideWhenUsed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val="pl-PL"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Poprawka">
    <w:name w:val="Revision"/>
    <w:hidden/>
    <w:uiPriority w:val="99"/>
    <w:semiHidden/>
    <w:rPr>
      <w:rFonts w:eastAsia="Arial Unicode MS" w:cs="Mangal"/>
      <w:kern w:val="1"/>
      <w:sz w:val="24"/>
      <w:szCs w:val="21"/>
      <w:lang w:val="pl-PL"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1C117A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F0FF8"/>
    <w:rPr>
      <w:i/>
      <w:iCs/>
    </w:rPr>
  </w:style>
  <w:style w:type="character" w:customStyle="1" w:styleId="apple-converted-space">
    <w:name w:val="apple-converted-space"/>
    <w:basedOn w:val="Domylnaczcionkaakapitu"/>
    <w:rsid w:val="005F0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68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455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8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593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8E0E7-09FD-4662-9B4C-735560EDD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838</Words>
  <Characters>5033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Provident Polska</Company>
  <LinksUpToDate>false</LinksUpToDate>
  <CharactersWithSpaces>5860</CharactersWithSpaces>
  <SharedDoc>false</SharedDoc>
  <HLinks>
    <vt:vector size="6" baseType="variant">
      <vt:variant>
        <vt:i4>4653080</vt:i4>
      </vt:variant>
      <vt:variant>
        <vt:i4>0</vt:i4>
      </vt:variant>
      <vt:variant>
        <vt:i4>0</vt:i4>
      </vt:variant>
      <vt:variant>
        <vt:i4>5</vt:i4>
      </vt:variant>
      <vt:variant>
        <vt:lpwstr>http://media-provident.pl/pr/306341/rynek-pozyczkowy-juz-mysli-o-wiosnie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</dc:creator>
  <cp:lastModifiedBy>Cabaj-Bonicka Joanna (POL)</cp:lastModifiedBy>
  <cp:revision>8</cp:revision>
  <cp:lastPrinted>2017-03-01T13:08:00Z</cp:lastPrinted>
  <dcterms:created xsi:type="dcterms:W3CDTF">2017-07-27T12:04:00Z</dcterms:created>
  <dcterms:modified xsi:type="dcterms:W3CDTF">2017-08-17T13:11:00Z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b4129920-f437-4452-9f8e-33d87e10ecd3</vt:lpwstr>
  </property>
</Properties>
</file>