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A6" w:rsidRDefault="00517DA6" w:rsidP="00517DA6">
      <w:pPr>
        <w:pStyle w:val="Zwykytekst"/>
        <w:rPr>
          <w:rFonts w:asciiTheme="minorHAnsi" w:hAnsiTheme="minorHAnsi"/>
          <w:sz w:val="24"/>
          <w:szCs w:val="24"/>
        </w:rPr>
      </w:pPr>
    </w:p>
    <w:p w:rsidR="00176B4C" w:rsidRDefault="00176B4C" w:rsidP="00176B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Informacja Prasowa</w:t>
      </w:r>
    </w:p>
    <w:p w:rsidR="00176B4C" w:rsidRDefault="00176B4C" w:rsidP="00176B4C">
      <w:pPr>
        <w:spacing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Wrocław, 25 września 2017 </w:t>
      </w:r>
    </w:p>
    <w:p w:rsidR="00176B4C" w:rsidRDefault="00176B4C" w:rsidP="00176B4C">
      <w:pPr>
        <w:spacing w:after="240"/>
        <w:rPr>
          <w:rFonts w:asciiTheme="minorHAnsi" w:hAnsiTheme="minorHAnsi" w:cs="Arial"/>
          <w:b/>
          <w:color w:val="124626"/>
          <w:sz w:val="32"/>
          <w:szCs w:val="22"/>
        </w:rPr>
      </w:pPr>
      <w:r>
        <w:rPr>
          <w:rFonts w:asciiTheme="minorHAnsi" w:hAnsiTheme="minorHAnsi" w:cs="Arial"/>
          <w:b/>
          <w:color w:val="124626"/>
          <w:sz w:val="32"/>
          <w:szCs w:val="22"/>
        </w:rPr>
        <w:t>Likwidacja szkód w EFL zyskuje nową funkcjonalność</w:t>
      </w:r>
    </w:p>
    <w:p w:rsidR="00176B4C" w:rsidRDefault="00176B4C" w:rsidP="00176B4C">
      <w:pPr>
        <w:spacing w:after="240"/>
        <w:rPr>
          <w:rFonts w:asciiTheme="minorHAnsi" w:hAnsiTheme="minorHAnsi" w:cs="Arial"/>
          <w:b/>
          <w:color w:val="124626"/>
          <w:sz w:val="32"/>
          <w:szCs w:val="22"/>
        </w:rPr>
      </w:pPr>
    </w:p>
    <w:p w:rsidR="00176B4C" w:rsidRDefault="00176B4C" w:rsidP="00176B4C">
      <w:pPr>
        <w:spacing w:after="120" w:line="276" w:lineRule="auto"/>
        <w:jc w:val="both"/>
        <w:rPr>
          <w:rFonts w:asciiTheme="minorHAnsi" w:hAnsiTheme="minorHAnsi" w:cs="Arial"/>
          <w:b/>
          <w:color w:val="124626"/>
          <w:sz w:val="22"/>
          <w:szCs w:val="20"/>
        </w:rPr>
      </w:pPr>
      <w:r>
        <w:rPr>
          <w:rFonts w:asciiTheme="minorHAnsi" w:hAnsiTheme="minorHAnsi" w:cs="Arial"/>
          <w:b/>
          <w:color w:val="124626"/>
          <w:sz w:val="22"/>
          <w:szCs w:val="20"/>
        </w:rPr>
        <w:t>Z badania opinii i satysfakcji leasingobiorców przeprowadzonego przez instytut badawczy IQS wynika</w:t>
      </w:r>
      <w:r>
        <w:rPr>
          <w:rStyle w:val="Odwoanieprzypisudolnego"/>
          <w:rFonts w:asciiTheme="minorHAnsi" w:hAnsiTheme="minorHAnsi" w:cs="Arial"/>
          <w:b/>
          <w:color w:val="124626"/>
          <w:sz w:val="22"/>
          <w:szCs w:val="20"/>
        </w:rPr>
        <w:footnoteReference w:id="1"/>
      </w:r>
      <w:r>
        <w:rPr>
          <w:rFonts w:asciiTheme="minorHAnsi" w:hAnsiTheme="minorHAnsi" w:cs="Arial"/>
          <w:b/>
          <w:color w:val="124626"/>
          <w:sz w:val="22"/>
          <w:szCs w:val="20"/>
        </w:rPr>
        <w:t xml:space="preserve">, że usługa likwidacji szkód w EFL jest oceniana zdecydowanie wyżej niż w innych firmach leasingowych. Średnia ocena Centrum Likwidacji Szkód wystawiona przez klientów EFL wyniosła 4,4 (w skali od 1 do 5) podczas gdy proces likwidacji szkód konkurencji uzyskał średni wynik na poziomie 3,8. Od września br. klienci EFL zyskują kolejny powód wpływający na ich zadowolenie – aplikację EFL </w:t>
      </w:r>
      <w:proofErr w:type="spellStart"/>
      <w:r>
        <w:rPr>
          <w:rFonts w:asciiTheme="minorHAnsi" w:hAnsiTheme="minorHAnsi" w:cs="Arial"/>
          <w:b/>
          <w:color w:val="124626"/>
          <w:sz w:val="22"/>
          <w:szCs w:val="20"/>
        </w:rPr>
        <w:t>Assistance</w:t>
      </w:r>
      <w:proofErr w:type="spellEnd"/>
      <w:r>
        <w:rPr>
          <w:rFonts w:asciiTheme="minorHAnsi" w:hAnsiTheme="minorHAnsi" w:cs="Arial"/>
          <w:b/>
          <w:color w:val="124626"/>
          <w:sz w:val="22"/>
          <w:szCs w:val="20"/>
        </w:rPr>
        <w:t xml:space="preserve">. Przy pomocy mobilnej aplikacji mogą wezwać </w:t>
      </w:r>
      <w:proofErr w:type="spellStart"/>
      <w:r>
        <w:rPr>
          <w:rFonts w:asciiTheme="minorHAnsi" w:hAnsiTheme="minorHAnsi" w:cs="Arial"/>
          <w:b/>
          <w:color w:val="124626"/>
          <w:sz w:val="22"/>
          <w:szCs w:val="20"/>
        </w:rPr>
        <w:t>assistance</w:t>
      </w:r>
      <w:proofErr w:type="spellEnd"/>
      <w:r>
        <w:rPr>
          <w:rFonts w:asciiTheme="minorHAnsi" w:hAnsiTheme="minorHAnsi" w:cs="Arial"/>
          <w:b/>
          <w:color w:val="124626"/>
          <w:sz w:val="22"/>
          <w:szCs w:val="20"/>
        </w:rPr>
        <w:t xml:space="preserve"> w przypadku awarii pojazdu czy zgłosić jego szkodę do Centrum Likwidacji Szkód EFL.</w:t>
      </w:r>
    </w:p>
    <w:p w:rsidR="00176B4C" w:rsidRDefault="00176B4C" w:rsidP="00176B4C">
      <w:pPr>
        <w:spacing w:after="120" w:line="276" w:lineRule="auto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i/>
          <w:sz w:val="22"/>
          <w:szCs w:val="20"/>
        </w:rPr>
        <w:t xml:space="preserve">- Kilka lat temu leasingobiorcy niechętnie i z ostrożnością podchodzili do załatwiania wielu tematów przez Internet, teraz jest to dla nich codziennością. Podobnie jest z wykorzystywaniem </w:t>
      </w:r>
      <w:proofErr w:type="spellStart"/>
      <w:r>
        <w:rPr>
          <w:rFonts w:ascii="Calibri" w:hAnsi="Calibri"/>
          <w:i/>
          <w:sz w:val="22"/>
          <w:szCs w:val="20"/>
        </w:rPr>
        <w:t>smartfonów</w:t>
      </w:r>
      <w:proofErr w:type="spellEnd"/>
      <w:r>
        <w:rPr>
          <w:rFonts w:ascii="Calibri" w:hAnsi="Calibri"/>
          <w:i/>
          <w:sz w:val="22"/>
          <w:szCs w:val="20"/>
        </w:rPr>
        <w:t xml:space="preserve">. To nie tylko narzędzie do komunikacji, sprawdzania bieżących informacji czy załatwiania prywatnych spraw, ale coraz częściej biznesowy asystent. Ma to również zastosowanie w obsłudze kontraktów leasingowych. Teraz klienci EFL większość spraw związanych z obsługą szkody pojazdu mogą załatwić poprzez udostępnioną im właśnie mobilną aplikację. Co więcej, na bieżąco na ekranie </w:t>
      </w:r>
      <w:proofErr w:type="spellStart"/>
      <w:r>
        <w:rPr>
          <w:rFonts w:ascii="Calibri" w:hAnsi="Calibri"/>
          <w:i/>
          <w:sz w:val="22"/>
          <w:szCs w:val="20"/>
        </w:rPr>
        <w:t>smartfonu</w:t>
      </w:r>
      <w:proofErr w:type="spellEnd"/>
      <w:r>
        <w:rPr>
          <w:rFonts w:ascii="Calibri" w:hAnsi="Calibri"/>
          <w:i/>
          <w:sz w:val="22"/>
          <w:szCs w:val="20"/>
        </w:rPr>
        <w:t xml:space="preserve"> będą wyświetlane informacje o kolejnych krokach </w:t>
      </w:r>
      <w:r>
        <w:rPr>
          <w:rFonts w:ascii="Calibri" w:hAnsi="Calibri"/>
          <w:sz w:val="22"/>
          <w:szCs w:val="20"/>
        </w:rPr>
        <w:t xml:space="preserve">– podkreśla </w:t>
      </w:r>
      <w:r>
        <w:rPr>
          <w:rFonts w:asciiTheme="minorHAnsi" w:hAnsiTheme="minorHAnsi" w:cs="Arial"/>
          <w:b/>
          <w:color w:val="124626"/>
          <w:sz w:val="22"/>
          <w:szCs w:val="20"/>
        </w:rPr>
        <w:t>Wojciech Przybył, prezes zarządu EFL Finance.</w:t>
      </w:r>
    </w:p>
    <w:p w:rsidR="00176B4C" w:rsidRDefault="00176B4C" w:rsidP="00176B4C">
      <w:pPr>
        <w:spacing w:after="120" w:line="276" w:lineRule="auto"/>
        <w:jc w:val="both"/>
        <w:rPr>
          <w:rFonts w:asciiTheme="minorHAnsi" w:hAnsiTheme="minorHAnsi" w:cs="Arial"/>
          <w:b/>
          <w:color w:val="124626"/>
          <w:sz w:val="22"/>
          <w:szCs w:val="20"/>
        </w:rPr>
      </w:pPr>
      <w:r>
        <w:rPr>
          <w:rFonts w:asciiTheme="minorHAnsi" w:hAnsiTheme="minorHAnsi" w:cs="Arial"/>
          <w:b/>
          <w:color w:val="124626"/>
          <w:sz w:val="22"/>
          <w:szCs w:val="20"/>
        </w:rPr>
        <w:t>Pomoc na klik</w:t>
      </w:r>
    </w:p>
    <w:p w:rsidR="00176B4C" w:rsidRDefault="00176B4C" w:rsidP="00176B4C">
      <w:pPr>
        <w:spacing w:after="120" w:line="276" w:lineRule="auto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EFL wraz z </w:t>
      </w:r>
      <w:r w:rsidR="00F716DF" w:rsidRPr="00F716DF">
        <w:rPr>
          <w:rFonts w:asciiTheme="minorHAnsi" w:hAnsiTheme="minorHAnsi"/>
        </w:rPr>
        <w:t xml:space="preserve">AXA </w:t>
      </w:r>
      <w:proofErr w:type="spellStart"/>
      <w:r w:rsidR="00F716DF" w:rsidRPr="00F716DF">
        <w:rPr>
          <w:rFonts w:asciiTheme="minorHAnsi" w:hAnsiTheme="minorHAnsi"/>
        </w:rPr>
        <w:t>Assistance</w:t>
      </w:r>
      <w:proofErr w:type="spellEnd"/>
      <w:r w:rsidR="00F716DF">
        <w:rPr>
          <w:color w:val="002060"/>
          <w:u w:val="single"/>
        </w:rPr>
        <w:t xml:space="preserve"> </w:t>
      </w:r>
      <w:r>
        <w:rPr>
          <w:rFonts w:ascii="Calibri" w:hAnsi="Calibri"/>
          <w:sz w:val="22"/>
          <w:szCs w:val="20"/>
        </w:rPr>
        <w:t xml:space="preserve">przygotował aplikację mobilną EFL </w:t>
      </w:r>
      <w:proofErr w:type="spellStart"/>
      <w:r>
        <w:rPr>
          <w:rFonts w:ascii="Calibri" w:hAnsi="Calibri"/>
          <w:sz w:val="22"/>
          <w:szCs w:val="20"/>
        </w:rPr>
        <w:t>Assistance</w:t>
      </w:r>
      <w:proofErr w:type="spellEnd"/>
      <w:r>
        <w:rPr>
          <w:rFonts w:ascii="Calibri" w:hAnsi="Calibri"/>
          <w:sz w:val="22"/>
          <w:szCs w:val="20"/>
        </w:rPr>
        <w:t xml:space="preserve">, za pomocą której klienci mogą wezwać </w:t>
      </w:r>
      <w:proofErr w:type="spellStart"/>
      <w:r>
        <w:rPr>
          <w:rFonts w:ascii="Calibri" w:hAnsi="Calibri"/>
          <w:sz w:val="22"/>
          <w:szCs w:val="20"/>
        </w:rPr>
        <w:t>assistance</w:t>
      </w:r>
      <w:proofErr w:type="spellEnd"/>
      <w:r>
        <w:rPr>
          <w:rFonts w:ascii="Calibri" w:hAnsi="Calibri"/>
          <w:sz w:val="22"/>
          <w:szCs w:val="20"/>
        </w:rPr>
        <w:t xml:space="preserve"> w przypadku awarii lub uszkodzenia pojazdu. Wbudowana mapa z </w:t>
      </w:r>
      <w:proofErr w:type="spellStart"/>
      <w:r>
        <w:rPr>
          <w:rFonts w:ascii="Calibri" w:hAnsi="Calibri"/>
          <w:sz w:val="22"/>
          <w:szCs w:val="20"/>
        </w:rPr>
        <w:t>geolokalizacją</w:t>
      </w:r>
      <w:proofErr w:type="spellEnd"/>
      <w:r>
        <w:rPr>
          <w:rFonts w:ascii="Calibri" w:hAnsi="Calibri"/>
          <w:sz w:val="22"/>
          <w:szCs w:val="20"/>
        </w:rPr>
        <w:t xml:space="preserve"> ułatwi wskazanie miejsca, gdzie potrzebna jest pomoc. Po przyjęciu zgłoszenia </w:t>
      </w:r>
      <w:r w:rsidR="00C728E6" w:rsidRPr="00F716DF">
        <w:rPr>
          <w:rFonts w:asciiTheme="minorHAnsi" w:hAnsiTheme="minorHAnsi"/>
        </w:rPr>
        <w:t xml:space="preserve">AXA </w:t>
      </w:r>
      <w:proofErr w:type="spellStart"/>
      <w:r w:rsidR="00C728E6" w:rsidRPr="00F716DF">
        <w:rPr>
          <w:rFonts w:asciiTheme="minorHAnsi" w:hAnsiTheme="minorHAnsi"/>
        </w:rPr>
        <w:t>Assistance</w:t>
      </w:r>
      <w:proofErr w:type="spellEnd"/>
      <w:r w:rsidR="00C728E6">
        <w:rPr>
          <w:color w:val="002060"/>
          <w:u w:val="single"/>
        </w:rPr>
        <w:t xml:space="preserve"> </w:t>
      </w:r>
      <w:r>
        <w:rPr>
          <w:rFonts w:ascii="Calibri" w:hAnsi="Calibri"/>
          <w:sz w:val="22"/>
          <w:szCs w:val="20"/>
        </w:rPr>
        <w:t xml:space="preserve">na bieżąco w postaci komunikatów na </w:t>
      </w:r>
      <w:proofErr w:type="spellStart"/>
      <w:r>
        <w:rPr>
          <w:rFonts w:ascii="Calibri" w:hAnsi="Calibri"/>
          <w:sz w:val="22"/>
          <w:szCs w:val="20"/>
        </w:rPr>
        <w:t>smartfonie</w:t>
      </w:r>
      <w:proofErr w:type="spellEnd"/>
      <w:r>
        <w:rPr>
          <w:rFonts w:ascii="Calibri" w:hAnsi="Calibri"/>
          <w:sz w:val="22"/>
          <w:szCs w:val="20"/>
        </w:rPr>
        <w:t xml:space="preserve"> poinformuje klienta o przebiegu sprawy, np. wysłaniu lawety czy wyjazdu pojazdu zastępczego. Dzięki takiemu rozwiązaniu, leasingobiorca jest na bieżąco informowany o postępach w jego sprawie. Dodatkowo, za pomocą aplikacji mobilnej można skontaktować się z infolinią EFL, zgłosić szkodę wypadkową lub kradzieżową pojazdu do Centrum Likwidacji Szkód EFL, oraz zalogować się do Portalu Klienta EFL. </w:t>
      </w:r>
    </w:p>
    <w:p w:rsidR="00176B4C" w:rsidRDefault="00176B4C" w:rsidP="00176B4C">
      <w:pPr>
        <w:spacing w:after="120" w:line="276" w:lineRule="auto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Aplikacja EFL </w:t>
      </w:r>
      <w:proofErr w:type="spellStart"/>
      <w:r>
        <w:rPr>
          <w:rFonts w:ascii="Calibri" w:hAnsi="Calibri"/>
          <w:sz w:val="22"/>
          <w:szCs w:val="20"/>
        </w:rPr>
        <w:t>Assistance</w:t>
      </w:r>
      <w:proofErr w:type="spellEnd"/>
      <w:r>
        <w:rPr>
          <w:rFonts w:ascii="Calibri" w:hAnsi="Calibri"/>
          <w:sz w:val="22"/>
          <w:szCs w:val="20"/>
        </w:rPr>
        <w:t xml:space="preserve"> jest bezpłatna i dostępna dla klientów posiadających ubezpieczenie EFL </w:t>
      </w:r>
      <w:proofErr w:type="spellStart"/>
      <w:r>
        <w:rPr>
          <w:rFonts w:ascii="Calibri" w:hAnsi="Calibri"/>
          <w:sz w:val="22"/>
          <w:szCs w:val="20"/>
        </w:rPr>
        <w:t>Assistance</w:t>
      </w:r>
      <w:proofErr w:type="spellEnd"/>
      <w:r>
        <w:rPr>
          <w:rFonts w:ascii="Calibri" w:hAnsi="Calibri"/>
          <w:sz w:val="22"/>
          <w:szCs w:val="20"/>
        </w:rPr>
        <w:t xml:space="preserve"> dla pojazdów osobowych i dostawczych. Wystarczy pobrać ją z Google Play lub </w:t>
      </w:r>
      <w:proofErr w:type="spellStart"/>
      <w:r>
        <w:rPr>
          <w:rFonts w:ascii="Calibri" w:hAnsi="Calibri"/>
          <w:sz w:val="22"/>
          <w:szCs w:val="20"/>
        </w:rPr>
        <w:t>AppStore</w:t>
      </w:r>
      <w:proofErr w:type="spellEnd"/>
      <w:r>
        <w:rPr>
          <w:rFonts w:ascii="Calibri" w:hAnsi="Calibri"/>
          <w:sz w:val="22"/>
          <w:szCs w:val="20"/>
        </w:rPr>
        <w:t>. Po zainstalowaniu należy wpisać numer rejestracyjny pojazdu i aplikacja jest gotowa do użytkowania.</w:t>
      </w:r>
    </w:p>
    <w:p w:rsidR="00176B4C" w:rsidRPr="00E44EAE" w:rsidRDefault="00176B4C" w:rsidP="00176B4C">
      <w:pPr>
        <w:rPr>
          <w:rFonts w:asciiTheme="minorHAnsi" w:hAnsiTheme="minorHAnsi"/>
          <w:b/>
          <w:bCs/>
          <w:color w:val="1F497D"/>
          <w:sz w:val="22"/>
          <w:szCs w:val="22"/>
        </w:rPr>
      </w:pPr>
      <w:r>
        <w:rPr>
          <w:rFonts w:ascii="Calibri" w:hAnsi="Calibri"/>
          <w:sz w:val="22"/>
          <w:szCs w:val="20"/>
        </w:rPr>
        <w:t>Więcej informacji na</w:t>
      </w:r>
      <w:r w:rsidRPr="00E44EAE">
        <w:rPr>
          <w:rFonts w:asciiTheme="minorHAnsi" w:hAnsiTheme="minorHAnsi"/>
          <w:sz w:val="22"/>
          <w:szCs w:val="22"/>
        </w:rPr>
        <w:t xml:space="preserve">: </w:t>
      </w:r>
      <w:hyperlink r:id="rId11" w:anchor="jak-byc-madrym-przed-szkoda" w:history="1">
        <w:r w:rsidRPr="00E44EAE">
          <w:rPr>
            <w:rStyle w:val="Hipercze"/>
            <w:rFonts w:asciiTheme="minorHAnsi" w:hAnsiTheme="minorHAnsi"/>
            <w:sz w:val="22"/>
            <w:szCs w:val="22"/>
          </w:rPr>
          <w:t>https://efl.pl/pl/obsluga-klienta/centrum-likwidacji-szkod/#jak-byc-madrym-przed-szkoda</w:t>
        </w:r>
      </w:hyperlink>
    </w:p>
    <w:p w:rsidR="00176B4C" w:rsidRPr="00E44EAE" w:rsidRDefault="00176B4C" w:rsidP="00176B4C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176B4C" w:rsidRDefault="00176B4C" w:rsidP="00176B4C">
      <w:pPr>
        <w:spacing w:after="120" w:line="276" w:lineRule="auto"/>
        <w:jc w:val="both"/>
        <w:rPr>
          <w:rFonts w:asciiTheme="minorHAnsi" w:hAnsiTheme="minorHAnsi" w:cs="Arial"/>
          <w:b/>
          <w:color w:val="124626"/>
          <w:sz w:val="22"/>
          <w:szCs w:val="20"/>
        </w:rPr>
      </w:pPr>
      <w:r>
        <w:rPr>
          <w:rFonts w:asciiTheme="minorHAnsi" w:hAnsiTheme="minorHAnsi" w:cs="Arial"/>
          <w:b/>
          <w:color w:val="124626"/>
          <w:sz w:val="22"/>
          <w:szCs w:val="20"/>
        </w:rPr>
        <w:t>Obsługa szkód na czwórkę z plusem</w:t>
      </w:r>
    </w:p>
    <w:p w:rsidR="00176B4C" w:rsidRDefault="00176B4C" w:rsidP="00176B4C">
      <w:pPr>
        <w:spacing w:after="120" w:line="276" w:lineRule="auto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lastRenderedPageBreak/>
        <w:t xml:space="preserve">Na obsługę </w:t>
      </w:r>
      <w:r>
        <w:rPr>
          <w:rFonts w:ascii="Calibri" w:hAnsi="Calibri"/>
          <w:sz w:val="22"/>
          <w:szCs w:val="22"/>
        </w:rPr>
        <w:t xml:space="preserve">szkody w EFL składa się wiele rozwiązań, dzięki którym nieprzyjemne zdarzenia stają się dla przedsiębiorcy mniej uciążliwe. Poza wprowadzoną właśnie aplikacją EFL </w:t>
      </w:r>
      <w:proofErr w:type="spellStart"/>
      <w:r>
        <w:rPr>
          <w:rFonts w:ascii="Calibri" w:hAnsi="Calibri"/>
          <w:sz w:val="22"/>
          <w:szCs w:val="22"/>
        </w:rPr>
        <w:t>Assistance</w:t>
      </w:r>
      <w:proofErr w:type="spellEnd"/>
      <w:r>
        <w:rPr>
          <w:rFonts w:ascii="Calibri" w:hAnsi="Calibri"/>
          <w:sz w:val="22"/>
          <w:szCs w:val="22"/>
        </w:rPr>
        <w:t xml:space="preserve">, leasingobiorcy mają do dyspozycji Centrum Likwidacji Szkód. </w:t>
      </w:r>
      <w:r>
        <w:rPr>
          <w:rFonts w:ascii="Calibri" w:hAnsi="Calibri" w:cs="Calibri"/>
          <w:sz w:val="22"/>
          <w:szCs w:val="22"/>
        </w:rPr>
        <w:t>Dzięki tej usłudze, obowiązki klienta zostały zminimalizowane do telefonicznego zgłoszenia szkody. W ramach oferowanej usługi Grupa EFL bierze na siebie ciężar nadzorowania całego procesu likwidacji szkody - począwszy od skompletowania dokumentacji dla ubezpieczyciela poprzez wybór i skierowanie uszkodzonego pojazdu do odpowiedniego serwisu, umówienie naprawy, po monitorowanie czasu naprawy oraz jakości wykonanych usług. Co więcej, faktura może zostać wystawiona na EFL, który ureguluje 100% VAT, podczas gdy leasingobiorca sam reguluje fakturę za naprawę odlicza tylko 50% VAT. Od 2013 roku EFL obsłużył w ten sposób prawie 17 tysięcy spraw.</w:t>
      </w:r>
    </w:p>
    <w:p w:rsidR="00782273" w:rsidRDefault="00176B4C" w:rsidP="00176B4C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2016 roku więcej niż co trzecia sprawa klienta EFL była zgłoszona i załatwiona przez portal </w:t>
      </w:r>
      <w:proofErr w:type="spellStart"/>
      <w:r>
        <w:rPr>
          <w:rFonts w:asciiTheme="minorHAnsi" w:hAnsiTheme="minorHAnsi" w:cs="Arial"/>
          <w:sz w:val="22"/>
          <w:szCs w:val="22"/>
        </w:rPr>
        <w:t>KlientEFL</w:t>
      </w:r>
      <w:proofErr w:type="spellEnd"/>
      <w:r>
        <w:rPr>
          <w:rFonts w:asciiTheme="minorHAnsi" w:hAnsiTheme="minorHAnsi" w:cs="Arial"/>
          <w:sz w:val="22"/>
          <w:szCs w:val="22"/>
        </w:rPr>
        <w:t>. Serwis umożliwia p</w:t>
      </w:r>
      <w:r>
        <w:rPr>
          <w:rFonts w:ascii="Calibri" w:hAnsi="Calibri"/>
          <w:sz w:val="22"/>
          <w:szCs w:val="22"/>
        </w:rPr>
        <w:t>rosty i szybki, bez wychodzenia z biura, dostęp do informacj</w:t>
      </w:r>
      <w:r w:rsidR="00782273">
        <w:rPr>
          <w:rFonts w:ascii="Calibri" w:hAnsi="Calibri"/>
          <w:sz w:val="22"/>
          <w:szCs w:val="22"/>
        </w:rPr>
        <w:t>i o trwającej umowie, wznowieniu</w:t>
      </w:r>
      <w:r>
        <w:rPr>
          <w:rFonts w:ascii="Calibri" w:hAnsi="Calibri"/>
          <w:sz w:val="22"/>
          <w:szCs w:val="22"/>
        </w:rPr>
        <w:t xml:space="preserve"> ubezpieczenia czy możliwość złożenia wniosku. Klienci EFL bardzo chęt</w:t>
      </w:r>
      <w:r w:rsidR="00782273">
        <w:rPr>
          <w:rFonts w:ascii="Calibri" w:hAnsi="Calibri"/>
          <w:sz w:val="22"/>
          <w:szCs w:val="22"/>
        </w:rPr>
        <w:t>nie z niego korzystają, bo aż 80</w:t>
      </w:r>
      <w:r>
        <w:rPr>
          <w:rFonts w:ascii="Calibri" w:hAnsi="Calibri"/>
          <w:sz w:val="22"/>
          <w:szCs w:val="22"/>
        </w:rPr>
        <w:t xml:space="preserve">% z nich ma aktywne konto na portalu, a miesięcznie stronę odwiedzają 30 tys. razy. W efekcie, ponad 1/3 spraw leasingobiorców EFL w 2016 roku zostało załatwionych przez internetowy portal </w:t>
      </w:r>
      <w:proofErr w:type="spellStart"/>
      <w:r w:rsidRPr="00782273">
        <w:rPr>
          <w:rFonts w:asciiTheme="minorHAnsi" w:hAnsiTheme="minorHAnsi"/>
          <w:sz w:val="22"/>
          <w:szCs w:val="22"/>
        </w:rPr>
        <w:t>KlientEF</w:t>
      </w:r>
      <w:r w:rsidR="00782273" w:rsidRPr="00782273">
        <w:rPr>
          <w:rFonts w:asciiTheme="minorHAnsi" w:hAnsiTheme="minorHAnsi"/>
          <w:sz w:val="22"/>
          <w:szCs w:val="22"/>
        </w:rPr>
        <w:t>L</w:t>
      </w:r>
      <w:proofErr w:type="spellEnd"/>
      <w:r w:rsidR="00782273" w:rsidRPr="00782273">
        <w:rPr>
          <w:rFonts w:asciiTheme="minorHAnsi" w:hAnsiTheme="minorHAnsi"/>
          <w:sz w:val="22"/>
          <w:szCs w:val="22"/>
        </w:rPr>
        <w:t xml:space="preserve">  w tym również z urządzeń mobilnych</w:t>
      </w:r>
      <w:r w:rsidR="00782273">
        <w:rPr>
          <w:rFonts w:ascii="Calibri" w:hAnsi="Calibri"/>
          <w:sz w:val="22"/>
          <w:szCs w:val="22"/>
        </w:rPr>
        <w:t xml:space="preserve"> </w:t>
      </w:r>
    </w:p>
    <w:p w:rsidR="00176B4C" w:rsidRDefault="00782273" w:rsidP="00176B4C">
      <w:pPr>
        <w:spacing w:after="120" w:line="276" w:lineRule="auto"/>
        <w:jc w:val="both"/>
        <w:rPr>
          <w:rFonts w:asciiTheme="minorHAnsi" w:hAnsiTheme="minorHAnsi" w:cs="Arial"/>
          <w:b/>
          <w:color w:val="124626"/>
          <w:sz w:val="22"/>
          <w:szCs w:val="20"/>
        </w:rPr>
      </w:pPr>
      <w:r>
        <w:rPr>
          <w:rFonts w:ascii="Calibri" w:hAnsi="Calibri"/>
          <w:sz w:val="22"/>
          <w:szCs w:val="22"/>
        </w:rPr>
        <w:t xml:space="preserve"> </w:t>
      </w:r>
      <w:r w:rsidR="00176B4C">
        <w:rPr>
          <w:rFonts w:ascii="Calibri" w:hAnsi="Calibri"/>
          <w:sz w:val="22"/>
          <w:szCs w:val="22"/>
        </w:rPr>
        <w:t xml:space="preserve"> </w:t>
      </w:r>
      <w:r w:rsidR="00176B4C">
        <w:rPr>
          <w:rFonts w:asciiTheme="minorHAnsi" w:hAnsiTheme="minorHAnsi" w:cs="Arial"/>
          <w:i/>
          <w:sz w:val="22"/>
          <w:szCs w:val="20"/>
        </w:rPr>
        <w:t xml:space="preserve">- Współpraca takiej firmy jak nasza z leasingobiorcą nie sprowadza się tylko do przedstawienia oferty i sprzedaży usługi, lecz jej ważną częścią jest obsługa posprzedażowa. To właśnie zadowolenie z tego etapu kontraktu bardzo często wpływa na decyzję klienta, czy warto kontynuować współpracę z leasingodawcą przy kolejnych inwestycjach. Jedną z najmniej przyjemnych sytuacji dla przedsiębiorców jest właśnie likwidacja szkód, dlatego stale wdrażamy nowe rozwiązania maksymalnie upraszczające załatwienie formalności i oszczędzające czas. </w:t>
      </w:r>
      <w:r w:rsidR="00176B4C">
        <w:rPr>
          <w:rFonts w:ascii="Calibri" w:hAnsi="Calibri"/>
          <w:i/>
          <w:sz w:val="22"/>
          <w:szCs w:val="20"/>
        </w:rPr>
        <w:t xml:space="preserve">To widzą i doceniają nasi klienci, czego przejawem jest między innymi bardzo wysoka ocena satysfakcji z naszego procesu likwidacji szkód – </w:t>
      </w:r>
      <w:r w:rsidR="00176B4C">
        <w:rPr>
          <w:rFonts w:ascii="Calibri" w:hAnsi="Calibri"/>
          <w:sz w:val="22"/>
          <w:szCs w:val="20"/>
        </w:rPr>
        <w:t xml:space="preserve">mówi </w:t>
      </w:r>
      <w:r w:rsidR="00176B4C">
        <w:rPr>
          <w:rFonts w:asciiTheme="minorHAnsi" w:hAnsiTheme="minorHAnsi" w:cs="Arial"/>
          <w:b/>
          <w:color w:val="124626"/>
          <w:sz w:val="22"/>
          <w:szCs w:val="20"/>
        </w:rPr>
        <w:t>Radosław Woźniak, wiceprezes EFL.</w:t>
      </w:r>
    </w:p>
    <w:p w:rsidR="00176B4C" w:rsidRDefault="00176B4C" w:rsidP="00176B4C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Wdrażane rozwiązania i coraz większa dbałość o jakość obsługi w EFL mają swoje przełożenie w opiniach klientów. Usługa likwidacji szkód w EFL jest oceniana zdecydowanie wyżej niż w innych firmach leasingowych. Średnia ocena Centrum Likwidacji Szkód wystawiona przez klientów EFL wyniosła 4,4, podczas gdy proces likwidacji szkód konkurencji uzyskał średni wynik na poziomie 3,8 – tak wynika z badania opinii i satysfakcji leasingobiorców przeprowadzonego przez instytut badawczy IQS w 2017 roku.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7BBB0"/>
        <w:tblLook w:val="04A0"/>
      </w:tblPr>
      <w:tblGrid>
        <w:gridCol w:w="10632"/>
      </w:tblGrid>
      <w:tr w:rsidR="00176B4C" w:rsidTr="00176B4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744F"/>
            <w:hideMark/>
          </w:tcPr>
          <w:p w:rsidR="00176B4C" w:rsidRDefault="00176B4C">
            <w:pPr>
              <w:tabs>
                <w:tab w:val="left" w:pos="4248"/>
                <w:tab w:val="left" w:pos="6684"/>
              </w:tabs>
              <w:outlineLvl w:val="0"/>
              <w:rPr>
                <w:rFonts w:asciiTheme="minorHAnsi" w:hAnsiTheme="minorHAnsi" w:cs="Arial"/>
                <w:color w:val="FFFFFF"/>
                <w:sz w:val="22"/>
              </w:rPr>
            </w:pPr>
            <w:r>
              <w:rPr>
                <w:rFonts w:asciiTheme="minorHAnsi" w:hAnsiTheme="minorHAnsi" w:cs="Arial"/>
                <w:color w:val="FFFFFF"/>
                <w:sz w:val="20"/>
                <w:szCs w:val="22"/>
              </w:rPr>
              <w:t>Więcej informacji udziela:</w:t>
            </w:r>
            <w:r>
              <w:rPr>
                <w:rFonts w:asciiTheme="minorHAnsi" w:hAnsiTheme="minorHAnsi" w:cs="Arial"/>
                <w:color w:val="FFFFFF"/>
                <w:sz w:val="20"/>
                <w:szCs w:val="22"/>
              </w:rPr>
              <w:tab/>
            </w:r>
            <w:r>
              <w:rPr>
                <w:rFonts w:asciiTheme="minorHAnsi" w:hAnsiTheme="minorHAnsi" w:cs="Arial"/>
                <w:color w:val="FFFFFF"/>
                <w:sz w:val="20"/>
                <w:szCs w:val="22"/>
              </w:rPr>
              <w:tab/>
            </w:r>
          </w:p>
        </w:tc>
      </w:tr>
      <w:tr w:rsidR="00176B4C" w:rsidTr="00176B4C">
        <w:trPr>
          <w:trHeight w:val="96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4C" w:rsidRDefault="00176B4C">
            <w:pPr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Maja Lidke</w:t>
            </w:r>
          </w:p>
          <w:p w:rsidR="00176B4C" w:rsidRDefault="00176B4C">
            <w:pPr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Europejski Fundusz Leasingowy</w:t>
            </w:r>
          </w:p>
          <w:p w:rsidR="00176B4C" w:rsidRDefault="00176B4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Tel.: 603 630 166</w:t>
            </w:r>
          </w:p>
          <w:p w:rsidR="00176B4C" w:rsidRDefault="00176B4C">
            <w:pPr>
              <w:outlineLvl w:val="0"/>
              <w:rPr>
                <w:rFonts w:asciiTheme="minorHAnsi" w:hAnsiTheme="minorHAnsi" w:cs="Arial"/>
                <w:b/>
                <w:sz w:val="22"/>
                <w:lang w:val="fr-FR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de-DE"/>
              </w:rPr>
              <w:t>E-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de-DE"/>
              </w:rPr>
              <w:t>mail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de-DE"/>
              </w:rPr>
              <w:t xml:space="preserve">: </w:t>
            </w:r>
            <w:hyperlink r:id="rId12" w:history="1">
              <w:r>
                <w:rPr>
                  <w:rStyle w:val="Hipercze"/>
                  <w:rFonts w:asciiTheme="minorHAnsi" w:hAnsiTheme="minorHAnsi" w:cs="Arial"/>
                  <w:sz w:val="20"/>
                  <w:szCs w:val="20"/>
                  <w:lang w:val="fr-FR"/>
                </w:rPr>
                <w:t>maja.lidke@efl.com.pl</w:t>
              </w:r>
            </w:hyperlink>
          </w:p>
        </w:tc>
      </w:tr>
    </w:tbl>
    <w:p w:rsidR="00176B4C" w:rsidRDefault="00176B4C" w:rsidP="00176B4C">
      <w:pPr>
        <w:spacing w:before="120" w:after="120"/>
        <w:jc w:val="center"/>
        <w:rPr>
          <w:rFonts w:asciiTheme="minorHAnsi" w:hAnsiTheme="minorHAnsi" w:cs="Arial"/>
          <w:b/>
          <w:sz w:val="22"/>
          <w:lang w:val="fr-FR"/>
        </w:rPr>
      </w:pPr>
      <w:r>
        <w:rPr>
          <w:rFonts w:asciiTheme="minorHAnsi" w:hAnsiTheme="minorHAnsi" w:cs="Arial"/>
          <w:b/>
          <w:sz w:val="22"/>
          <w:lang w:val="fr-FR"/>
        </w:rPr>
        <w:t>***</w:t>
      </w:r>
    </w:p>
    <w:p w:rsidR="00176B4C" w:rsidRDefault="00176B4C" w:rsidP="00176B4C">
      <w:pPr>
        <w:autoSpaceDE w:val="0"/>
        <w:spacing w:after="120"/>
        <w:jc w:val="both"/>
        <w:rPr>
          <w:rFonts w:asciiTheme="minorHAnsi" w:hAnsiTheme="minorHAnsi" w:cs="Arial"/>
          <w:sz w:val="20"/>
          <w:szCs w:val="18"/>
        </w:rPr>
      </w:pPr>
      <w:r>
        <w:rPr>
          <w:rFonts w:asciiTheme="minorHAnsi" w:hAnsiTheme="minorHAnsi" w:cs="Arial"/>
          <w:b/>
          <w:bCs/>
          <w:sz w:val="20"/>
          <w:szCs w:val="18"/>
        </w:rPr>
        <w:t xml:space="preserve">Europejski Fundusz Leasingowy SA </w:t>
      </w:r>
      <w:r>
        <w:rPr>
          <w:rFonts w:asciiTheme="minorHAnsi" w:hAnsiTheme="minorHAnsi" w:cs="Arial"/>
          <w:sz w:val="20"/>
          <w:szCs w:val="18"/>
        </w:rPr>
        <w:t xml:space="preserve">powstał w 1991 roku, jako jedna z pierwszych firm leasingowych w Polsce. Od 2001 roku EFL jest częścią Grupy </w:t>
      </w:r>
      <w:proofErr w:type="spellStart"/>
      <w:r>
        <w:rPr>
          <w:rFonts w:asciiTheme="minorHAnsi" w:hAnsiTheme="minorHAnsi" w:cs="Arial"/>
          <w:sz w:val="20"/>
          <w:szCs w:val="18"/>
        </w:rPr>
        <w:t>Crédit</w:t>
      </w:r>
      <w:proofErr w:type="spellEnd"/>
      <w:r>
        <w:rPr>
          <w:rFonts w:asciiTheme="minorHAnsi" w:hAnsiTheme="minorHAnsi" w:cs="Arial"/>
          <w:sz w:val="20"/>
          <w:szCs w:val="18"/>
        </w:rPr>
        <w:t xml:space="preserve"> Agricole, co gwarantuje firmie finansową stabilność i bezpieczeństwo oraz pozwala korzystać z wiedzy i doświadczeń instytucji finansowej o międzynarodowym zasięgu. EFL konsekwentnie poszerza zakres rozwiązań dla biznesu. Spółka oferuje szeroki pakiet produktów: leasing, pożyczkę, wynajem długoterminowy, ubezpieczenia i </w:t>
      </w:r>
      <w:proofErr w:type="spellStart"/>
      <w:r>
        <w:rPr>
          <w:rFonts w:asciiTheme="minorHAnsi" w:hAnsiTheme="minorHAnsi" w:cs="Arial"/>
          <w:sz w:val="20"/>
          <w:szCs w:val="18"/>
        </w:rPr>
        <w:t>faktoring</w:t>
      </w:r>
      <w:proofErr w:type="spellEnd"/>
      <w:r>
        <w:rPr>
          <w:rFonts w:asciiTheme="minorHAnsi" w:hAnsiTheme="minorHAnsi" w:cs="Arial"/>
          <w:sz w:val="20"/>
          <w:szCs w:val="18"/>
        </w:rPr>
        <w:t xml:space="preserve">. Od 1991 roku współpracuje z najbardziej liczącymi się producentami i dostawcami maszyn, urządzeń, pojazdów oraz innych środków trwałych. Firmę wyróżniono m.in. sześciokrotnie tytułem: Firmy Przyjaznej Klientowi i pięciokrotnie Finansowej Marki Roku. Już ponad 290 tysięcy klientów wybrało EFL na swojego partnera w biznesie. Więcej na: </w:t>
      </w:r>
      <w:hyperlink r:id="rId13" w:history="1">
        <w:r>
          <w:rPr>
            <w:rStyle w:val="Hipercze"/>
            <w:rFonts w:asciiTheme="minorHAnsi" w:hAnsiTheme="minorHAnsi" w:cs="Arial"/>
            <w:sz w:val="20"/>
            <w:szCs w:val="18"/>
          </w:rPr>
          <w:t>www.efl.pl</w:t>
        </w:r>
      </w:hyperlink>
      <w:r>
        <w:rPr>
          <w:rStyle w:val="Hipercze"/>
          <w:rFonts w:asciiTheme="minorHAnsi" w:hAnsiTheme="minorHAnsi" w:cs="Arial"/>
          <w:sz w:val="20"/>
          <w:szCs w:val="18"/>
        </w:rPr>
        <w:t>.</w:t>
      </w:r>
    </w:p>
    <w:p w:rsidR="00176B4C" w:rsidRDefault="00176B4C" w:rsidP="00176B4C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0"/>
          <w:szCs w:val="18"/>
        </w:rPr>
        <w:t xml:space="preserve">Grupa </w:t>
      </w:r>
      <w:proofErr w:type="spellStart"/>
      <w:r>
        <w:rPr>
          <w:rFonts w:asciiTheme="minorHAnsi" w:hAnsiTheme="minorHAnsi" w:cs="Arial"/>
          <w:b/>
          <w:sz w:val="20"/>
          <w:szCs w:val="18"/>
        </w:rPr>
        <w:t>Crédit</w:t>
      </w:r>
      <w:proofErr w:type="spellEnd"/>
      <w:r>
        <w:rPr>
          <w:rFonts w:asciiTheme="minorHAnsi" w:hAnsiTheme="minorHAnsi" w:cs="Arial"/>
          <w:b/>
          <w:bCs/>
          <w:color w:val="000000"/>
          <w:sz w:val="20"/>
          <w:szCs w:val="18"/>
        </w:rPr>
        <w:t xml:space="preserve"> Agricole SA </w:t>
      </w:r>
      <w:r>
        <w:rPr>
          <w:rFonts w:asciiTheme="minorHAnsi" w:hAnsiTheme="minorHAnsi" w:cs="Arial"/>
          <w:bCs/>
          <w:color w:val="000000"/>
          <w:sz w:val="20"/>
          <w:szCs w:val="18"/>
        </w:rPr>
        <w:t>debiutowała na polskim rynku finansowym w 2001 roku. Oferuje swoim klientom szeroką gamę rozwiązań finansowych w zakresie usług bankowych, leasingowych, ubezpieczeniowych i </w:t>
      </w:r>
      <w:proofErr w:type="spellStart"/>
      <w:r>
        <w:rPr>
          <w:rFonts w:asciiTheme="minorHAnsi" w:hAnsiTheme="minorHAnsi" w:cs="Arial"/>
          <w:bCs/>
          <w:color w:val="000000"/>
          <w:sz w:val="20"/>
          <w:szCs w:val="18"/>
        </w:rPr>
        <w:t>faktoringowych</w:t>
      </w:r>
      <w:proofErr w:type="spellEnd"/>
      <w:r>
        <w:rPr>
          <w:rFonts w:asciiTheme="minorHAnsi" w:hAnsiTheme="minorHAnsi" w:cs="Arial"/>
          <w:bCs/>
          <w:color w:val="000000"/>
          <w:sz w:val="20"/>
          <w:szCs w:val="18"/>
        </w:rPr>
        <w:t xml:space="preserve">. W skład grupy wchodzą między innymi </w:t>
      </w:r>
      <w:proofErr w:type="spellStart"/>
      <w:r>
        <w:rPr>
          <w:rFonts w:asciiTheme="minorHAnsi" w:hAnsiTheme="minorHAnsi" w:cs="Arial"/>
          <w:sz w:val="20"/>
          <w:szCs w:val="18"/>
        </w:rPr>
        <w:t>Crédit</w:t>
      </w:r>
      <w:proofErr w:type="spellEnd"/>
      <w:r>
        <w:rPr>
          <w:rFonts w:asciiTheme="minorHAnsi" w:hAnsiTheme="minorHAnsi" w:cs="Arial"/>
          <w:bCs/>
          <w:color w:val="000000"/>
          <w:sz w:val="20"/>
          <w:szCs w:val="18"/>
        </w:rPr>
        <w:t xml:space="preserve"> Agricole Bank Polska (dawny Lukas Bank), Grupa Europejskiego Funduszu Leasingowego (EFL, </w:t>
      </w:r>
      <w:proofErr w:type="spellStart"/>
      <w:r>
        <w:rPr>
          <w:rFonts w:asciiTheme="minorHAnsi" w:hAnsiTheme="minorHAnsi" w:cs="Arial"/>
          <w:bCs/>
          <w:color w:val="000000"/>
          <w:sz w:val="20"/>
          <w:szCs w:val="18"/>
        </w:rPr>
        <w:t>Carefleet</w:t>
      </w:r>
      <w:proofErr w:type="spellEnd"/>
      <w:r>
        <w:rPr>
          <w:rFonts w:asciiTheme="minorHAnsi" w:hAnsiTheme="minorHAnsi" w:cs="Arial"/>
          <w:bCs/>
          <w:color w:val="000000"/>
          <w:sz w:val="20"/>
          <w:szCs w:val="18"/>
        </w:rPr>
        <w:t xml:space="preserve">, EFL </w:t>
      </w:r>
      <w:r>
        <w:rPr>
          <w:rFonts w:asciiTheme="minorHAnsi" w:hAnsiTheme="minorHAnsi" w:cs="Arial"/>
          <w:bCs/>
          <w:color w:val="000000"/>
          <w:sz w:val="20"/>
          <w:szCs w:val="18"/>
        </w:rPr>
        <w:lastRenderedPageBreak/>
        <w:t xml:space="preserve">Finance, EFL Service, </w:t>
      </w:r>
      <w:proofErr w:type="spellStart"/>
      <w:r>
        <w:rPr>
          <w:rFonts w:asciiTheme="minorHAnsi" w:hAnsiTheme="minorHAnsi" w:cs="Arial"/>
          <w:bCs/>
          <w:color w:val="000000"/>
          <w:sz w:val="20"/>
          <w:szCs w:val="18"/>
        </w:rPr>
        <w:t>Eurofactor</w:t>
      </w:r>
      <w:proofErr w:type="spellEnd"/>
      <w:r>
        <w:rPr>
          <w:rFonts w:asciiTheme="minorHAnsi" w:hAnsiTheme="minorHAnsi" w:cs="Arial"/>
          <w:bCs/>
          <w:color w:val="000000"/>
          <w:sz w:val="20"/>
          <w:szCs w:val="18"/>
        </w:rPr>
        <w:t xml:space="preserve"> Polska SA), a także </w:t>
      </w:r>
      <w:proofErr w:type="spellStart"/>
      <w:r>
        <w:rPr>
          <w:rFonts w:asciiTheme="minorHAnsi" w:hAnsiTheme="minorHAnsi" w:cs="Arial"/>
          <w:sz w:val="20"/>
          <w:szCs w:val="18"/>
        </w:rPr>
        <w:t>Crédit</w:t>
      </w:r>
      <w:proofErr w:type="spellEnd"/>
      <w:r>
        <w:rPr>
          <w:rFonts w:asciiTheme="minorHAnsi" w:hAnsiTheme="minorHAnsi" w:cs="Arial"/>
          <w:bCs/>
          <w:color w:val="000000"/>
          <w:sz w:val="20"/>
          <w:szCs w:val="18"/>
        </w:rPr>
        <w:t xml:space="preserve"> Agricole Ubezpieczenia na Życie SA Więcej o Grupie CA Polska na </w:t>
      </w:r>
      <w:hyperlink r:id="rId14" w:history="1">
        <w:r>
          <w:rPr>
            <w:rStyle w:val="Hipercze"/>
            <w:rFonts w:asciiTheme="minorHAnsi" w:hAnsiTheme="minorHAnsi" w:cs="Arial"/>
            <w:bCs/>
            <w:sz w:val="20"/>
            <w:szCs w:val="18"/>
          </w:rPr>
          <w:t>www.ca-polska.com</w:t>
        </w:r>
      </w:hyperlink>
      <w:r>
        <w:rPr>
          <w:rStyle w:val="Hipercze"/>
          <w:rFonts w:asciiTheme="minorHAnsi" w:hAnsiTheme="minorHAnsi" w:cs="Arial"/>
          <w:bCs/>
          <w:sz w:val="20"/>
          <w:szCs w:val="18"/>
        </w:rPr>
        <w:t>.</w:t>
      </w:r>
    </w:p>
    <w:p w:rsidR="00F85F87" w:rsidRPr="00517DA6" w:rsidRDefault="00F85F87" w:rsidP="00176B4C">
      <w:pPr>
        <w:jc w:val="right"/>
        <w:rPr>
          <w:rFonts w:asciiTheme="minorHAnsi" w:hAnsiTheme="minorHAnsi"/>
          <w:b/>
        </w:rPr>
      </w:pPr>
    </w:p>
    <w:sectPr w:rsidR="00F85F87" w:rsidRPr="00517DA6" w:rsidSect="007C2F54">
      <w:headerReference w:type="default" r:id="rId15"/>
      <w:pgSz w:w="11906" w:h="16838" w:code="9"/>
      <w:pgMar w:top="2230" w:right="624" w:bottom="1985" w:left="62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E4F" w:rsidRDefault="00D00E4F">
      <w:r>
        <w:separator/>
      </w:r>
    </w:p>
  </w:endnote>
  <w:endnote w:type="continuationSeparator" w:id="0">
    <w:p w:rsidR="00D00E4F" w:rsidRDefault="00D00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(W1)"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E4F" w:rsidRDefault="00D00E4F">
      <w:r>
        <w:separator/>
      </w:r>
    </w:p>
  </w:footnote>
  <w:footnote w:type="continuationSeparator" w:id="0">
    <w:p w:rsidR="00D00E4F" w:rsidRDefault="00D00E4F">
      <w:r>
        <w:continuationSeparator/>
      </w:r>
    </w:p>
  </w:footnote>
  <w:footnote w:id="1">
    <w:p w:rsidR="00176B4C" w:rsidRPr="00176B4C" w:rsidRDefault="00176B4C" w:rsidP="00176B4C">
      <w:pPr>
        <w:pStyle w:val="Tekstprzypisudolnego"/>
        <w:jc w:val="both"/>
        <w:rPr>
          <w:rFonts w:asciiTheme="minorHAnsi" w:hAnsiTheme="minorHAnsi"/>
        </w:rPr>
      </w:pPr>
      <w:r w:rsidRPr="00176B4C">
        <w:rPr>
          <w:rStyle w:val="Odwoanieprzypisudolnego"/>
          <w:rFonts w:asciiTheme="minorHAnsi" w:hAnsiTheme="minorHAnsi"/>
        </w:rPr>
        <w:footnoteRef/>
      </w:r>
      <w:r w:rsidRPr="00176B4C">
        <w:rPr>
          <w:rFonts w:asciiTheme="minorHAnsi" w:hAnsiTheme="minorHAnsi"/>
        </w:rPr>
        <w:t xml:space="preserve"> Badanie satysfakcji Klientów EFL i konkurencji, zrealizowane przez instytut badawczy IQS Group, w okresie od lutego do kwietnia 2017 na próbie N=1525 Klientów EFL-a oraz  N=405 Klientów firm konkurencyjnych. Badanie było realizowane techniką wywiadów telefonicznych wspomaganych komputerowo (CATI).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022" w:rsidRDefault="009C7022">
    <w:pPr>
      <w:pStyle w:val="Nagwek"/>
    </w:pPr>
    <w:r>
      <w:rPr>
        <w:noProof/>
        <w:szCs w:val="20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2540</wp:posOffset>
          </wp:positionH>
          <wp:positionV relativeFrom="page">
            <wp:posOffset>0</wp:posOffset>
          </wp:positionV>
          <wp:extent cx="7554923" cy="10692000"/>
          <wp:effectExtent l="0" t="0" r="0" b="0"/>
          <wp:wrapNone/>
          <wp:docPr id="3" name="Obraz 3" descr="Mac HD:Users:tomasz.kornek:Desktop:EFL papier firmowy 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tomasz.kornek:Desktop:EFL papier firmowy b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923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F7D"/>
    <w:multiLevelType w:val="multilevel"/>
    <w:tmpl w:val="4C8AB5B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6113C"/>
    <w:multiLevelType w:val="hybridMultilevel"/>
    <w:tmpl w:val="56E85298"/>
    <w:lvl w:ilvl="0" w:tplc="27821E48">
      <w:start w:val="1"/>
      <w:numFmt w:val="decimal"/>
      <w:pStyle w:val="Tytuakapitu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F7D3F"/>
    <w:multiLevelType w:val="multilevel"/>
    <w:tmpl w:val="601C6E6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8303F6"/>
    <w:multiLevelType w:val="hybridMultilevel"/>
    <w:tmpl w:val="2CD43D24"/>
    <w:lvl w:ilvl="0" w:tplc="82E0447A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55916D88"/>
    <w:multiLevelType w:val="multilevel"/>
    <w:tmpl w:val="558EBAAC"/>
    <w:lvl w:ilvl="0">
      <w:start w:val="1"/>
      <w:numFmt w:val="bullet"/>
      <w:pStyle w:val="NormTekstnumerowanie"/>
      <w:lvlText w:val=""/>
      <w:lvlJc w:val="left"/>
      <w:pPr>
        <w:tabs>
          <w:tab w:val="num" w:pos="491"/>
        </w:tabs>
        <w:ind w:left="491" w:hanging="491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56234E92"/>
    <w:multiLevelType w:val="hybridMultilevel"/>
    <w:tmpl w:val="4C8AB5BE"/>
    <w:lvl w:ilvl="0" w:tplc="82E044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1" w:tplc="82E0447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9A6746"/>
    <w:multiLevelType w:val="multilevel"/>
    <w:tmpl w:val="52B8D12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E41971"/>
    <w:multiLevelType w:val="hybridMultilevel"/>
    <w:tmpl w:val="7EB68A8E"/>
    <w:lvl w:ilvl="0" w:tplc="82E0447A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907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9C7022"/>
    <w:rsid w:val="00025226"/>
    <w:rsid w:val="0003040A"/>
    <w:rsid w:val="00057A92"/>
    <w:rsid w:val="000718EA"/>
    <w:rsid w:val="000768E2"/>
    <w:rsid w:val="00080D83"/>
    <w:rsid w:val="000B082C"/>
    <w:rsid w:val="000C389B"/>
    <w:rsid w:val="000D7E66"/>
    <w:rsid w:val="000F16BF"/>
    <w:rsid w:val="000F36C0"/>
    <w:rsid w:val="000F3C21"/>
    <w:rsid w:val="0011154F"/>
    <w:rsid w:val="00153905"/>
    <w:rsid w:val="00165EBE"/>
    <w:rsid w:val="00166B04"/>
    <w:rsid w:val="00170471"/>
    <w:rsid w:val="00176B4C"/>
    <w:rsid w:val="00191F90"/>
    <w:rsid w:val="00195AF5"/>
    <w:rsid w:val="001A4673"/>
    <w:rsid w:val="001A4FCF"/>
    <w:rsid w:val="001C2AC6"/>
    <w:rsid w:val="001E0D8D"/>
    <w:rsid w:val="00220546"/>
    <w:rsid w:val="00220FE5"/>
    <w:rsid w:val="002634F6"/>
    <w:rsid w:val="00263D4A"/>
    <w:rsid w:val="00270B11"/>
    <w:rsid w:val="0027333A"/>
    <w:rsid w:val="00276046"/>
    <w:rsid w:val="002A14BF"/>
    <w:rsid w:val="002B0253"/>
    <w:rsid w:val="002C10EC"/>
    <w:rsid w:val="002C1AE0"/>
    <w:rsid w:val="002C7997"/>
    <w:rsid w:val="002D1C45"/>
    <w:rsid w:val="002E543B"/>
    <w:rsid w:val="002E6094"/>
    <w:rsid w:val="0030220E"/>
    <w:rsid w:val="0031350B"/>
    <w:rsid w:val="00332977"/>
    <w:rsid w:val="00340789"/>
    <w:rsid w:val="00353C88"/>
    <w:rsid w:val="00357AF0"/>
    <w:rsid w:val="00376B79"/>
    <w:rsid w:val="00377471"/>
    <w:rsid w:val="00380F5C"/>
    <w:rsid w:val="00383626"/>
    <w:rsid w:val="0038421F"/>
    <w:rsid w:val="0039118B"/>
    <w:rsid w:val="003A00E5"/>
    <w:rsid w:val="003B0BAD"/>
    <w:rsid w:val="003E5871"/>
    <w:rsid w:val="00401266"/>
    <w:rsid w:val="004013F2"/>
    <w:rsid w:val="00457EE4"/>
    <w:rsid w:val="0046598F"/>
    <w:rsid w:val="00485C5F"/>
    <w:rsid w:val="00490F85"/>
    <w:rsid w:val="00491DFC"/>
    <w:rsid w:val="004F2B1B"/>
    <w:rsid w:val="004F79F5"/>
    <w:rsid w:val="00502EC2"/>
    <w:rsid w:val="00517DA6"/>
    <w:rsid w:val="00523386"/>
    <w:rsid w:val="00527BD6"/>
    <w:rsid w:val="00527D75"/>
    <w:rsid w:val="005360A8"/>
    <w:rsid w:val="0059445C"/>
    <w:rsid w:val="00597F10"/>
    <w:rsid w:val="005B2E70"/>
    <w:rsid w:val="005B2EBA"/>
    <w:rsid w:val="005C67BF"/>
    <w:rsid w:val="005E5B67"/>
    <w:rsid w:val="005F4739"/>
    <w:rsid w:val="006025C0"/>
    <w:rsid w:val="00604A84"/>
    <w:rsid w:val="00605B3F"/>
    <w:rsid w:val="00613E27"/>
    <w:rsid w:val="00634165"/>
    <w:rsid w:val="00650DB8"/>
    <w:rsid w:val="006536FD"/>
    <w:rsid w:val="00656E79"/>
    <w:rsid w:val="00685125"/>
    <w:rsid w:val="006B4FBD"/>
    <w:rsid w:val="006B6B43"/>
    <w:rsid w:val="006C1D93"/>
    <w:rsid w:val="006E1312"/>
    <w:rsid w:val="00703FB7"/>
    <w:rsid w:val="00733671"/>
    <w:rsid w:val="00756738"/>
    <w:rsid w:val="00763E72"/>
    <w:rsid w:val="00772878"/>
    <w:rsid w:val="00782273"/>
    <w:rsid w:val="00782337"/>
    <w:rsid w:val="007B7431"/>
    <w:rsid w:val="007C2F54"/>
    <w:rsid w:val="007C4936"/>
    <w:rsid w:val="007D1146"/>
    <w:rsid w:val="007E1340"/>
    <w:rsid w:val="007F3D32"/>
    <w:rsid w:val="00802682"/>
    <w:rsid w:val="00823883"/>
    <w:rsid w:val="008252E9"/>
    <w:rsid w:val="00835519"/>
    <w:rsid w:val="0084711B"/>
    <w:rsid w:val="00866E96"/>
    <w:rsid w:val="008730A2"/>
    <w:rsid w:val="008772E3"/>
    <w:rsid w:val="008A2296"/>
    <w:rsid w:val="008B087E"/>
    <w:rsid w:val="008D5384"/>
    <w:rsid w:val="008E05F0"/>
    <w:rsid w:val="008E42B1"/>
    <w:rsid w:val="008E7F55"/>
    <w:rsid w:val="008F72E1"/>
    <w:rsid w:val="00906126"/>
    <w:rsid w:val="00910A57"/>
    <w:rsid w:val="0091225B"/>
    <w:rsid w:val="0091517D"/>
    <w:rsid w:val="00927DF0"/>
    <w:rsid w:val="0094654E"/>
    <w:rsid w:val="00967CB3"/>
    <w:rsid w:val="00971444"/>
    <w:rsid w:val="00976110"/>
    <w:rsid w:val="009767AD"/>
    <w:rsid w:val="009B3910"/>
    <w:rsid w:val="009C7022"/>
    <w:rsid w:val="009E33C5"/>
    <w:rsid w:val="009E5092"/>
    <w:rsid w:val="009F77C1"/>
    <w:rsid w:val="00A02823"/>
    <w:rsid w:val="00A23B98"/>
    <w:rsid w:val="00A76622"/>
    <w:rsid w:val="00A7692D"/>
    <w:rsid w:val="00A868F2"/>
    <w:rsid w:val="00AD56CD"/>
    <w:rsid w:val="00B168A0"/>
    <w:rsid w:val="00B35B27"/>
    <w:rsid w:val="00B41F05"/>
    <w:rsid w:val="00B448AC"/>
    <w:rsid w:val="00B47AC4"/>
    <w:rsid w:val="00B52EF4"/>
    <w:rsid w:val="00B6599D"/>
    <w:rsid w:val="00B749FE"/>
    <w:rsid w:val="00B77BC2"/>
    <w:rsid w:val="00B9248D"/>
    <w:rsid w:val="00BB0BD2"/>
    <w:rsid w:val="00BC0AF0"/>
    <w:rsid w:val="00BC3A04"/>
    <w:rsid w:val="00BC57EE"/>
    <w:rsid w:val="00BD369E"/>
    <w:rsid w:val="00BE3A8F"/>
    <w:rsid w:val="00C035D5"/>
    <w:rsid w:val="00C23E2D"/>
    <w:rsid w:val="00C442EA"/>
    <w:rsid w:val="00C53ECF"/>
    <w:rsid w:val="00C7030C"/>
    <w:rsid w:val="00C71C0D"/>
    <w:rsid w:val="00C728E6"/>
    <w:rsid w:val="00CA32C0"/>
    <w:rsid w:val="00CB1C4B"/>
    <w:rsid w:val="00CE3521"/>
    <w:rsid w:val="00CE352C"/>
    <w:rsid w:val="00D00E4F"/>
    <w:rsid w:val="00D02A24"/>
    <w:rsid w:val="00D15ADE"/>
    <w:rsid w:val="00D47DF7"/>
    <w:rsid w:val="00D55B32"/>
    <w:rsid w:val="00D655BF"/>
    <w:rsid w:val="00D65E40"/>
    <w:rsid w:val="00D71A1F"/>
    <w:rsid w:val="00DD0C47"/>
    <w:rsid w:val="00DF5C80"/>
    <w:rsid w:val="00E13E99"/>
    <w:rsid w:val="00E15655"/>
    <w:rsid w:val="00E376FF"/>
    <w:rsid w:val="00E44EAE"/>
    <w:rsid w:val="00E523D7"/>
    <w:rsid w:val="00E55B79"/>
    <w:rsid w:val="00EB00F6"/>
    <w:rsid w:val="00EB4761"/>
    <w:rsid w:val="00EC670C"/>
    <w:rsid w:val="00ED42D2"/>
    <w:rsid w:val="00ED554B"/>
    <w:rsid w:val="00EE2560"/>
    <w:rsid w:val="00F00C75"/>
    <w:rsid w:val="00F00E86"/>
    <w:rsid w:val="00F07195"/>
    <w:rsid w:val="00F21D93"/>
    <w:rsid w:val="00F21DA0"/>
    <w:rsid w:val="00F52179"/>
    <w:rsid w:val="00F54369"/>
    <w:rsid w:val="00F715F5"/>
    <w:rsid w:val="00F716DF"/>
    <w:rsid w:val="00F75C5F"/>
    <w:rsid w:val="00F85F87"/>
    <w:rsid w:val="00FA5154"/>
    <w:rsid w:val="00FA6D17"/>
    <w:rsid w:val="00FC2699"/>
    <w:rsid w:val="00FD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E-mail Signatur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30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448AC"/>
    <w:pPr>
      <w:keepNext/>
      <w:spacing w:before="240" w:after="60" w:line="36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35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E352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377471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link w:val="Tekstpodstawowy2"/>
    <w:semiHidden/>
    <w:locked/>
    <w:rsid w:val="00377471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377471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link w:val="Tekstpodstawowywcity"/>
    <w:semiHidden/>
    <w:locked/>
    <w:rsid w:val="00377471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5B2E70"/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rsid w:val="005B2E70"/>
    <w:rPr>
      <w:rFonts w:ascii="Tahoma" w:hAnsi="Tahoma" w:cs="Tahoma"/>
      <w:sz w:val="16"/>
      <w:szCs w:val="16"/>
    </w:rPr>
  </w:style>
  <w:style w:type="paragraph" w:customStyle="1" w:styleId="text">
    <w:name w:val="!text"/>
    <w:basedOn w:val="Normalny"/>
    <w:rsid w:val="00E13E99"/>
    <w:pPr>
      <w:keepLines/>
      <w:spacing w:line="360" w:lineRule="auto"/>
      <w:jc w:val="both"/>
    </w:pPr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650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locked/>
    <w:rsid w:val="00491DFC"/>
    <w:rPr>
      <w:rFonts w:eastAsia="Calibri"/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B448AC"/>
    <w:pPr>
      <w:spacing w:after="120"/>
    </w:pPr>
  </w:style>
  <w:style w:type="paragraph" w:styleId="Tytu">
    <w:name w:val="Title"/>
    <w:basedOn w:val="Normalny"/>
    <w:link w:val="TytuZnak"/>
    <w:qFormat/>
    <w:rsid w:val="00B448AC"/>
    <w:pPr>
      <w:spacing w:before="240" w:after="60" w:line="360" w:lineRule="auto"/>
      <w:jc w:val="both"/>
      <w:outlineLvl w:val="0"/>
    </w:pPr>
    <w:rPr>
      <w:rFonts w:ascii="Tahoma" w:eastAsia="Times New Roman" w:hAnsi="Tahoma" w:cs="Tahoma"/>
      <w:b/>
      <w:bCs/>
      <w:kern w:val="28"/>
      <w:szCs w:val="32"/>
      <w:lang w:val="en-US"/>
    </w:rPr>
  </w:style>
  <w:style w:type="character" w:customStyle="1" w:styleId="TytuZnak">
    <w:name w:val="Tytuł Znak"/>
    <w:link w:val="Tytu"/>
    <w:rsid w:val="00B448AC"/>
    <w:rPr>
      <w:rFonts w:ascii="Tahoma" w:hAnsi="Tahoma" w:cs="Tahoma"/>
      <w:b/>
      <w:bCs/>
      <w:kern w:val="28"/>
      <w:sz w:val="24"/>
      <w:szCs w:val="32"/>
      <w:lang w:val="en-US" w:eastAsia="pl-PL" w:bidi="ar-SA"/>
    </w:rPr>
  </w:style>
  <w:style w:type="paragraph" w:customStyle="1" w:styleId="Tabelka">
    <w:name w:val="Tabelka"/>
    <w:basedOn w:val="Normalny"/>
    <w:rsid w:val="00B448AC"/>
    <w:pPr>
      <w:spacing w:before="40" w:after="40" w:line="360" w:lineRule="auto"/>
      <w:jc w:val="both"/>
    </w:pPr>
    <w:rPr>
      <w:rFonts w:ascii="Tahoma" w:eastAsia="Times New Roman" w:hAnsi="Tahoma" w:cs="Tahoma"/>
      <w:snapToGrid w:val="0"/>
      <w:sz w:val="16"/>
      <w:szCs w:val="20"/>
    </w:rPr>
  </w:style>
  <w:style w:type="paragraph" w:customStyle="1" w:styleId="Tabelkanagwek">
    <w:name w:val="Tabelka_nagłówek"/>
    <w:basedOn w:val="Tabelka"/>
    <w:rsid w:val="00B448AC"/>
    <w:rPr>
      <w:b/>
      <w:bCs/>
    </w:rPr>
  </w:style>
  <w:style w:type="paragraph" w:customStyle="1" w:styleId="NormTekst">
    <w:name w:val="Norm Tekst"/>
    <w:basedOn w:val="Normalny"/>
    <w:autoRedefine/>
    <w:rsid w:val="00263D4A"/>
    <w:pPr>
      <w:spacing w:line="360" w:lineRule="auto"/>
      <w:jc w:val="both"/>
    </w:pPr>
    <w:rPr>
      <w:rFonts w:ascii="Arial" w:eastAsia="Times New Roman" w:hAnsi="Arial" w:cs="Arial"/>
    </w:rPr>
  </w:style>
  <w:style w:type="paragraph" w:customStyle="1" w:styleId="NormTekstbezwciecia">
    <w:name w:val="Norm Tekst bez wciecia"/>
    <w:basedOn w:val="NormTekst"/>
    <w:autoRedefine/>
    <w:rsid w:val="00B448AC"/>
  </w:style>
  <w:style w:type="paragraph" w:customStyle="1" w:styleId="Tytuakapitu1">
    <w:name w:val="Tytuł akapitu 1"/>
    <w:basedOn w:val="Normalny"/>
    <w:qFormat/>
    <w:rsid w:val="00B448AC"/>
    <w:pPr>
      <w:numPr>
        <w:numId w:val="1"/>
      </w:numPr>
      <w:spacing w:line="360" w:lineRule="auto"/>
      <w:jc w:val="both"/>
    </w:pPr>
    <w:rPr>
      <w:rFonts w:ascii="Verdana" w:hAnsi="Verdana"/>
      <w:b/>
      <w:sz w:val="32"/>
      <w:szCs w:val="22"/>
      <w:lang w:eastAsia="en-US"/>
    </w:rPr>
  </w:style>
  <w:style w:type="paragraph" w:customStyle="1" w:styleId="Tytupodrozdziaubeznumeru">
    <w:name w:val="Tytuł podrozdziału bez numeru"/>
    <w:basedOn w:val="Normalny"/>
    <w:autoRedefine/>
    <w:rsid w:val="00B448AC"/>
    <w:pPr>
      <w:spacing w:line="360" w:lineRule="auto"/>
      <w:jc w:val="both"/>
    </w:pPr>
    <w:rPr>
      <w:rFonts w:eastAsia="Times New Roman"/>
      <w:b/>
      <w:szCs w:val="20"/>
    </w:rPr>
  </w:style>
  <w:style w:type="paragraph" w:customStyle="1" w:styleId="Zawartotabeli">
    <w:name w:val="Zawartość tabeli"/>
    <w:basedOn w:val="NormTekst"/>
    <w:autoRedefine/>
    <w:rsid w:val="00B448AC"/>
    <w:pPr>
      <w:spacing w:line="240" w:lineRule="auto"/>
      <w:jc w:val="left"/>
    </w:pPr>
    <w:rPr>
      <w:iCs/>
      <w:sz w:val="20"/>
    </w:rPr>
  </w:style>
  <w:style w:type="paragraph" w:customStyle="1" w:styleId="NormTekstnumerowanie">
    <w:name w:val="Norm Tekst numerowanie"/>
    <w:basedOn w:val="NormTekst"/>
    <w:autoRedefine/>
    <w:rsid w:val="00971444"/>
    <w:pPr>
      <w:numPr>
        <w:numId w:val="2"/>
      </w:numPr>
      <w:spacing w:line="240" w:lineRule="auto"/>
    </w:pPr>
  </w:style>
  <w:style w:type="paragraph" w:customStyle="1" w:styleId="NormTekstbezwcicia">
    <w:name w:val="Norm Tekst bez wcięcia"/>
    <w:basedOn w:val="NormTekst"/>
    <w:autoRedefine/>
    <w:rsid w:val="006E1312"/>
    <w:pPr>
      <w:ind w:left="357"/>
    </w:pPr>
    <w:rPr>
      <w:sz w:val="20"/>
      <w:szCs w:val="20"/>
    </w:rPr>
  </w:style>
  <w:style w:type="character" w:customStyle="1" w:styleId="Nagwek1Znak">
    <w:name w:val="Nagłówek 1 Znak"/>
    <w:link w:val="Nagwek1"/>
    <w:rsid w:val="00B448AC"/>
    <w:rPr>
      <w:rFonts w:ascii="Cambria" w:hAnsi="Cambria"/>
      <w:b/>
      <w:bCs/>
      <w:kern w:val="32"/>
      <w:sz w:val="32"/>
      <w:szCs w:val="32"/>
      <w:lang w:val="pl-PL" w:eastAsia="en-US" w:bidi="ar-SA"/>
    </w:rPr>
  </w:style>
  <w:style w:type="paragraph" w:styleId="Spistreci1">
    <w:name w:val="toc 1"/>
    <w:basedOn w:val="Normalny"/>
    <w:next w:val="Normalny"/>
    <w:autoRedefine/>
    <w:unhideWhenUsed/>
    <w:rsid w:val="00B448AC"/>
    <w:pPr>
      <w:tabs>
        <w:tab w:val="left" w:pos="312"/>
        <w:tab w:val="left" w:pos="340"/>
        <w:tab w:val="left" w:pos="540"/>
        <w:tab w:val="decimal" w:leader="dot" w:pos="9062"/>
      </w:tabs>
      <w:jc w:val="both"/>
    </w:pPr>
    <w:rPr>
      <w:rFonts w:ascii="Times New (W1)" w:hAnsi="Times New (W1)"/>
      <w:szCs w:val="22"/>
      <w:lang w:eastAsia="en-US"/>
    </w:rPr>
  </w:style>
  <w:style w:type="character" w:styleId="Hipercze">
    <w:name w:val="Hyperlink"/>
    <w:unhideWhenUsed/>
    <w:rsid w:val="00B448AC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F85F8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85F87"/>
    <w:rPr>
      <w:rFonts w:ascii="Consolas" w:eastAsiaTheme="minorHAnsi" w:hAnsi="Consolas" w:cstheme="minorBidi"/>
      <w:sz w:val="21"/>
      <w:szCs w:val="21"/>
      <w:lang w:eastAsia="en-US"/>
    </w:rPr>
  </w:style>
  <w:style w:type="paragraph" w:styleId="Podpise-mail">
    <w:name w:val="E-mail Signature"/>
    <w:basedOn w:val="Normalny"/>
    <w:link w:val="Podpise-mailZnak"/>
    <w:uiPriority w:val="99"/>
    <w:unhideWhenUsed/>
    <w:rsid w:val="00F85F87"/>
    <w:rPr>
      <w:rFonts w:asciiTheme="minorHAnsi" w:eastAsiaTheme="minorEastAsia" w:hAnsiTheme="minorHAnsi" w:cstheme="minorBidi"/>
      <w:sz w:val="22"/>
      <w:szCs w:val="22"/>
    </w:rPr>
  </w:style>
  <w:style w:type="character" w:customStyle="1" w:styleId="Podpise-mailZnak">
    <w:name w:val="Podpis e-mail Znak"/>
    <w:basedOn w:val="Domylnaczcionkaakapitu"/>
    <w:link w:val="Podpise-mail"/>
    <w:uiPriority w:val="99"/>
    <w:rsid w:val="00F85F87"/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76B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6B4C"/>
    <w:rPr>
      <w:rFonts w:eastAsia="Calibri"/>
    </w:rPr>
  </w:style>
  <w:style w:type="character" w:styleId="Odwoanieprzypisudolnego">
    <w:name w:val="footnote reference"/>
    <w:unhideWhenUsed/>
    <w:rsid w:val="00176B4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30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448AC"/>
    <w:pPr>
      <w:keepNext/>
      <w:spacing w:before="240" w:after="60" w:line="36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377471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link w:val="Tekstpodstawowy2"/>
    <w:semiHidden/>
    <w:locked/>
    <w:rsid w:val="00377471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377471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link w:val="Tekstpodstawowywcity"/>
    <w:semiHidden/>
    <w:locked/>
    <w:rsid w:val="00377471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5B2E70"/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rsid w:val="005B2E70"/>
    <w:rPr>
      <w:rFonts w:ascii="Tahoma" w:hAnsi="Tahoma" w:cs="Tahoma"/>
      <w:sz w:val="16"/>
      <w:szCs w:val="16"/>
    </w:rPr>
  </w:style>
  <w:style w:type="paragraph" w:customStyle="1" w:styleId="text">
    <w:name w:val="!text"/>
    <w:basedOn w:val="Normalny"/>
    <w:rsid w:val="00E13E99"/>
    <w:pPr>
      <w:keepLines/>
      <w:spacing w:line="360" w:lineRule="auto"/>
      <w:jc w:val="both"/>
    </w:pPr>
    <w:rPr>
      <w:rFonts w:ascii="Arial" w:hAnsi="Arial" w:cs="Arial"/>
      <w:sz w:val="20"/>
      <w:szCs w:val="20"/>
    </w:rPr>
  </w:style>
  <w:style w:type="table" w:styleId="Siatkatabeli">
    <w:name w:val="Table Grid"/>
    <w:basedOn w:val="Standardowy"/>
    <w:rsid w:val="00650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locked/>
    <w:rsid w:val="00491DFC"/>
    <w:rPr>
      <w:rFonts w:eastAsia="Calibri"/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B448AC"/>
    <w:pPr>
      <w:spacing w:after="120"/>
    </w:pPr>
  </w:style>
  <w:style w:type="paragraph" w:styleId="Tytu">
    <w:name w:val="Title"/>
    <w:basedOn w:val="Normalny"/>
    <w:link w:val="TytuZnak"/>
    <w:qFormat/>
    <w:rsid w:val="00B448AC"/>
    <w:pPr>
      <w:spacing w:before="240" w:after="60" w:line="360" w:lineRule="auto"/>
      <w:jc w:val="both"/>
      <w:outlineLvl w:val="0"/>
    </w:pPr>
    <w:rPr>
      <w:rFonts w:ascii="Tahoma" w:eastAsia="Times New Roman" w:hAnsi="Tahoma" w:cs="Tahoma"/>
      <w:b/>
      <w:bCs/>
      <w:kern w:val="28"/>
      <w:szCs w:val="32"/>
      <w:lang w:val="en-US"/>
    </w:rPr>
  </w:style>
  <w:style w:type="character" w:customStyle="1" w:styleId="TytuZnak">
    <w:name w:val="Tytuł Znak"/>
    <w:link w:val="Tytu"/>
    <w:rsid w:val="00B448AC"/>
    <w:rPr>
      <w:rFonts w:ascii="Tahoma" w:hAnsi="Tahoma" w:cs="Tahoma"/>
      <w:b/>
      <w:bCs/>
      <w:kern w:val="28"/>
      <w:sz w:val="24"/>
      <w:szCs w:val="32"/>
      <w:lang w:val="en-US" w:eastAsia="pl-PL" w:bidi="ar-SA"/>
    </w:rPr>
  </w:style>
  <w:style w:type="paragraph" w:customStyle="1" w:styleId="Tabelka">
    <w:name w:val="Tabelka"/>
    <w:basedOn w:val="Normalny"/>
    <w:rsid w:val="00B448AC"/>
    <w:pPr>
      <w:spacing w:before="40" w:after="40" w:line="360" w:lineRule="auto"/>
      <w:jc w:val="both"/>
    </w:pPr>
    <w:rPr>
      <w:rFonts w:ascii="Tahoma" w:eastAsia="Times New Roman" w:hAnsi="Tahoma" w:cs="Tahoma"/>
      <w:snapToGrid w:val="0"/>
      <w:sz w:val="16"/>
      <w:szCs w:val="20"/>
    </w:rPr>
  </w:style>
  <w:style w:type="paragraph" w:customStyle="1" w:styleId="Tabelkanagwek">
    <w:name w:val="Tabelka_nagłówek"/>
    <w:basedOn w:val="Tabelka"/>
    <w:rsid w:val="00B448AC"/>
    <w:rPr>
      <w:b/>
      <w:bCs/>
    </w:rPr>
  </w:style>
  <w:style w:type="paragraph" w:customStyle="1" w:styleId="NormTekst">
    <w:name w:val="Norm Tekst"/>
    <w:basedOn w:val="Normalny"/>
    <w:autoRedefine/>
    <w:rsid w:val="00263D4A"/>
    <w:pPr>
      <w:spacing w:line="360" w:lineRule="auto"/>
      <w:jc w:val="both"/>
    </w:pPr>
    <w:rPr>
      <w:rFonts w:ascii="Arial" w:eastAsia="Times New Roman" w:hAnsi="Arial" w:cs="Arial"/>
    </w:rPr>
  </w:style>
  <w:style w:type="paragraph" w:customStyle="1" w:styleId="NormTekstbezwciecia">
    <w:name w:val="Norm Tekst bez wciecia"/>
    <w:basedOn w:val="NormTekst"/>
    <w:autoRedefine/>
    <w:rsid w:val="00B448AC"/>
  </w:style>
  <w:style w:type="paragraph" w:customStyle="1" w:styleId="Tytuakapitu1">
    <w:name w:val="Tytuł akapitu 1"/>
    <w:basedOn w:val="Normalny"/>
    <w:qFormat/>
    <w:rsid w:val="00B448AC"/>
    <w:pPr>
      <w:numPr>
        <w:numId w:val="1"/>
      </w:numPr>
      <w:spacing w:line="360" w:lineRule="auto"/>
      <w:jc w:val="both"/>
    </w:pPr>
    <w:rPr>
      <w:rFonts w:ascii="Verdana" w:hAnsi="Verdana"/>
      <w:b/>
      <w:sz w:val="32"/>
      <w:szCs w:val="22"/>
      <w:lang w:eastAsia="en-US"/>
    </w:rPr>
  </w:style>
  <w:style w:type="paragraph" w:customStyle="1" w:styleId="Tytupodrozdziaubeznumeru">
    <w:name w:val="Tytuł podrozdziału bez numeru"/>
    <w:basedOn w:val="Normalny"/>
    <w:autoRedefine/>
    <w:rsid w:val="00B448AC"/>
    <w:pPr>
      <w:spacing w:line="360" w:lineRule="auto"/>
      <w:jc w:val="both"/>
    </w:pPr>
    <w:rPr>
      <w:rFonts w:eastAsia="Times New Roman"/>
      <w:b/>
      <w:szCs w:val="20"/>
    </w:rPr>
  </w:style>
  <w:style w:type="paragraph" w:customStyle="1" w:styleId="Zawartotabeli">
    <w:name w:val="Zawartość tabeli"/>
    <w:basedOn w:val="NormTekst"/>
    <w:autoRedefine/>
    <w:rsid w:val="00B448AC"/>
    <w:pPr>
      <w:spacing w:line="240" w:lineRule="auto"/>
      <w:jc w:val="left"/>
    </w:pPr>
    <w:rPr>
      <w:iCs/>
      <w:sz w:val="20"/>
    </w:rPr>
  </w:style>
  <w:style w:type="paragraph" w:customStyle="1" w:styleId="NormTekstnumerowanie">
    <w:name w:val="Norm Tekst numerowanie"/>
    <w:basedOn w:val="NormTekst"/>
    <w:autoRedefine/>
    <w:rsid w:val="00971444"/>
    <w:pPr>
      <w:numPr>
        <w:numId w:val="2"/>
      </w:numPr>
      <w:spacing w:line="240" w:lineRule="auto"/>
    </w:pPr>
  </w:style>
  <w:style w:type="paragraph" w:customStyle="1" w:styleId="NormTekstbezwcicia">
    <w:name w:val="Norm Tekst bez wcięcia"/>
    <w:basedOn w:val="NormTekst"/>
    <w:autoRedefine/>
    <w:rsid w:val="006E1312"/>
    <w:pPr>
      <w:ind w:left="357"/>
    </w:pPr>
    <w:rPr>
      <w:sz w:val="20"/>
      <w:szCs w:val="20"/>
    </w:rPr>
  </w:style>
  <w:style w:type="character" w:customStyle="1" w:styleId="Nagwek1Znak">
    <w:name w:val="Nagłówek 1 Znak"/>
    <w:link w:val="Nagwek1"/>
    <w:rsid w:val="00B448AC"/>
    <w:rPr>
      <w:rFonts w:ascii="Cambria" w:hAnsi="Cambria"/>
      <w:b/>
      <w:bCs/>
      <w:kern w:val="32"/>
      <w:sz w:val="32"/>
      <w:szCs w:val="32"/>
      <w:lang w:val="pl-PL" w:eastAsia="en-US" w:bidi="ar-SA"/>
    </w:rPr>
  </w:style>
  <w:style w:type="paragraph" w:styleId="Spistreci1">
    <w:name w:val="toc 1"/>
    <w:basedOn w:val="Normalny"/>
    <w:next w:val="Normalny"/>
    <w:autoRedefine/>
    <w:unhideWhenUsed/>
    <w:rsid w:val="00B448AC"/>
    <w:pPr>
      <w:tabs>
        <w:tab w:val="left" w:pos="312"/>
        <w:tab w:val="left" w:pos="340"/>
        <w:tab w:val="left" w:pos="540"/>
        <w:tab w:val="decimal" w:leader="dot" w:pos="9062"/>
      </w:tabs>
      <w:jc w:val="both"/>
    </w:pPr>
    <w:rPr>
      <w:rFonts w:ascii="Times New (W1)" w:hAnsi="Times New (W1)"/>
      <w:szCs w:val="22"/>
      <w:lang w:eastAsia="en-US"/>
    </w:rPr>
  </w:style>
  <w:style w:type="character" w:styleId="Hipercze">
    <w:name w:val="Hyperlink"/>
    <w:unhideWhenUsed/>
    <w:rsid w:val="00B448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fl.pl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ja.lidke@efl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fl.pl/pl/obsluga-klienta/centrum-likwidacji-szkod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-polsk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ako\AppData\Local\Microsoft\Windows\Temporary%20Internet%20Files\Content.Outlook\8BC8PEA2\papier%20firmowy%2025%20la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23C6362C0D64A8EA9BBCE3467C3FA" ma:contentTypeVersion="1" ma:contentTypeDescription="Utwórz nowy dokument." ma:contentTypeScope="" ma:versionID="e278c82fb55b059082948336e2a5926c">
  <xsd:schema xmlns:xsd="http://www.w3.org/2001/XMLSchema" xmlns:xs="http://www.w3.org/2001/XMLSchema" xmlns:p="http://schemas.microsoft.com/office/2006/metadata/properties" xmlns:ns2="f9654d01-3c3b-4dd3-abec-1afffd83b5ce" targetNamespace="http://schemas.microsoft.com/office/2006/metadata/properties" ma:root="true" ma:fieldsID="231a1ae8981fb99cbaa102e510d84ee2" ns2:_="">
    <xsd:import namespace="f9654d01-3c3b-4dd3-abec-1afffd83b5ce"/>
    <xsd:element name="properties">
      <xsd:complexType>
        <xsd:sequence>
          <xsd:element name="documentManagement">
            <xsd:complexType>
              <xsd:all>
                <xsd:element ref="ns2:Rodza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54d01-3c3b-4dd3-abec-1afffd83b5ce" elementFormDefault="qualified">
    <xsd:import namespace="http://schemas.microsoft.com/office/2006/documentManagement/types"/>
    <xsd:import namespace="http://schemas.microsoft.com/office/infopath/2007/PartnerControls"/>
    <xsd:element name="Rodzaj" ma:index="8" nillable="true" ma:displayName="Rodzaj" ma:internalName="Rodza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9654d01-3c3b-4dd3-abec-1afffd83b5ce">Szablony dokumentów z logo</Rodzaj>
  </documentManagement>
</p:properties>
</file>

<file path=customXml/itemProps1.xml><?xml version="1.0" encoding="utf-8"?>
<ds:datastoreItem xmlns:ds="http://schemas.openxmlformats.org/officeDocument/2006/customXml" ds:itemID="{5FDC225D-482E-4FFE-9A90-D6F399293E9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B60C756-78C3-4720-AAE4-D29E29A9F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54d01-3c3b-4dd3-abec-1afffd83b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05014-BD8C-4BB8-9ACE-37210A905A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3DF2B8-F34F-40F7-A89A-136B321E151B}">
  <ds:schemaRefs>
    <ds:schemaRef ds:uri="http://schemas.microsoft.com/office/2006/metadata/properties"/>
    <ds:schemaRef ds:uri="http://schemas.microsoft.com/office/infopath/2007/PartnerControls"/>
    <ds:schemaRef ds:uri="f9654d01-3c3b-4dd3-abec-1afffd83b5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25 lat.dotx</Template>
  <TotalTime>8</TotalTime>
  <Pages>3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Fundusz Leasingowy SA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Kornek</dc:creator>
  <cp:lastModifiedBy>Użytkownik systemu Windows</cp:lastModifiedBy>
  <cp:revision>6</cp:revision>
  <cp:lastPrinted>2008-06-05T11:18:00Z</cp:lastPrinted>
  <dcterms:created xsi:type="dcterms:W3CDTF">2017-09-22T13:29:00Z</dcterms:created>
  <dcterms:modified xsi:type="dcterms:W3CDTF">2017-09-26T08:33:00Z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dzaj">
    <vt:lpwstr>Szablony dokumentów z logo</vt:lpwstr>
  </property>
  <property fmtid="{D5CDD505-2E9C-101B-9397-08002B2CF9AE}" pid="3" name="ContentTypeId">
    <vt:lpwstr>0x010100C2523C6362C0D64A8EA9BBCE3467C3FA</vt:lpwstr>
  </property>
</Properties>
</file>