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81" w:rsidRDefault="000A4B19" w:rsidP="00572D8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Newsletter </w:t>
      </w:r>
      <w:proofErr w:type="spellStart"/>
      <w:r>
        <w:rPr>
          <w:b/>
          <w:bCs/>
          <w:sz w:val="24"/>
          <w:szCs w:val="24"/>
        </w:rPr>
        <w:t>InfoDług</w:t>
      </w:r>
      <w:proofErr w:type="spellEnd"/>
      <w:r>
        <w:rPr>
          <w:b/>
          <w:bCs/>
          <w:sz w:val="24"/>
          <w:szCs w:val="24"/>
        </w:rPr>
        <w:t xml:space="preserve"> – Indeks Zaległych Płatności Polaków</w:t>
      </w:r>
      <w:r w:rsidR="00111D92">
        <w:rPr>
          <w:b/>
          <w:bCs/>
          <w:sz w:val="24"/>
          <w:szCs w:val="24"/>
        </w:rPr>
        <w:t xml:space="preserve"> (nr 5 wrzesień 2017)</w:t>
      </w:r>
    </w:p>
    <w:p w:rsidR="00111D92" w:rsidRDefault="00111D92" w:rsidP="00572D81">
      <w:pPr>
        <w:rPr>
          <w:b/>
          <w:bCs/>
          <w:sz w:val="24"/>
          <w:szCs w:val="24"/>
        </w:rPr>
      </w:pPr>
    </w:p>
    <w:p w:rsidR="00111D92" w:rsidRDefault="00111D92" w:rsidP="00572D81">
      <w:pPr>
        <w:rPr>
          <w:b/>
          <w:bCs/>
          <w:sz w:val="24"/>
          <w:szCs w:val="24"/>
        </w:rPr>
      </w:pPr>
      <w:r w:rsidRPr="00111D92">
        <w:rPr>
          <w:b/>
          <w:bCs/>
          <w:sz w:val="24"/>
          <w:szCs w:val="24"/>
        </w:rPr>
        <w:t>Spadł Indeks Zaległych Płatności Polaków. Najmniej problemów jest w województwach, w których przeważają mieszkańcy wsi.</w:t>
      </w:r>
    </w:p>
    <w:p w:rsidR="00A1784B" w:rsidRDefault="00A1784B" w:rsidP="00572D81">
      <w:pPr>
        <w:rPr>
          <w:b/>
          <w:bCs/>
          <w:sz w:val="24"/>
          <w:szCs w:val="24"/>
        </w:rPr>
      </w:pPr>
    </w:p>
    <w:p w:rsidR="00A1784B" w:rsidRPr="00A1784B" w:rsidRDefault="00A1784B" w:rsidP="00A1784B">
      <w:pPr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Spadł Indeks Zaległych Płatności Polaków. Najmniej problemów jest w województwach, w których przeważają mieszkańcy wsi. Indeks Zaległych Płatności Polaków obniżył się w II kwartale z 77,7 pkt do 76,8 pkt., co oznacza poprawę terminowych płatności konsumentów. Wskaźnik, wyliczany na podstawie danych z baz Rejestru Dłużników Biura Informacji Gospodarczej </w:t>
      </w:r>
      <w:proofErr w:type="spellStart"/>
      <w:r w:rsidRPr="00A1784B">
        <w:rPr>
          <w:bCs/>
          <w:sz w:val="24"/>
          <w:szCs w:val="24"/>
        </w:rPr>
        <w:t>InfoMonitor</w:t>
      </w:r>
      <w:proofErr w:type="spellEnd"/>
      <w:r w:rsidRPr="00A1784B">
        <w:rPr>
          <w:bCs/>
          <w:sz w:val="24"/>
          <w:szCs w:val="24"/>
        </w:rPr>
        <w:t xml:space="preserve"> oraz Biura Inform</w:t>
      </w:r>
      <w:r w:rsidR="00BC1198">
        <w:rPr>
          <w:bCs/>
          <w:sz w:val="24"/>
          <w:szCs w:val="24"/>
        </w:rPr>
        <w:t xml:space="preserve">acji Kredytowej, opisuje </w:t>
      </w:r>
      <w:bookmarkStart w:id="0" w:name="_GoBack"/>
      <w:bookmarkEnd w:id="0"/>
      <w:r w:rsidRPr="00A1784B">
        <w:rPr>
          <w:bCs/>
          <w:sz w:val="24"/>
          <w:szCs w:val="24"/>
        </w:rPr>
        <w:t xml:space="preserve">jaka liczba osób, nieradzących sobie z terminowym regulowaniem zobowiązań </w:t>
      </w:r>
      <w:proofErr w:type="spellStart"/>
      <w:r w:rsidRPr="00A1784B">
        <w:rPr>
          <w:bCs/>
          <w:sz w:val="24"/>
          <w:szCs w:val="24"/>
        </w:rPr>
        <w:t>pozakredytowych</w:t>
      </w:r>
      <w:proofErr w:type="spellEnd"/>
      <w:r w:rsidRPr="00A1784B">
        <w:rPr>
          <w:bCs/>
          <w:sz w:val="24"/>
          <w:szCs w:val="24"/>
        </w:rPr>
        <w:t xml:space="preserve"> oraz kredytowych przypada na 1000 dorosłych mieszkańców. Chodzi tu o opóźnienia wynoszące co najmniej 60 dni na kwotę min. 200 zł. </w:t>
      </w:r>
    </w:p>
    <w:p w:rsidR="00A1784B" w:rsidRPr="00A1784B" w:rsidRDefault="00A1784B" w:rsidP="00A1784B">
      <w:pPr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Z danych BIG </w:t>
      </w:r>
      <w:proofErr w:type="spellStart"/>
      <w:r w:rsidRPr="00A1784B">
        <w:rPr>
          <w:bCs/>
          <w:sz w:val="24"/>
          <w:szCs w:val="24"/>
        </w:rPr>
        <w:t>InfoMonitor</w:t>
      </w:r>
      <w:proofErr w:type="spellEnd"/>
      <w:r w:rsidRPr="00A1784B">
        <w:rPr>
          <w:bCs/>
          <w:sz w:val="24"/>
          <w:szCs w:val="24"/>
        </w:rPr>
        <w:t xml:space="preserve"> oraz BIK wynika, że konsumentów opóźniających spłatę różnego rodzaju rachunków oraz rat kredytowych, ubyło w II kwartale 2017 r. o 29,4 tys., jednak wartość zaległości </w:t>
      </w:r>
      <w:proofErr w:type="spellStart"/>
      <w:r w:rsidRPr="00A1784B">
        <w:rPr>
          <w:bCs/>
          <w:sz w:val="24"/>
          <w:szCs w:val="24"/>
        </w:rPr>
        <w:t>pozakredytowych</w:t>
      </w:r>
      <w:proofErr w:type="spellEnd"/>
      <w:r w:rsidRPr="00A1784B">
        <w:rPr>
          <w:bCs/>
          <w:sz w:val="24"/>
          <w:szCs w:val="24"/>
        </w:rPr>
        <w:t xml:space="preserve"> i kredytowych wzrosła w tym c</w:t>
      </w:r>
      <w:r>
        <w:rPr>
          <w:bCs/>
          <w:sz w:val="24"/>
          <w:szCs w:val="24"/>
        </w:rPr>
        <w:t>zasie o 2,52 mld zł (3,7 proc.)</w:t>
      </w:r>
      <w:r w:rsidRPr="00A1784B">
        <w:rPr>
          <w:bCs/>
          <w:sz w:val="24"/>
          <w:szCs w:val="24"/>
        </w:rPr>
        <w:t>do 58,18 mld zł.</w:t>
      </w:r>
    </w:p>
    <w:p w:rsidR="00A1784B" w:rsidRPr="00A1784B" w:rsidRDefault="00A1784B" w:rsidP="00A1784B">
      <w:pPr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Obecnie w obu bazach jest 2 417 113 niesolidnych dłużników, czyli o 1,2 proc. mniej niż na koniec marca 2017 r. </w:t>
      </w:r>
      <w:r>
        <w:rPr>
          <w:bCs/>
          <w:sz w:val="24"/>
          <w:szCs w:val="24"/>
        </w:rPr>
        <w:t xml:space="preserve">Sytuacja nie jest jednoznaczna, </w:t>
      </w:r>
      <w:r w:rsidRPr="00A1784B">
        <w:rPr>
          <w:bCs/>
          <w:sz w:val="24"/>
          <w:szCs w:val="24"/>
        </w:rPr>
        <w:t xml:space="preserve">zmniejszyła się bowiem liczba niepłacących zobowiązań kredytowych, wzrosła natomiast liczba osób z zaległościami </w:t>
      </w:r>
      <w:proofErr w:type="spellStart"/>
      <w:r w:rsidRPr="00A1784B">
        <w:rPr>
          <w:bCs/>
          <w:sz w:val="24"/>
          <w:szCs w:val="24"/>
        </w:rPr>
        <w:t>pozakredytowymi</w:t>
      </w:r>
      <w:proofErr w:type="spellEnd"/>
      <w:r w:rsidRPr="00A1784B">
        <w:rPr>
          <w:bCs/>
          <w:sz w:val="24"/>
          <w:szCs w:val="24"/>
        </w:rPr>
        <w:t xml:space="preserve">, w skład których wchodzą m.in. niezapłacone rachunki za telefon, </w:t>
      </w:r>
      <w:proofErr w:type="spellStart"/>
      <w:r w:rsidRPr="00A1784B">
        <w:rPr>
          <w:bCs/>
          <w:sz w:val="24"/>
          <w:szCs w:val="24"/>
        </w:rPr>
        <w:t>internet</w:t>
      </w:r>
      <w:proofErr w:type="spellEnd"/>
      <w:r w:rsidRPr="00A1784B">
        <w:rPr>
          <w:bCs/>
          <w:sz w:val="24"/>
          <w:szCs w:val="24"/>
        </w:rPr>
        <w:t>, telewizję kablową, raty pożyczek, alimenty, czynsze, kary za jazdę bez biletu czy też należności windykowane.</w:t>
      </w:r>
    </w:p>
    <w:p w:rsidR="00E23F5A" w:rsidRDefault="00E23F5A" w:rsidP="00572D81">
      <w:pPr>
        <w:rPr>
          <w:b/>
          <w:bCs/>
          <w:sz w:val="24"/>
          <w:szCs w:val="24"/>
        </w:rPr>
      </w:pPr>
    </w:p>
    <w:p w:rsidR="00A227F3" w:rsidRDefault="00A1784B" w:rsidP="007507A1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l-PL"/>
        </w:rPr>
        <w:drawing>
          <wp:inline distT="0" distB="0" distL="0" distR="0">
            <wp:extent cx="2662500" cy="31976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deksZaleglychPlatnosc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860" cy="319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pl-PL"/>
        </w:rPr>
        <w:drawing>
          <wp:inline distT="0" distB="0" distL="0" distR="0">
            <wp:extent cx="2743150" cy="313281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czbaOsobZaleglosc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65" cy="31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B2" w:rsidRDefault="008E38B2" w:rsidP="007507A1">
      <w:pPr>
        <w:jc w:val="both"/>
        <w:rPr>
          <w:bCs/>
          <w:sz w:val="24"/>
          <w:szCs w:val="24"/>
        </w:rPr>
      </w:pPr>
    </w:p>
    <w:p w:rsidR="0089160A" w:rsidRDefault="0089160A" w:rsidP="00AC3C83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>W II kwartale br., najbardziej zauważalnie ubyło niesolidnych dłużników w woj. kujawsko-pomorskim. Jest i</w:t>
      </w:r>
      <w:r>
        <w:rPr>
          <w:bCs/>
          <w:sz w:val="24"/>
          <w:szCs w:val="24"/>
        </w:rPr>
        <w:t xml:space="preserve">ch tam obecnie 96 osób na każde </w:t>
      </w:r>
      <w:r w:rsidRPr="00A1784B">
        <w:rPr>
          <w:bCs/>
          <w:sz w:val="24"/>
          <w:szCs w:val="24"/>
        </w:rPr>
        <w:t>1000 dorosłych mieszkańców wobec 101 – kwartał wcześniej. O jednego dłużnika mniej na każde 1000 dorosłych mieszkańców jest też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lastRenderedPageBreak/>
        <w:t>w województwach: łódzkim, lubuskim, lubelskim, małopolskim, podkarpackim, podlaskim, pomorskim, ś</w:t>
      </w:r>
      <w:r>
        <w:rPr>
          <w:bCs/>
          <w:sz w:val="24"/>
          <w:szCs w:val="24"/>
        </w:rPr>
        <w:t xml:space="preserve">ląskim oraz warmińsko-mazurskim </w:t>
      </w:r>
      <w:r w:rsidRPr="00A1784B">
        <w:rPr>
          <w:bCs/>
          <w:sz w:val="24"/>
          <w:szCs w:val="24"/>
        </w:rPr>
        <w:t>i zachodniopomorskim.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>Sytuacja pogorszyła się jednak na Dolnym Śląsku, gdzie statystycznie na 1000 dorosłych mieszkańców je</w:t>
      </w:r>
      <w:r>
        <w:rPr>
          <w:bCs/>
          <w:sz w:val="24"/>
          <w:szCs w:val="24"/>
        </w:rPr>
        <w:t xml:space="preserve">st 100 nierzetelnych dłużników, </w:t>
      </w:r>
      <w:r w:rsidRPr="00A1784B">
        <w:rPr>
          <w:bCs/>
          <w:sz w:val="24"/>
          <w:szCs w:val="24"/>
        </w:rPr>
        <w:t>zamiast 99 kwartał wcześniej, co oznacza, że co dziesiąty Dolnoślązak ma kłopoty z terminowym regulowanie</w:t>
      </w:r>
      <w:r>
        <w:rPr>
          <w:bCs/>
          <w:sz w:val="24"/>
          <w:szCs w:val="24"/>
        </w:rPr>
        <w:t xml:space="preserve">m zobowiązań. Aktualnie jeszcze </w:t>
      </w:r>
      <w:r w:rsidRPr="00A1784B">
        <w:rPr>
          <w:bCs/>
          <w:sz w:val="24"/>
          <w:szCs w:val="24"/>
        </w:rPr>
        <w:t xml:space="preserve">w dwu innych województwach Polacy mają kłopoty </w:t>
      </w:r>
      <w:r>
        <w:rPr>
          <w:rFonts w:cs="Calibri"/>
          <w:bCs/>
          <w:sz w:val="24"/>
          <w:szCs w:val="24"/>
        </w:rPr>
        <w:t>fi</w:t>
      </w:r>
      <w:r w:rsidRPr="00A1784B">
        <w:rPr>
          <w:bCs/>
          <w:sz w:val="24"/>
          <w:szCs w:val="24"/>
        </w:rPr>
        <w:t>nansowe na taką skalę, w zachodniopomorskim i lubuskim.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Cechą charakterystyczną trzech negatywnie wyróżniających się regionów jest bardzo wysoki udział </w:t>
      </w:r>
      <w:r>
        <w:rPr>
          <w:bCs/>
          <w:sz w:val="24"/>
          <w:szCs w:val="24"/>
        </w:rPr>
        <w:t xml:space="preserve">mieszkańców miast. Gdy w Polsce </w:t>
      </w:r>
      <w:r w:rsidRPr="00A1784B">
        <w:rPr>
          <w:bCs/>
          <w:sz w:val="24"/>
          <w:szCs w:val="24"/>
        </w:rPr>
        <w:t>w miastach mieszka 60 proc. osób, a na wsi 40 proc., w zachodniopomorskim i dolnośląskim niemal 7 na 10 mieszkańców województwa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>pochodzi z miast. Większy odsetek mieszkańców miast ma w Polsce jeszcze jedynie Śląsk – 77 proc. W lubuskim,</w:t>
      </w:r>
      <w:r>
        <w:rPr>
          <w:bCs/>
          <w:sz w:val="24"/>
          <w:szCs w:val="24"/>
        </w:rPr>
        <w:t xml:space="preserve"> które też wypada w zestawieniu </w:t>
      </w:r>
      <w:r w:rsidRPr="00A1784B">
        <w:rPr>
          <w:rFonts w:hint="eastAsia"/>
          <w:bCs/>
          <w:sz w:val="24"/>
          <w:szCs w:val="24"/>
        </w:rPr>
        <w:t>ź</w:t>
      </w:r>
      <w:r w:rsidRPr="00A1784B">
        <w:rPr>
          <w:bCs/>
          <w:sz w:val="24"/>
          <w:szCs w:val="24"/>
        </w:rPr>
        <w:t>le, mieszka w miastach 65 proc. osób, czyli nieco więcej niż wynoszą statystyki dla kraju.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rFonts w:hint="eastAsia"/>
          <w:bCs/>
          <w:i/>
          <w:sz w:val="24"/>
          <w:szCs w:val="24"/>
        </w:rPr>
        <w:t>–</w:t>
      </w:r>
      <w:r w:rsidRPr="00A1784B">
        <w:rPr>
          <w:bCs/>
          <w:i/>
          <w:sz w:val="24"/>
          <w:szCs w:val="24"/>
        </w:rPr>
        <w:t xml:space="preserve"> Z kolei na wschodzie i </w:t>
      </w:r>
      <w:proofErr w:type="spellStart"/>
      <w:r w:rsidRPr="00A1784B">
        <w:rPr>
          <w:bCs/>
          <w:i/>
          <w:sz w:val="24"/>
          <w:szCs w:val="24"/>
        </w:rPr>
        <w:t>południowym-wschodzie</w:t>
      </w:r>
      <w:proofErr w:type="spellEnd"/>
      <w:r w:rsidRPr="00A1784B">
        <w:rPr>
          <w:bCs/>
          <w:i/>
          <w:sz w:val="24"/>
          <w:szCs w:val="24"/>
        </w:rPr>
        <w:t xml:space="preserve">, gdzie w skali kraju największą cześć mieszkańców stanowią osoby z terenów wiejskich, odnotowujemy najmniejszy udział osób z problemami </w:t>
      </w:r>
      <w:r w:rsidRPr="00A1784B">
        <w:rPr>
          <w:rFonts w:cs="Calibri"/>
          <w:bCs/>
          <w:i/>
          <w:sz w:val="24"/>
          <w:szCs w:val="24"/>
        </w:rPr>
        <w:t>fi</w:t>
      </w:r>
      <w:r w:rsidRPr="00A1784B">
        <w:rPr>
          <w:bCs/>
          <w:i/>
          <w:sz w:val="24"/>
          <w:szCs w:val="24"/>
        </w:rPr>
        <w:t>nansowymi. W woj. lubelskim, podkarpackim, świętokrzyskim i małopolskim, mieszka na wsi od 52 do 59 proc. osób i udział niesolidnych dłużników jest tu o niemal połowę niższy niż w zurbanizowanej Polsce Zachodniej</w:t>
      </w:r>
      <w:r>
        <w:rPr>
          <w:bCs/>
          <w:sz w:val="24"/>
          <w:szCs w:val="24"/>
        </w:rPr>
        <w:t xml:space="preserve"> – mówi Sławomir </w:t>
      </w:r>
      <w:r w:rsidRPr="00A1784B">
        <w:rPr>
          <w:bCs/>
          <w:sz w:val="24"/>
          <w:szCs w:val="24"/>
        </w:rPr>
        <w:t xml:space="preserve">Grzelczak, prezes BIG </w:t>
      </w:r>
      <w:proofErr w:type="spellStart"/>
      <w:r w:rsidRPr="00A1784B">
        <w:rPr>
          <w:bCs/>
          <w:sz w:val="24"/>
          <w:szCs w:val="24"/>
        </w:rPr>
        <w:t>InfoMonitor</w:t>
      </w:r>
      <w:proofErr w:type="spellEnd"/>
      <w:r w:rsidRPr="00A1784B">
        <w:rPr>
          <w:bCs/>
          <w:sz w:val="24"/>
          <w:szCs w:val="24"/>
        </w:rPr>
        <w:t>.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>Wyjątek stanowi woj. podlaskie, gdzie mimo tego, że przeważają mieszkańcy miast, statystyki dotycząc</w:t>
      </w:r>
      <w:r>
        <w:rPr>
          <w:bCs/>
          <w:sz w:val="24"/>
          <w:szCs w:val="24"/>
        </w:rPr>
        <w:t xml:space="preserve">e liczby niesolidnych dłużników </w:t>
      </w:r>
      <w:r w:rsidRPr="00A1784B">
        <w:rPr>
          <w:bCs/>
          <w:sz w:val="24"/>
          <w:szCs w:val="24"/>
        </w:rPr>
        <w:t xml:space="preserve">przedstawiają region w bardzo dobrym świetle. Podobnie wyróżnia się jeszcze Mazowsze, choć mieszkańców miast jest tu więcej </w:t>
      </w:r>
      <w:r>
        <w:rPr>
          <w:bCs/>
          <w:sz w:val="24"/>
          <w:szCs w:val="24"/>
        </w:rPr>
        <w:t xml:space="preserve">niż przeciętnie </w:t>
      </w:r>
      <w:r w:rsidRPr="00A1784B">
        <w:rPr>
          <w:bCs/>
          <w:sz w:val="24"/>
          <w:szCs w:val="24"/>
        </w:rPr>
        <w:t xml:space="preserve">w kraju, to jednak odsetek osób z problemami </w:t>
      </w:r>
      <w:r>
        <w:rPr>
          <w:rFonts w:cs="Calibri"/>
          <w:bCs/>
          <w:sz w:val="24"/>
          <w:szCs w:val="24"/>
        </w:rPr>
        <w:t>fi</w:t>
      </w:r>
      <w:r w:rsidRPr="00A1784B">
        <w:rPr>
          <w:bCs/>
          <w:sz w:val="24"/>
          <w:szCs w:val="24"/>
        </w:rPr>
        <w:t>nansowymi jest niższy niż w Polsce.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i/>
          <w:sz w:val="24"/>
          <w:szCs w:val="24"/>
        </w:rPr>
      </w:pPr>
      <w:r w:rsidRPr="00A1784B">
        <w:rPr>
          <w:rFonts w:hint="eastAsia"/>
          <w:bCs/>
          <w:sz w:val="24"/>
          <w:szCs w:val="24"/>
        </w:rPr>
        <w:t>–</w:t>
      </w:r>
      <w:r w:rsidRPr="00A1784B">
        <w:rPr>
          <w:bCs/>
          <w:sz w:val="24"/>
          <w:szCs w:val="24"/>
        </w:rPr>
        <w:t xml:space="preserve"> </w:t>
      </w:r>
      <w:r w:rsidRPr="00A1784B">
        <w:rPr>
          <w:bCs/>
          <w:i/>
          <w:sz w:val="24"/>
          <w:szCs w:val="24"/>
        </w:rPr>
        <w:t>Nasze dane wyraźnie od lat pokazują różnice w moralności płatniczej pomiędzy bardziej zurbanizowaną Polską Zachodnią i w większym stopniu rolniczą Polską Wschodnią. Mieszkańcy Polski Zachodniej w zdecydowanej większości żyjący w miastach częściej niż mieszkańcy Polski Wschodniej sięgają po kredyty, biorą też na siebie chętniej inne zobowiązania. Jednocześnie widzimy, że ta większa otwartość na zadłużanie nakłada się</w:t>
      </w:r>
    </w:p>
    <w:p w:rsidR="000E00EF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i/>
          <w:sz w:val="24"/>
          <w:szCs w:val="24"/>
        </w:rPr>
        <w:t>na niższą solidność płatniczą</w:t>
      </w:r>
      <w:r w:rsidRPr="00A1784B">
        <w:rPr>
          <w:bCs/>
          <w:sz w:val="24"/>
          <w:szCs w:val="24"/>
        </w:rPr>
        <w:t xml:space="preserve"> – dodaje Sławomir Grzelczak.</w:t>
      </w:r>
    </w:p>
    <w:p w:rsid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A1784B" w:rsidRDefault="00A1784B" w:rsidP="00A1784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A1784B">
        <w:rPr>
          <w:b/>
          <w:bCs/>
          <w:sz w:val="24"/>
          <w:szCs w:val="24"/>
        </w:rPr>
        <w:t>Ważne liczby</w:t>
      </w:r>
    </w:p>
    <w:p w:rsidR="00A1784B" w:rsidRDefault="00A1784B" w:rsidP="00A1784B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Łączna kwota zaległych zobowiązań kredytowych i </w:t>
      </w:r>
      <w:proofErr w:type="spellStart"/>
      <w:r w:rsidRPr="00A1784B">
        <w:rPr>
          <w:bCs/>
          <w:sz w:val="24"/>
          <w:szCs w:val="24"/>
        </w:rPr>
        <w:t>pozakredytowych</w:t>
      </w:r>
      <w:proofErr w:type="spellEnd"/>
      <w:r w:rsidRPr="00A1784B">
        <w:rPr>
          <w:bCs/>
          <w:sz w:val="24"/>
          <w:szCs w:val="24"/>
        </w:rPr>
        <w:t xml:space="preserve"> na koniec czerwca 2017 r., wyniosła 58,18 mld zł. W stosunku do danych z końca I kwartału nieterminowe płatności Polaków odnotowane w Rejestrze Dłużników BIG </w:t>
      </w:r>
      <w:proofErr w:type="spellStart"/>
      <w:r w:rsidRPr="00A1784B">
        <w:rPr>
          <w:bCs/>
          <w:sz w:val="24"/>
          <w:szCs w:val="24"/>
        </w:rPr>
        <w:t>InfoMonitor</w:t>
      </w:r>
      <w:proofErr w:type="spellEnd"/>
      <w:r w:rsidRPr="00A1784B">
        <w:rPr>
          <w:bCs/>
          <w:sz w:val="24"/>
          <w:szCs w:val="24"/>
        </w:rPr>
        <w:t xml:space="preserve"> oraz w bazie Biura Informacji Kredytowej wzrosły o 2,52 mld zł, przede wszystkim z powodu zobowiązań </w:t>
      </w:r>
      <w:proofErr w:type="spellStart"/>
      <w:r w:rsidRPr="00A1784B">
        <w:rPr>
          <w:bCs/>
          <w:sz w:val="24"/>
          <w:szCs w:val="24"/>
        </w:rPr>
        <w:t>pozakredytowych</w:t>
      </w:r>
      <w:proofErr w:type="spellEnd"/>
      <w:r w:rsidRPr="00A1784B">
        <w:rPr>
          <w:bCs/>
          <w:sz w:val="24"/>
          <w:szCs w:val="24"/>
        </w:rPr>
        <w:t xml:space="preserve">, których przybyło 2,05 mld zł do 29,77 mld zł. Przeterminowane zobowiązania kredytowe zwiększyły się o 0,47 mld zł do 28,41 mld zł. W rezultacie po raz pierwszy w historii publikowania Raportu </w:t>
      </w:r>
      <w:proofErr w:type="spellStart"/>
      <w:r w:rsidRPr="00A1784B">
        <w:rPr>
          <w:bCs/>
          <w:sz w:val="24"/>
          <w:szCs w:val="24"/>
        </w:rPr>
        <w:t>InfoDług</w:t>
      </w:r>
      <w:proofErr w:type="spellEnd"/>
      <w:r w:rsidRPr="00A1784B">
        <w:rPr>
          <w:bCs/>
          <w:sz w:val="24"/>
          <w:szCs w:val="24"/>
        </w:rPr>
        <w:t xml:space="preserve"> wartość zaległości osób </w:t>
      </w:r>
      <w:r w:rsidR="004E4C7A">
        <w:rPr>
          <w:rFonts w:cs="Calibri"/>
          <w:bCs/>
          <w:sz w:val="24"/>
          <w:szCs w:val="24"/>
        </w:rPr>
        <w:t>fi</w:t>
      </w:r>
      <w:r w:rsidRPr="00A1784B">
        <w:rPr>
          <w:bCs/>
          <w:sz w:val="24"/>
          <w:szCs w:val="24"/>
        </w:rPr>
        <w:t xml:space="preserve">zycznych odnotowanych przez Rejestru Dłużników BIG </w:t>
      </w:r>
      <w:proofErr w:type="spellStart"/>
      <w:r w:rsidRPr="00A1784B">
        <w:rPr>
          <w:bCs/>
          <w:sz w:val="24"/>
          <w:szCs w:val="24"/>
        </w:rPr>
        <w:t>InfoMonitor</w:t>
      </w:r>
      <w:proofErr w:type="spellEnd"/>
      <w:r w:rsidRPr="00A1784B">
        <w:rPr>
          <w:bCs/>
          <w:sz w:val="24"/>
          <w:szCs w:val="24"/>
        </w:rPr>
        <w:t xml:space="preserve"> przewyższyła (ich udział wynosi</w:t>
      </w:r>
    </w:p>
    <w:p w:rsidR="00A1784B" w:rsidRPr="00A1784B" w:rsidRDefault="00A1784B" w:rsidP="00A1784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51 proc.) zaległości związane z kredytami, widoczne w Biurze Informacji Kredytowej. Taka sytuacja jest m. in. wynikiem dobrej jakości obsługi zobowiązań kredytowych. Odsetek liczby kredytów konsumpcyjnych opóźnionych w spłacie o 90 dni wynosi 11,7 proc., a mieszkaniowych 1,5 proc. Jednocześnie banki wyprzedają do funduszy sekurytyzacyjnych i </w:t>
      </w:r>
      <w:r w:rsidRPr="00A1784B">
        <w:rPr>
          <w:rFonts w:cs="Calibri"/>
          <w:bCs/>
          <w:sz w:val="24"/>
          <w:szCs w:val="24"/>
        </w:rPr>
        <w:t>fi</w:t>
      </w:r>
      <w:r w:rsidRPr="00A1784B">
        <w:rPr>
          <w:bCs/>
          <w:sz w:val="24"/>
          <w:szCs w:val="24"/>
        </w:rPr>
        <w:t xml:space="preserve">rm windykacyjnych portfele kredytów, które obsługiwane są nieregularnie. W pierwszym półroczu wartość nominalna sprzedanych portfeli kredytów konsumenckich i hipotecznych wyniosła 5,1 mld zł*. W efekcie Raport </w:t>
      </w:r>
      <w:proofErr w:type="spellStart"/>
      <w:r w:rsidRPr="00A1784B">
        <w:rPr>
          <w:bCs/>
          <w:sz w:val="24"/>
          <w:szCs w:val="24"/>
        </w:rPr>
        <w:t>InfoDług</w:t>
      </w:r>
      <w:proofErr w:type="spellEnd"/>
      <w:r w:rsidRPr="00A1784B">
        <w:rPr>
          <w:bCs/>
          <w:sz w:val="24"/>
          <w:szCs w:val="24"/>
        </w:rPr>
        <w:t xml:space="preserve"> traci z pola widzenia tych dłużników do momentu, aż zostaną zgłoszeni do BIG </w:t>
      </w:r>
      <w:proofErr w:type="spellStart"/>
      <w:r w:rsidRPr="00A1784B">
        <w:rPr>
          <w:bCs/>
          <w:sz w:val="24"/>
          <w:szCs w:val="24"/>
        </w:rPr>
        <w:t>InfoMonitor</w:t>
      </w:r>
      <w:proofErr w:type="spellEnd"/>
      <w:r w:rsidRPr="00A1784B">
        <w:rPr>
          <w:bCs/>
          <w:sz w:val="24"/>
          <w:szCs w:val="24"/>
        </w:rPr>
        <w:t xml:space="preserve"> przez </w:t>
      </w:r>
      <w:r w:rsidRPr="00A1784B">
        <w:rPr>
          <w:rFonts w:cs="Calibri"/>
          <w:bCs/>
          <w:sz w:val="24"/>
          <w:szCs w:val="24"/>
        </w:rPr>
        <w:t>fi</w:t>
      </w:r>
      <w:r w:rsidRPr="00A1784B">
        <w:rPr>
          <w:bCs/>
          <w:sz w:val="24"/>
          <w:szCs w:val="24"/>
        </w:rPr>
        <w:t>rmy windykacyjne.</w:t>
      </w:r>
    </w:p>
    <w:p w:rsidR="00614DF3" w:rsidRPr="00A1784B" w:rsidRDefault="00A1784B" w:rsidP="00D92F0F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37636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azneLiczb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738" w:rsidRDefault="00D22738" w:rsidP="00D92F0F">
      <w:pPr>
        <w:jc w:val="both"/>
        <w:rPr>
          <w:rFonts w:ascii="TimesNewRomanPS-ItalicMT-Identi" w:eastAsia="TimesNewRomanPS-ItalicMT-Identi" w:hAnsiTheme="minorHAnsi" w:cs="TimesNewRomanPS-ItalicMT-Identi"/>
          <w:i/>
          <w:iCs/>
          <w:sz w:val="20"/>
          <w:szCs w:val="20"/>
        </w:rPr>
      </w:pPr>
    </w:p>
    <w:p w:rsidR="00E2167C" w:rsidRDefault="00E2167C" w:rsidP="00D92F0F">
      <w:pPr>
        <w:jc w:val="both"/>
        <w:rPr>
          <w:bCs/>
          <w:sz w:val="24"/>
          <w:szCs w:val="24"/>
        </w:rPr>
      </w:pPr>
    </w:p>
    <w:p w:rsidR="00E2167C" w:rsidRDefault="00E2167C" w:rsidP="00D92F0F">
      <w:pPr>
        <w:jc w:val="both"/>
        <w:rPr>
          <w:bCs/>
          <w:sz w:val="24"/>
          <w:szCs w:val="24"/>
        </w:rPr>
      </w:pPr>
    </w:p>
    <w:p w:rsidR="00A1784B" w:rsidRPr="00A1784B" w:rsidRDefault="00A1784B" w:rsidP="00A1784B">
      <w:pPr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Liczba niesolidnych dłużników </w:t>
      </w:r>
      <w:proofErr w:type="spellStart"/>
      <w:r w:rsidRPr="00A1784B">
        <w:rPr>
          <w:bCs/>
          <w:sz w:val="24"/>
          <w:szCs w:val="24"/>
        </w:rPr>
        <w:t>pozakredytowych</w:t>
      </w:r>
      <w:proofErr w:type="spellEnd"/>
      <w:r w:rsidRPr="00A1784B">
        <w:rPr>
          <w:bCs/>
          <w:sz w:val="24"/>
          <w:szCs w:val="24"/>
        </w:rPr>
        <w:t xml:space="preserve"> w bazie BIG w II kwartale wzrosła o 34 tys. do 1 919 572 osób, natom</w:t>
      </w:r>
      <w:r>
        <w:rPr>
          <w:bCs/>
          <w:sz w:val="24"/>
          <w:szCs w:val="24"/>
        </w:rPr>
        <w:t xml:space="preserve">iast dłużników </w:t>
      </w:r>
      <w:r w:rsidRPr="00A1784B">
        <w:rPr>
          <w:bCs/>
          <w:sz w:val="24"/>
          <w:szCs w:val="24"/>
        </w:rPr>
        <w:t>niespłacających na czas rat kredytów widocznych w BIK ubyło o prawie 60 tys. do 974 457 osób. Łączna liczba Polaków posiadających zaległe</w:t>
      </w:r>
    </w:p>
    <w:p w:rsidR="00E2167C" w:rsidRDefault="00A1784B" w:rsidP="00A1784B">
      <w:pPr>
        <w:jc w:val="both"/>
        <w:rPr>
          <w:bCs/>
          <w:sz w:val="24"/>
          <w:szCs w:val="24"/>
        </w:rPr>
      </w:pPr>
      <w:r w:rsidRPr="00A1784B">
        <w:rPr>
          <w:bCs/>
          <w:sz w:val="24"/>
          <w:szCs w:val="24"/>
        </w:rPr>
        <w:t xml:space="preserve">płatności </w:t>
      </w:r>
      <w:proofErr w:type="spellStart"/>
      <w:r w:rsidRPr="00A1784B">
        <w:rPr>
          <w:bCs/>
          <w:sz w:val="24"/>
          <w:szCs w:val="24"/>
        </w:rPr>
        <w:t>pozakredytowe</w:t>
      </w:r>
      <w:proofErr w:type="spellEnd"/>
      <w:r w:rsidRPr="00A1784B">
        <w:rPr>
          <w:bCs/>
          <w:sz w:val="24"/>
          <w:szCs w:val="24"/>
        </w:rPr>
        <w:t xml:space="preserve"> i kredytowe wynosi 2 417 116 osób. Tym samym jest mniejsza niż łączna suma dłuż</w:t>
      </w:r>
      <w:r>
        <w:rPr>
          <w:bCs/>
          <w:sz w:val="24"/>
          <w:szCs w:val="24"/>
        </w:rPr>
        <w:t xml:space="preserve">ników BIG </w:t>
      </w:r>
      <w:proofErr w:type="spellStart"/>
      <w:r>
        <w:rPr>
          <w:bCs/>
          <w:sz w:val="24"/>
          <w:szCs w:val="24"/>
        </w:rPr>
        <w:t>InfoMonitor</w:t>
      </w:r>
      <w:proofErr w:type="spellEnd"/>
      <w:r>
        <w:rPr>
          <w:bCs/>
          <w:sz w:val="24"/>
          <w:szCs w:val="24"/>
        </w:rPr>
        <w:t xml:space="preserve"> oraz BIK, </w:t>
      </w:r>
      <w:r w:rsidRPr="00A1784B">
        <w:rPr>
          <w:bCs/>
          <w:sz w:val="24"/>
          <w:szCs w:val="24"/>
        </w:rPr>
        <w:t>a to dlatego, że prawie 477 tys. dłużników ma jednocześnie źle obsługiwane długi w obu bazach. Odsetek ta</w:t>
      </w:r>
      <w:r>
        <w:rPr>
          <w:bCs/>
          <w:sz w:val="24"/>
          <w:szCs w:val="24"/>
        </w:rPr>
        <w:t xml:space="preserve">kich osób systematycznie rośnie </w:t>
      </w:r>
      <w:r w:rsidRPr="00A1784B">
        <w:rPr>
          <w:bCs/>
          <w:sz w:val="24"/>
          <w:szCs w:val="24"/>
        </w:rPr>
        <w:t>i sięga już 20 proc. wobec 18 proc. przed rokiem. Najwięcej osób zmaga się jednocześnie z kłopotami kredyt</w:t>
      </w:r>
      <w:r>
        <w:rPr>
          <w:bCs/>
          <w:sz w:val="24"/>
          <w:szCs w:val="24"/>
        </w:rPr>
        <w:t xml:space="preserve">owym i </w:t>
      </w:r>
      <w:proofErr w:type="spellStart"/>
      <w:r>
        <w:rPr>
          <w:bCs/>
          <w:sz w:val="24"/>
          <w:szCs w:val="24"/>
        </w:rPr>
        <w:t>pozakredytowymi</w:t>
      </w:r>
      <w:proofErr w:type="spellEnd"/>
      <w:r>
        <w:rPr>
          <w:bCs/>
          <w:sz w:val="24"/>
          <w:szCs w:val="24"/>
        </w:rPr>
        <w:t xml:space="preserve"> w grupie </w:t>
      </w:r>
      <w:r w:rsidRPr="00A1784B">
        <w:rPr>
          <w:bCs/>
          <w:sz w:val="24"/>
          <w:szCs w:val="24"/>
        </w:rPr>
        <w:t>18–24-latków oraz wśród osób po 64 roku życia. Jest to odpowiednio prawie 24 i ponad 22 proc.</w:t>
      </w:r>
    </w:p>
    <w:p w:rsidR="0090362E" w:rsidRDefault="0090362E" w:rsidP="0090362E">
      <w:pPr>
        <w:jc w:val="both"/>
        <w:rPr>
          <w:bCs/>
          <w:sz w:val="24"/>
          <w:szCs w:val="24"/>
        </w:rPr>
      </w:pPr>
    </w:p>
    <w:p w:rsidR="0089160A" w:rsidRPr="00A1784B" w:rsidRDefault="00A1784B" w:rsidP="00A1784B">
      <w:pPr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 w:rsidRPr="00A1784B">
        <w:rPr>
          <w:sz w:val="20"/>
          <w:szCs w:val="20"/>
        </w:rPr>
        <w:t>Dane Kruk SA</w:t>
      </w:r>
    </w:p>
    <w:p w:rsidR="0089160A" w:rsidRDefault="0089160A" w:rsidP="0090362E">
      <w:pPr>
        <w:jc w:val="both"/>
        <w:rPr>
          <w:sz w:val="24"/>
          <w:szCs w:val="24"/>
        </w:rPr>
      </w:pPr>
    </w:p>
    <w:p w:rsidR="000A4B19" w:rsidRDefault="00C55DB7" w:rsidP="005325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Profil statystycznego dłużnika</w:t>
      </w:r>
    </w:p>
    <w:p w:rsidR="00C55DB7" w:rsidRDefault="00C55DB7" w:rsidP="0053257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033176" cy="338818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ofilDluznik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3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DB7" w:rsidRDefault="00C55DB7" w:rsidP="005325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Przeciętna zaległość w różnych grupach wiekowych</w:t>
      </w:r>
    </w:p>
    <w:p w:rsidR="00C55DB7" w:rsidRDefault="00C55DB7" w:rsidP="00532576">
      <w:pPr>
        <w:rPr>
          <w:b/>
          <w:bCs/>
          <w:sz w:val="24"/>
          <w:szCs w:val="24"/>
        </w:rPr>
      </w:pPr>
    </w:p>
    <w:p w:rsidR="00C55DB7" w:rsidRPr="00C55DB7" w:rsidRDefault="00C55DB7" w:rsidP="00C55DB7">
      <w:pPr>
        <w:jc w:val="both"/>
        <w:rPr>
          <w:bCs/>
          <w:sz w:val="24"/>
          <w:szCs w:val="24"/>
        </w:rPr>
      </w:pPr>
      <w:r w:rsidRPr="00C55DB7">
        <w:rPr>
          <w:bCs/>
          <w:sz w:val="24"/>
          <w:szCs w:val="24"/>
        </w:rPr>
        <w:t>Średnia wartość zaległości przypadająca na osobę w porównaniu z końcem marca wzrosła znacząco, bo o 1320 zł i wyniosła 24 070 zł. Jej wzrost odnotowaliśmy we wszystkich grupach wiekowych, największy o prawie 23 proc. wśród najmłodszych dłużników między</w:t>
      </w:r>
      <w:r>
        <w:rPr>
          <w:bCs/>
          <w:sz w:val="24"/>
          <w:szCs w:val="24"/>
        </w:rPr>
        <w:t xml:space="preserve"> </w:t>
      </w:r>
      <w:r w:rsidRPr="00C55DB7">
        <w:rPr>
          <w:bCs/>
          <w:sz w:val="24"/>
          <w:szCs w:val="24"/>
        </w:rPr>
        <w:t>18 a 24 rokiem życia z 4,5 do 5,55 tys. zł oraz u osób między 25 a 34 rokiem życia o 8 proc. do blisko 16 tys. zł. W najmniejszym stopniu wzrosły zaległości osób, które ukończyły 64 lata, ale średnia wysokość ich nieopłacanych w terminie zobowiązań jest już znacząca, wynosi 19,9 tys. zł. Najwyższa przeciętna zaległość, głównie ze względu na nieobsługiwane kredyty mieszkaniowe, przypada na osoby między 45 a 54 rokiem życia i sięga już prawie 32,4 tys. zł. Sporą przeciętną zaległość mają też 35–44-latkowie jest to bowiem 29,1 tys. zł.</w:t>
      </w:r>
    </w:p>
    <w:p w:rsidR="002023A8" w:rsidRPr="00C55DB7" w:rsidRDefault="002023A8" w:rsidP="00C55DB7">
      <w:pPr>
        <w:jc w:val="both"/>
        <w:rPr>
          <w:bCs/>
          <w:sz w:val="24"/>
          <w:szCs w:val="24"/>
        </w:rPr>
      </w:pPr>
    </w:p>
    <w:p w:rsidR="006A7B60" w:rsidRPr="00111D92" w:rsidRDefault="00C55DB7" w:rsidP="00111D92">
      <w:pPr>
        <w:jc w:val="both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6DEE6917" wp14:editId="6E42783C">
            <wp:extent cx="2814762" cy="27210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redniaZalegloscGrupyWiekow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04" cy="27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 wp14:anchorId="61BD18CC" wp14:editId="2E6D3E66">
            <wp:extent cx="2619404" cy="267006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redniaZalegloscOsob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23" cy="26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DB7" w:rsidRDefault="00C55DB7" w:rsidP="00C55DB7">
      <w:pPr>
        <w:jc w:val="both"/>
        <w:rPr>
          <w:bCs/>
          <w:sz w:val="24"/>
          <w:szCs w:val="24"/>
        </w:rPr>
      </w:pPr>
      <w:r w:rsidRPr="00C55DB7">
        <w:rPr>
          <w:bCs/>
          <w:sz w:val="24"/>
          <w:szCs w:val="24"/>
        </w:rPr>
        <w:t xml:space="preserve">Na wzrost przeciętnych niepłaconych przez Polaków w terminie zobowiązań, w największym stopniu, złożyły się zaległości, których wierzyciele dochodzili przed sądem i zgłosili je do BIG </w:t>
      </w:r>
      <w:proofErr w:type="spellStart"/>
      <w:r w:rsidRPr="00C55DB7">
        <w:rPr>
          <w:bCs/>
          <w:sz w:val="24"/>
          <w:szCs w:val="24"/>
        </w:rPr>
        <w:t>InfoMonitor</w:t>
      </w:r>
      <w:proofErr w:type="spellEnd"/>
      <w:r w:rsidRPr="00C55DB7">
        <w:rPr>
          <w:bCs/>
          <w:sz w:val="24"/>
          <w:szCs w:val="24"/>
        </w:rPr>
        <w:t xml:space="preserve"> na podstawie wyroku sądowego (wzrost o 11 proc. do 7,3 tys. zł), a także kredyty konsumpcyjne (o 7 proc. do 22,7 tys. zł) oraz kredyty mieszkaniowe (o 5 proc. do 225 tys. zł). Aż o 10 proc. stopniała natomiast przeciętna wartość zaległości wynikających z nieopłaconych kredytów w karcie kredytowej i na koncie osobistym. Nieznacznie obniżyły się też długi związane z rachunkami telefonicznymi oraz wierzytelnościami windykowanymi.</w:t>
      </w:r>
    </w:p>
    <w:p w:rsidR="00C55DB7" w:rsidRDefault="00C55DB7" w:rsidP="00C55DB7">
      <w:pPr>
        <w:jc w:val="both"/>
        <w:rPr>
          <w:bCs/>
          <w:sz w:val="24"/>
          <w:szCs w:val="24"/>
        </w:rPr>
      </w:pPr>
    </w:p>
    <w:p w:rsidR="00C55DB7" w:rsidRPr="00C55DB7" w:rsidRDefault="00C55DB7" w:rsidP="00C55DB7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l-PL"/>
        </w:rPr>
        <w:drawing>
          <wp:inline distT="0" distB="0" distL="0" distR="0">
            <wp:extent cx="3621921" cy="349857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redniaZalegloscPozakredytoweKredytoweGrupyWiekow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59" cy="35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DB7" w:rsidRDefault="00C55DB7" w:rsidP="00C55DB7">
      <w:pPr>
        <w:rPr>
          <w:b/>
          <w:bCs/>
          <w:sz w:val="24"/>
          <w:szCs w:val="24"/>
        </w:rPr>
      </w:pPr>
    </w:p>
    <w:p w:rsidR="00C55DB7" w:rsidRPr="00C55DB7" w:rsidRDefault="00C55DB7" w:rsidP="00C55DB7">
      <w:pPr>
        <w:jc w:val="both"/>
        <w:rPr>
          <w:bCs/>
          <w:sz w:val="24"/>
          <w:szCs w:val="24"/>
        </w:rPr>
      </w:pPr>
      <w:r w:rsidRPr="00C55DB7">
        <w:rPr>
          <w:bCs/>
          <w:sz w:val="24"/>
          <w:szCs w:val="24"/>
        </w:rPr>
        <w:t xml:space="preserve">Regułą jest, że w każdej grupie wiekowej średnia wartość zaległości kredytowej wynosi co najmniej dwa razy więcej niż zaległości </w:t>
      </w:r>
      <w:proofErr w:type="spellStart"/>
      <w:r w:rsidRPr="00C55DB7">
        <w:rPr>
          <w:bCs/>
          <w:sz w:val="24"/>
          <w:szCs w:val="24"/>
        </w:rPr>
        <w:t>pozakredytowej</w:t>
      </w:r>
      <w:proofErr w:type="spellEnd"/>
      <w:r w:rsidRPr="00C55DB7">
        <w:rPr>
          <w:bCs/>
          <w:sz w:val="24"/>
          <w:szCs w:val="24"/>
        </w:rPr>
        <w:t>. Wyjątek stanowią seniorzy (od 65 roku życia w górę), gdzie wartość niespłacanych w terminie zobowiązań kredytowych jest wyższa jedynie o jedną czwartą od nieopłaconych o czasie różnego rodzaju bieżących rachunków czy rat pożyczek. Dla najstarszej grupy wiekowej charakterystyczne jest, że większa część osób niż przeciętnie ma tu jednocześnie problemy z obsługą kredytów i bieżących płatności. Jest to 22 proc. wobec 20 proc. ogólnie. Ostatecznie jednak wśród osób w wieku 65 plus opóźnione płatności ma jedna osoba na dwadzieścia i jest to niewiele, bo 35–44-latek z nieopłaconymi w terminie zobowiązaniami tra</w:t>
      </w:r>
      <w:r w:rsidRPr="00C55DB7">
        <w:rPr>
          <w:rFonts w:cs="Calibri"/>
          <w:bCs/>
          <w:sz w:val="24"/>
          <w:szCs w:val="24"/>
        </w:rPr>
        <w:t>fi</w:t>
      </w:r>
      <w:r w:rsidRPr="00C55DB7">
        <w:rPr>
          <w:bCs/>
          <w:sz w:val="24"/>
          <w:szCs w:val="24"/>
        </w:rPr>
        <w:t>a się jeden na dziewięciu, a 45–54-latek jeden na jedenastu.</w:t>
      </w:r>
    </w:p>
    <w:p w:rsidR="0090362E" w:rsidRDefault="0090362E" w:rsidP="002023A8">
      <w:pPr>
        <w:rPr>
          <w:b/>
          <w:bCs/>
          <w:sz w:val="24"/>
          <w:szCs w:val="24"/>
        </w:rPr>
      </w:pPr>
    </w:p>
    <w:p w:rsidR="002023A8" w:rsidRDefault="00C55DB7" w:rsidP="002023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Rekordziści w województwach</w:t>
      </w:r>
    </w:p>
    <w:p w:rsidR="00C55DB7" w:rsidRDefault="00C55DB7" w:rsidP="002023A8">
      <w:pPr>
        <w:rPr>
          <w:b/>
          <w:bCs/>
          <w:sz w:val="24"/>
          <w:szCs w:val="24"/>
        </w:rPr>
      </w:pPr>
    </w:p>
    <w:p w:rsidR="00C55DB7" w:rsidRPr="00C55DB7" w:rsidRDefault="00C55DB7" w:rsidP="00C55DB7">
      <w:pPr>
        <w:jc w:val="both"/>
        <w:rPr>
          <w:bCs/>
          <w:sz w:val="24"/>
          <w:szCs w:val="24"/>
        </w:rPr>
      </w:pPr>
      <w:r w:rsidRPr="00C55DB7">
        <w:rPr>
          <w:bCs/>
          <w:sz w:val="24"/>
          <w:szCs w:val="24"/>
        </w:rPr>
        <w:t xml:space="preserve">Łączna kwota zaległości przedstawionych w poniższym zestawieniu największych wojewódzkich dłużników-rekordzistów przekroczyła obecnie 412,7 mln zł. Oznacza to, że 16 osób ma 0,7 proc. całej kwoty zaległości. W dalszym ciągu najwyższe niespłacone zobowiązania w bazach BIG </w:t>
      </w:r>
      <w:proofErr w:type="spellStart"/>
      <w:r w:rsidRPr="00C55DB7">
        <w:rPr>
          <w:bCs/>
          <w:sz w:val="24"/>
          <w:szCs w:val="24"/>
        </w:rPr>
        <w:t>InfoMonitor</w:t>
      </w:r>
      <w:proofErr w:type="spellEnd"/>
      <w:r w:rsidRPr="00C55DB7">
        <w:rPr>
          <w:bCs/>
          <w:sz w:val="24"/>
          <w:szCs w:val="24"/>
        </w:rPr>
        <w:t xml:space="preserve"> oraz BIK ma 67-letni mieszkaniec Mazowsza z długiem, którego wartość oscyluje w granicach 100 mln. Na drugim miejscu, także</w:t>
      </w:r>
      <w:r>
        <w:rPr>
          <w:bCs/>
          <w:sz w:val="24"/>
          <w:szCs w:val="24"/>
        </w:rPr>
        <w:t xml:space="preserve"> </w:t>
      </w:r>
      <w:r w:rsidRPr="00C55DB7">
        <w:rPr>
          <w:bCs/>
          <w:sz w:val="24"/>
          <w:szCs w:val="24"/>
        </w:rPr>
        <w:t>niezmiennie, znajduje się 61-letni mieszkaniec województwa lubelskiego z nieopłaconymi rachunkami i kredytami na ponad 64 mln zł. Trzecim rekordzistą jest mieszkaniec Dolnego Śląska z długiem 46 mln zł. Jedyna w zestawieniu kobieta znajduje się na 10 miejscu wśród rekordzistów wojewódzkich. Ma 57 lat, pochodzi z Małopolski i nie spłaciła prawie 20 mln zł.</w:t>
      </w:r>
    </w:p>
    <w:p w:rsidR="00C55DB7" w:rsidRPr="00C55DB7" w:rsidRDefault="00C55DB7" w:rsidP="00C55DB7">
      <w:pPr>
        <w:jc w:val="both"/>
        <w:rPr>
          <w:bCs/>
          <w:sz w:val="24"/>
          <w:szCs w:val="24"/>
        </w:rPr>
      </w:pPr>
    </w:p>
    <w:p w:rsidR="002023A8" w:rsidRDefault="002023A8" w:rsidP="002023A8">
      <w:pPr>
        <w:rPr>
          <w:b/>
          <w:bCs/>
          <w:sz w:val="24"/>
          <w:szCs w:val="24"/>
        </w:rPr>
      </w:pPr>
    </w:p>
    <w:p w:rsidR="002023A8" w:rsidRDefault="002023A8" w:rsidP="002023A8">
      <w:pPr>
        <w:rPr>
          <w:b/>
          <w:bCs/>
          <w:sz w:val="24"/>
          <w:szCs w:val="24"/>
        </w:rPr>
      </w:pPr>
    </w:p>
    <w:p w:rsidR="002023A8" w:rsidRPr="002023A8" w:rsidRDefault="002023A8" w:rsidP="002023A8">
      <w:pPr>
        <w:rPr>
          <w:b/>
          <w:bCs/>
          <w:sz w:val="24"/>
          <w:szCs w:val="24"/>
        </w:rPr>
      </w:pPr>
    </w:p>
    <w:p w:rsidR="002023A8" w:rsidRDefault="002023A8" w:rsidP="00532576">
      <w:pPr>
        <w:rPr>
          <w:b/>
          <w:bCs/>
          <w:sz w:val="24"/>
          <w:szCs w:val="24"/>
        </w:rPr>
      </w:pPr>
    </w:p>
    <w:p w:rsidR="006A7B60" w:rsidRDefault="00C55DB7" w:rsidP="0053257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326009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kordzisc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41" w:rsidRDefault="00F11A41" w:rsidP="00BC51D1">
      <w:pPr>
        <w:jc w:val="both"/>
        <w:rPr>
          <w:bCs/>
        </w:rPr>
      </w:pPr>
    </w:p>
    <w:p w:rsidR="00194D9F" w:rsidRDefault="000A4B19" w:rsidP="00532576">
      <w:pPr>
        <w:rPr>
          <w:b/>
          <w:bCs/>
          <w:sz w:val="24"/>
          <w:szCs w:val="24"/>
        </w:rPr>
      </w:pPr>
      <w:r w:rsidRPr="000A4B19">
        <w:rPr>
          <w:b/>
          <w:bCs/>
          <w:sz w:val="24"/>
          <w:szCs w:val="24"/>
        </w:rPr>
        <w:t>Ujęcie g</w:t>
      </w:r>
      <w:r w:rsidR="00F9279B">
        <w:rPr>
          <w:b/>
          <w:bCs/>
          <w:sz w:val="24"/>
          <w:szCs w:val="24"/>
        </w:rPr>
        <w:t>eograficzne średniego zadłużenia</w:t>
      </w:r>
    </w:p>
    <w:p w:rsidR="002023A8" w:rsidRPr="000A4B19" w:rsidRDefault="002023A8" w:rsidP="00532576">
      <w:pPr>
        <w:rPr>
          <w:b/>
          <w:bCs/>
          <w:sz w:val="24"/>
          <w:szCs w:val="24"/>
        </w:rPr>
      </w:pPr>
    </w:p>
    <w:p w:rsidR="0089160A" w:rsidRDefault="00C55DB7" w:rsidP="0090362E">
      <w:pPr>
        <w:jc w:val="both"/>
        <w:rPr>
          <w:bCs/>
        </w:rPr>
      </w:pPr>
      <w:r>
        <w:rPr>
          <w:bCs/>
          <w:noProof/>
          <w:lang w:eastAsia="pl-PL"/>
        </w:rPr>
        <w:drawing>
          <wp:inline distT="0" distB="0" distL="0" distR="0">
            <wp:extent cx="5052091" cy="324944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jecieGeograficz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579" cy="325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2E" w:rsidRDefault="0090362E" w:rsidP="0090362E">
      <w:pPr>
        <w:jc w:val="both"/>
        <w:rPr>
          <w:bCs/>
        </w:rPr>
      </w:pPr>
    </w:p>
    <w:p w:rsidR="0090362E" w:rsidRPr="00C55DB7" w:rsidRDefault="00C55DB7" w:rsidP="00C55DB7">
      <w:pPr>
        <w:jc w:val="both"/>
        <w:rPr>
          <w:bCs/>
          <w:sz w:val="24"/>
          <w:szCs w:val="24"/>
        </w:rPr>
      </w:pPr>
      <w:r w:rsidRPr="00C55DB7">
        <w:rPr>
          <w:bCs/>
          <w:sz w:val="24"/>
          <w:szCs w:val="24"/>
        </w:rPr>
        <w:t>Średnia wartość zaległości przypadająca na jednego niesolidnego dłużnika wynosi 24 070 zł. Kwota ta znacząco się różni w zależności od regionu. W czterech województwach przekracza średnią dla kraju: w mazowieckim, gdzie jest to już 32,35 tys. zł na dłużnika, zachodniopomorskim – 26,57 tys. zł, małopolskim – 26,4 tys. zł oraz w pomorskim – 24,94 tys. zł. Najmnie</w:t>
      </w:r>
      <w:r>
        <w:rPr>
          <w:bCs/>
          <w:sz w:val="24"/>
          <w:szCs w:val="24"/>
        </w:rPr>
        <w:t xml:space="preserve">jsze zaległości mają mieszkańcy </w:t>
      </w:r>
      <w:r w:rsidRPr="00C55DB7">
        <w:rPr>
          <w:bCs/>
          <w:sz w:val="24"/>
          <w:szCs w:val="24"/>
        </w:rPr>
        <w:t xml:space="preserve">woj. warmińsko-mazurskiego, opolskiego oraz świętokrzyskiego i lubuskiego, gdzie kwoty te nie przekraczają jeszcze 21 tys. zł. Na Warmii i Mazurach, gdzie problem z terminowym regulowaniem rat kredytów pożyczek czy też rachunków jest stosunkowo częsty, bo ma go 94 na 1000 dorosłych mieszkańców, kwota zaległości jest jednak najniższa w kraju i nie przekracza 20 tys. zł. Przeciwieństwem warmińsko-mazurskiego jest Małopolska, gdzie odsetek niesolidnych dłużników jest niemal dwa razy niższy, ale gdy ktoś ma już problemy </w:t>
      </w:r>
      <w:r w:rsidRPr="00C55DB7">
        <w:rPr>
          <w:rFonts w:cs="Calibri"/>
          <w:bCs/>
          <w:sz w:val="24"/>
          <w:szCs w:val="24"/>
        </w:rPr>
        <w:t>fi</w:t>
      </w:r>
      <w:r w:rsidRPr="00C55DB7">
        <w:rPr>
          <w:bCs/>
          <w:sz w:val="24"/>
          <w:szCs w:val="24"/>
        </w:rPr>
        <w:t>nansowe to na większe kwoty niż w pozostałych częściach Polski. Najgorzej na tle kraju prezentują się woj. zachodniopomorskie i pomorskie, gdzie niesolidnych dłużników jest więcej niż w większości pozostałych województw i kwoty, jakie mają do oddania przeciętni dłużnicy, są znaczące, bo przekraczają 25 tys. zł.</w:t>
      </w:r>
    </w:p>
    <w:p w:rsidR="002023A8" w:rsidRDefault="002023A8" w:rsidP="000A4B19">
      <w:pPr>
        <w:jc w:val="both"/>
        <w:rPr>
          <w:bCs/>
        </w:rPr>
      </w:pPr>
    </w:p>
    <w:p w:rsidR="00FD6C5B" w:rsidRDefault="00C55DB7">
      <w:pPr>
        <w:rPr>
          <w:b/>
          <w:sz w:val="24"/>
          <w:szCs w:val="24"/>
        </w:rPr>
      </w:pPr>
      <w:r w:rsidRPr="00C55DB7">
        <w:rPr>
          <w:b/>
          <w:sz w:val="24"/>
          <w:szCs w:val="24"/>
        </w:rPr>
        <w:t>Kwota zadłużenia i liczba dłużników w województwach</w:t>
      </w:r>
    </w:p>
    <w:p w:rsidR="00C55DB7" w:rsidRDefault="00C55DB7">
      <w:pPr>
        <w:rPr>
          <w:b/>
          <w:sz w:val="24"/>
          <w:szCs w:val="24"/>
        </w:rPr>
      </w:pPr>
    </w:p>
    <w:p w:rsidR="00C55DB7" w:rsidRPr="00C55DB7" w:rsidRDefault="00C55D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2576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abel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A8" w:rsidRPr="000A4B19" w:rsidRDefault="002023A8">
      <w:pPr>
        <w:rPr>
          <w:b/>
          <w:sz w:val="24"/>
          <w:szCs w:val="24"/>
        </w:rPr>
      </w:pPr>
    </w:p>
    <w:p w:rsidR="00C55DB7" w:rsidRDefault="00C55DB7" w:rsidP="0090362E">
      <w:pPr>
        <w:jc w:val="both"/>
        <w:rPr>
          <w:sz w:val="24"/>
          <w:szCs w:val="24"/>
        </w:rPr>
      </w:pPr>
    </w:p>
    <w:p w:rsidR="00C55DB7" w:rsidRDefault="00C55DB7" w:rsidP="00C55DB7">
      <w:pPr>
        <w:jc w:val="both"/>
        <w:rPr>
          <w:sz w:val="24"/>
          <w:szCs w:val="24"/>
        </w:rPr>
      </w:pPr>
      <w:r w:rsidRPr="00C55DB7">
        <w:rPr>
          <w:sz w:val="24"/>
          <w:szCs w:val="24"/>
        </w:rPr>
        <w:t>We wszystkich województwach wzrosła łączna wartość zaległości, mimo że w zdecydowanej większości spadła</w:t>
      </w:r>
      <w:r>
        <w:rPr>
          <w:sz w:val="24"/>
          <w:szCs w:val="24"/>
        </w:rPr>
        <w:t xml:space="preserve"> liczba niesolidnych dłużników. </w:t>
      </w:r>
      <w:r w:rsidRPr="00C55DB7">
        <w:rPr>
          <w:sz w:val="24"/>
          <w:szCs w:val="24"/>
        </w:rPr>
        <w:t>Na pierwszym miejscu pod względem niezapłaconej w terminie kwoty zobowiązań znajduje się nadal Mazowsze, którego łączna zaległość</w:t>
      </w:r>
      <w:r>
        <w:rPr>
          <w:sz w:val="24"/>
          <w:szCs w:val="24"/>
        </w:rPr>
        <w:t xml:space="preserve"> </w:t>
      </w:r>
      <w:r w:rsidRPr="00C55DB7">
        <w:rPr>
          <w:sz w:val="24"/>
          <w:szCs w:val="24"/>
        </w:rPr>
        <w:t>po wzroście o prawie 9 proc. zbliża się już do 10 mld zł (9,7 mld zł). Na drugim miejscu jest Śląsk, gdzie zaległo</w:t>
      </w:r>
      <w:r>
        <w:rPr>
          <w:sz w:val="24"/>
          <w:szCs w:val="24"/>
        </w:rPr>
        <w:t xml:space="preserve">ści chwilowo się ustabilizowały </w:t>
      </w:r>
      <w:r w:rsidRPr="00C55DB7">
        <w:rPr>
          <w:sz w:val="24"/>
          <w:szCs w:val="24"/>
        </w:rPr>
        <w:t>w granicach 7,7 mld zł. Na trzeciej i czwartej pozycji ze zbliżonym wynikiem około 5 mld zł nadal mieszczą się</w:t>
      </w:r>
      <w:r>
        <w:rPr>
          <w:sz w:val="24"/>
          <w:szCs w:val="24"/>
        </w:rPr>
        <w:t xml:space="preserve"> Dolny Śląsk oraz Wielkopolska. </w:t>
      </w:r>
      <w:r w:rsidRPr="00C55DB7">
        <w:rPr>
          <w:sz w:val="24"/>
          <w:szCs w:val="24"/>
        </w:rPr>
        <w:t>Zaległości mieszkańców dwóch ostatnich województw naszego niechlubnego rankingu – podlaskiego i opolskiego</w:t>
      </w:r>
      <w:r>
        <w:rPr>
          <w:sz w:val="24"/>
          <w:szCs w:val="24"/>
        </w:rPr>
        <w:t xml:space="preserve"> – nie przekroczyły 1,2 mld zł, </w:t>
      </w:r>
      <w:r w:rsidRPr="00C55DB7">
        <w:rPr>
          <w:sz w:val="24"/>
          <w:szCs w:val="24"/>
        </w:rPr>
        <w:t>mimo że sporo wzrosły, szczególnie na Podlasiu. Największy przyrost nieopłacanych w terminie zo</w:t>
      </w:r>
      <w:r>
        <w:rPr>
          <w:sz w:val="24"/>
          <w:szCs w:val="24"/>
        </w:rPr>
        <w:t xml:space="preserve">bowiązań nastąpił w II kwartale </w:t>
      </w:r>
      <w:r w:rsidRPr="00C55DB7">
        <w:rPr>
          <w:sz w:val="24"/>
          <w:szCs w:val="24"/>
        </w:rPr>
        <w:t>w woj. zachodniopomorskim – o ponad 10 proc., czyli 0,35 mld zł.</w:t>
      </w:r>
    </w:p>
    <w:p w:rsidR="0089160A" w:rsidRDefault="00C55DB7" w:rsidP="00C55DB7">
      <w:pPr>
        <w:jc w:val="both"/>
        <w:rPr>
          <w:sz w:val="24"/>
          <w:szCs w:val="24"/>
        </w:rPr>
      </w:pPr>
      <w:r w:rsidRPr="00C55DB7">
        <w:rPr>
          <w:sz w:val="24"/>
          <w:szCs w:val="24"/>
        </w:rPr>
        <w:t xml:space="preserve">Jeśli chodzi o liczbę niesolidnych dłużników wciąż dominuje Śląsk, gdzie 342,5 tys. osób ma problemy </w:t>
      </w:r>
      <w:r>
        <w:rPr>
          <w:sz w:val="24"/>
          <w:szCs w:val="24"/>
        </w:rPr>
        <w:t xml:space="preserve">z terminową obsługą zobowiązań, </w:t>
      </w:r>
      <w:r w:rsidRPr="00C55DB7">
        <w:rPr>
          <w:sz w:val="24"/>
          <w:szCs w:val="24"/>
        </w:rPr>
        <w:t>to o 42 tys. osób więcej niż w znajdującym się na drugim miejscu pod tym względem woj. mazowiec</w:t>
      </w:r>
      <w:r>
        <w:rPr>
          <w:sz w:val="24"/>
          <w:szCs w:val="24"/>
        </w:rPr>
        <w:t xml:space="preserve">kim i ponad 100 tys. więcej niż </w:t>
      </w:r>
      <w:r w:rsidRPr="00C55DB7">
        <w:rPr>
          <w:sz w:val="24"/>
          <w:szCs w:val="24"/>
        </w:rPr>
        <w:t>w woj. dolnośląskim, które jest trzecie w tej kategorii.</w:t>
      </w:r>
    </w:p>
    <w:p w:rsidR="0090362E" w:rsidRDefault="0090362E" w:rsidP="0090362E">
      <w:pPr>
        <w:jc w:val="both"/>
        <w:rPr>
          <w:sz w:val="24"/>
          <w:szCs w:val="24"/>
        </w:rPr>
      </w:pPr>
    </w:p>
    <w:p w:rsidR="002023A8" w:rsidRDefault="002023A8" w:rsidP="000A4B19">
      <w:pPr>
        <w:jc w:val="both"/>
        <w:rPr>
          <w:sz w:val="24"/>
          <w:szCs w:val="24"/>
        </w:rPr>
      </w:pPr>
    </w:p>
    <w:p w:rsidR="00A27EC7" w:rsidRPr="00C55DB7" w:rsidRDefault="006F6078" w:rsidP="002023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27EC7" w:rsidRPr="009248F6">
        <w:rPr>
          <w:sz w:val="20"/>
          <w:szCs w:val="20"/>
        </w:rPr>
        <w:t xml:space="preserve">Informacje przedstawione w publikacji pochodzą z Rejestru Dłużników BIG </w:t>
      </w:r>
      <w:proofErr w:type="spellStart"/>
      <w:r w:rsidR="00A27EC7" w:rsidRPr="009248F6">
        <w:rPr>
          <w:sz w:val="20"/>
          <w:szCs w:val="20"/>
        </w:rPr>
        <w:t>InfoMonitor</w:t>
      </w:r>
      <w:proofErr w:type="spellEnd"/>
      <w:r w:rsidR="00A27EC7" w:rsidRPr="009248F6">
        <w:rPr>
          <w:sz w:val="20"/>
          <w:szCs w:val="20"/>
        </w:rPr>
        <w:t xml:space="preserve"> oraz Biura Informacji Kredytowej. Dotyczą wyłącznie zaległości osób fizycznych na minimum 200 zł, przeterminowanych o co najmniej 60 dni. </w:t>
      </w:r>
      <w:r w:rsidR="007A7A7F">
        <w:rPr>
          <w:sz w:val="20"/>
          <w:szCs w:val="20"/>
        </w:rPr>
        <w:t>W</w:t>
      </w:r>
      <w:r w:rsidR="00FD6E2D">
        <w:rPr>
          <w:sz w:val="20"/>
          <w:szCs w:val="20"/>
        </w:rPr>
        <w:t xml:space="preserve"> aktualnym Newsletterze </w:t>
      </w:r>
      <w:proofErr w:type="spellStart"/>
      <w:r w:rsidR="009248F6" w:rsidRPr="009248F6">
        <w:rPr>
          <w:sz w:val="20"/>
          <w:szCs w:val="20"/>
        </w:rPr>
        <w:t>InfoDług</w:t>
      </w:r>
      <w:proofErr w:type="spellEnd"/>
      <w:r w:rsidR="009248F6" w:rsidRPr="009248F6">
        <w:rPr>
          <w:sz w:val="20"/>
          <w:szCs w:val="20"/>
        </w:rPr>
        <w:t xml:space="preserve"> materiał i wyliczenia oparte </w:t>
      </w:r>
      <w:r w:rsidR="00FD6E2D">
        <w:rPr>
          <w:sz w:val="20"/>
          <w:szCs w:val="20"/>
        </w:rPr>
        <w:t xml:space="preserve">są </w:t>
      </w:r>
      <w:r w:rsidR="009248F6" w:rsidRPr="009248F6">
        <w:rPr>
          <w:sz w:val="20"/>
          <w:szCs w:val="20"/>
        </w:rPr>
        <w:t xml:space="preserve">o dane z końca </w:t>
      </w:r>
      <w:r w:rsidR="00C55DB7">
        <w:rPr>
          <w:sz w:val="20"/>
          <w:szCs w:val="20"/>
        </w:rPr>
        <w:t>czerwca</w:t>
      </w:r>
      <w:r w:rsidR="00F93B41">
        <w:rPr>
          <w:sz w:val="20"/>
          <w:szCs w:val="20"/>
        </w:rPr>
        <w:t xml:space="preserve"> </w:t>
      </w:r>
      <w:r w:rsidR="00FD6E2D">
        <w:rPr>
          <w:sz w:val="20"/>
          <w:szCs w:val="20"/>
        </w:rPr>
        <w:t xml:space="preserve"> </w:t>
      </w:r>
      <w:r w:rsidR="004C5190">
        <w:rPr>
          <w:sz w:val="20"/>
          <w:szCs w:val="20"/>
        </w:rPr>
        <w:t xml:space="preserve"> </w:t>
      </w:r>
      <w:r w:rsidR="00F93B41">
        <w:rPr>
          <w:sz w:val="20"/>
          <w:szCs w:val="20"/>
        </w:rPr>
        <w:t>2017</w:t>
      </w:r>
      <w:r w:rsidR="009248F6" w:rsidRPr="009248F6">
        <w:rPr>
          <w:sz w:val="20"/>
          <w:szCs w:val="20"/>
        </w:rPr>
        <w:t xml:space="preserve"> r. </w:t>
      </w:r>
    </w:p>
    <w:sectPr w:rsidR="00A27EC7" w:rsidRPr="00C55DB7" w:rsidSect="002D2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A03" w:rsidRDefault="00AA1A03" w:rsidP="00A27EC7">
      <w:r>
        <w:separator/>
      </w:r>
    </w:p>
  </w:endnote>
  <w:endnote w:type="continuationSeparator" w:id="0">
    <w:p w:rsidR="00AA1A03" w:rsidRDefault="00AA1A03" w:rsidP="00A27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ItalicMT-Identi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A03" w:rsidRDefault="00AA1A03" w:rsidP="00A27EC7">
      <w:r>
        <w:separator/>
      </w:r>
    </w:p>
  </w:footnote>
  <w:footnote w:type="continuationSeparator" w:id="0">
    <w:p w:rsidR="00AA1A03" w:rsidRDefault="00AA1A03" w:rsidP="00A27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E2899"/>
    <w:multiLevelType w:val="hybridMultilevel"/>
    <w:tmpl w:val="73DE7A1C"/>
    <w:lvl w:ilvl="0" w:tplc="19DA4A00">
      <w:start w:val="5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1D2"/>
    <w:rsid w:val="000021B3"/>
    <w:rsid w:val="000023B4"/>
    <w:rsid w:val="000031C9"/>
    <w:rsid w:val="0000452A"/>
    <w:rsid w:val="00004F68"/>
    <w:rsid w:val="00006288"/>
    <w:rsid w:val="00007CF4"/>
    <w:rsid w:val="000120BC"/>
    <w:rsid w:val="000144A9"/>
    <w:rsid w:val="000149FF"/>
    <w:rsid w:val="000152A7"/>
    <w:rsid w:val="00015E91"/>
    <w:rsid w:val="00015EB9"/>
    <w:rsid w:val="00015F68"/>
    <w:rsid w:val="00016244"/>
    <w:rsid w:val="000209CF"/>
    <w:rsid w:val="0002230F"/>
    <w:rsid w:val="00022CB7"/>
    <w:rsid w:val="00023D68"/>
    <w:rsid w:val="000253CC"/>
    <w:rsid w:val="000264C3"/>
    <w:rsid w:val="0002682D"/>
    <w:rsid w:val="00027405"/>
    <w:rsid w:val="00031F71"/>
    <w:rsid w:val="00031FBD"/>
    <w:rsid w:val="000328BD"/>
    <w:rsid w:val="000333E5"/>
    <w:rsid w:val="00034159"/>
    <w:rsid w:val="00034F33"/>
    <w:rsid w:val="0003595C"/>
    <w:rsid w:val="000368BE"/>
    <w:rsid w:val="00037CFB"/>
    <w:rsid w:val="00037DC1"/>
    <w:rsid w:val="00040456"/>
    <w:rsid w:val="00040819"/>
    <w:rsid w:val="00042BB0"/>
    <w:rsid w:val="000437F5"/>
    <w:rsid w:val="0004392C"/>
    <w:rsid w:val="00044A0A"/>
    <w:rsid w:val="00044CB6"/>
    <w:rsid w:val="00046254"/>
    <w:rsid w:val="000468FB"/>
    <w:rsid w:val="00046A6A"/>
    <w:rsid w:val="000502E7"/>
    <w:rsid w:val="00050E1B"/>
    <w:rsid w:val="00050F53"/>
    <w:rsid w:val="00051586"/>
    <w:rsid w:val="00052D28"/>
    <w:rsid w:val="00053492"/>
    <w:rsid w:val="000536D1"/>
    <w:rsid w:val="0005429C"/>
    <w:rsid w:val="000547C8"/>
    <w:rsid w:val="00054877"/>
    <w:rsid w:val="00054DD7"/>
    <w:rsid w:val="0005600F"/>
    <w:rsid w:val="00056519"/>
    <w:rsid w:val="00056B36"/>
    <w:rsid w:val="0005796E"/>
    <w:rsid w:val="00060BD1"/>
    <w:rsid w:val="00060CD4"/>
    <w:rsid w:val="00061018"/>
    <w:rsid w:val="00061D3F"/>
    <w:rsid w:val="00061EA3"/>
    <w:rsid w:val="000623FA"/>
    <w:rsid w:val="000628DA"/>
    <w:rsid w:val="000633F0"/>
    <w:rsid w:val="0006370D"/>
    <w:rsid w:val="000638C6"/>
    <w:rsid w:val="00064ADF"/>
    <w:rsid w:val="000655F1"/>
    <w:rsid w:val="00065E98"/>
    <w:rsid w:val="00066A6B"/>
    <w:rsid w:val="00066C07"/>
    <w:rsid w:val="00066C52"/>
    <w:rsid w:val="00067374"/>
    <w:rsid w:val="00067BF8"/>
    <w:rsid w:val="00067FB3"/>
    <w:rsid w:val="000718E4"/>
    <w:rsid w:val="00071E56"/>
    <w:rsid w:val="000727D6"/>
    <w:rsid w:val="000728CB"/>
    <w:rsid w:val="00073481"/>
    <w:rsid w:val="000743AE"/>
    <w:rsid w:val="00074D90"/>
    <w:rsid w:val="00077AB1"/>
    <w:rsid w:val="00080ECD"/>
    <w:rsid w:val="00080FE6"/>
    <w:rsid w:val="00082404"/>
    <w:rsid w:val="00082684"/>
    <w:rsid w:val="00082D28"/>
    <w:rsid w:val="00082E76"/>
    <w:rsid w:val="00083AC0"/>
    <w:rsid w:val="00083D10"/>
    <w:rsid w:val="00085F7D"/>
    <w:rsid w:val="0008623F"/>
    <w:rsid w:val="00086B7F"/>
    <w:rsid w:val="00087D43"/>
    <w:rsid w:val="00090C36"/>
    <w:rsid w:val="00090E65"/>
    <w:rsid w:val="00091250"/>
    <w:rsid w:val="00091BED"/>
    <w:rsid w:val="0009270F"/>
    <w:rsid w:val="000928FE"/>
    <w:rsid w:val="00093036"/>
    <w:rsid w:val="000946F9"/>
    <w:rsid w:val="00094CA4"/>
    <w:rsid w:val="000956AC"/>
    <w:rsid w:val="0009682D"/>
    <w:rsid w:val="0009789B"/>
    <w:rsid w:val="000A0E4D"/>
    <w:rsid w:val="000A1CCE"/>
    <w:rsid w:val="000A2B57"/>
    <w:rsid w:val="000A4A2D"/>
    <w:rsid w:val="000A4A6A"/>
    <w:rsid w:val="000A4B19"/>
    <w:rsid w:val="000A5995"/>
    <w:rsid w:val="000A5A91"/>
    <w:rsid w:val="000A72E6"/>
    <w:rsid w:val="000B0061"/>
    <w:rsid w:val="000B210D"/>
    <w:rsid w:val="000B26A6"/>
    <w:rsid w:val="000B28B5"/>
    <w:rsid w:val="000B3D3F"/>
    <w:rsid w:val="000B5038"/>
    <w:rsid w:val="000B5B6C"/>
    <w:rsid w:val="000C07B2"/>
    <w:rsid w:val="000C0D4F"/>
    <w:rsid w:val="000C1278"/>
    <w:rsid w:val="000C18C6"/>
    <w:rsid w:val="000C1BF6"/>
    <w:rsid w:val="000C235A"/>
    <w:rsid w:val="000C290D"/>
    <w:rsid w:val="000C2B58"/>
    <w:rsid w:val="000C2EAD"/>
    <w:rsid w:val="000C3908"/>
    <w:rsid w:val="000C55F7"/>
    <w:rsid w:val="000C6879"/>
    <w:rsid w:val="000C7858"/>
    <w:rsid w:val="000C7E3E"/>
    <w:rsid w:val="000D0961"/>
    <w:rsid w:val="000D0B32"/>
    <w:rsid w:val="000D0E6B"/>
    <w:rsid w:val="000D0E9F"/>
    <w:rsid w:val="000D0F08"/>
    <w:rsid w:val="000D3F01"/>
    <w:rsid w:val="000D414F"/>
    <w:rsid w:val="000D535A"/>
    <w:rsid w:val="000D65A4"/>
    <w:rsid w:val="000D6947"/>
    <w:rsid w:val="000D6B00"/>
    <w:rsid w:val="000D6DF4"/>
    <w:rsid w:val="000E0096"/>
    <w:rsid w:val="000E00EF"/>
    <w:rsid w:val="000E069E"/>
    <w:rsid w:val="000E2F5E"/>
    <w:rsid w:val="000E3282"/>
    <w:rsid w:val="000E422D"/>
    <w:rsid w:val="000E4ADF"/>
    <w:rsid w:val="000E6598"/>
    <w:rsid w:val="000E6832"/>
    <w:rsid w:val="000E7AC6"/>
    <w:rsid w:val="000F0767"/>
    <w:rsid w:val="000F3199"/>
    <w:rsid w:val="000F4896"/>
    <w:rsid w:val="000F4A8D"/>
    <w:rsid w:val="000F4D7D"/>
    <w:rsid w:val="000F71B7"/>
    <w:rsid w:val="0010048C"/>
    <w:rsid w:val="00100896"/>
    <w:rsid w:val="001028F7"/>
    <w:rsid w:val="00102A15"/>
    <w:rsid w:val="0010321F"/>
    <w:rsid w:val="001035B7"/>
    <w:rsid w:val="001036F6"/>
    <w:rsid w:val="0010379C"/>
    <w:rsid w:val="00103B13"/>
    <w:rsid w:val="00105ECF"/>
    <w:rsid w:val="00106520"/>
    <w:rsid w:val="001067D8"/>
    <w:rsid w:val="00107017"/>
    <w:rsid w:val="001101A6"/>
    <w:rsid w:val="00111D92"/>
    <w:rsid w:val="00112C58"/>
    <w:rsid w:val="00112E1A"/>
    <w:rsid w:val="00113F96"/>
    <w:rsid w:val="0012043D"/>
    <w:rsid w:val="00120A39"/>
    <w:rsid w:val="00120BB2"/>
    <w:rsid w:val="001215C7"/>
    <w:rsid w:val="00121CB6"/>
    <w:rsid w:val="00121D85"/>
    <w:rsid w:val="00123689"/>
    <w:rsid w:val="00125EE7"/>
    <w:rsid w:val="001271C2"/>
    <w:rsid w:val="00130EB1"/>
    <w:rsid w:val="00131321"/>
    <w:rsid w:val="00131D5A"/>
    <w:rsid w:val="00132AC3"/>
    <w:rsid w:val="00132E8B"/>
    <w:rsid w:val="001338B1"/>
    <w:rsid w:val="00134013"/>
    <w:rsid w:val="001347FC"/>
    <w:rsid w:val="001348A7"/>
    <w:rsid w:val="00134C84"/>
    <w:rsid w:val="001351A9"/>
    <w:rsid w:val="001353CC"/>
    <w:rsid w:val="001354DF"/>
    <w:rsid w:val="0013588A"/>
    <w:rsid w:val="00135F92"/>
    <w:rsid w:val="00136223"/>
    <w:rsid w:val="001369A5"/>
    <w:rsid w:val="00136E05"/>
    <w:rsid w:val="00137796"/>
    <w:rsid w:val="0013786E"/>
    <w:rsid w:val="0014024F"/>
    <w:rsid w:val="001408AF"/>
    <w:rsid w:val="00141C7D"/>
    <w:rsid w:val="001437AE"/>
    <w:rsid w:val="00144956"/>
    <w:rsid w:val="00145DAB"/>
    <w:rsid w:val="0014637D"/>
    <w:rsid w:val="0015073C"/>
    <w:rsid w:val="00150ACC"/>
    <w:rsid w:val="001519DD"/>
    <w:rsid w:val="00151AA5"/>
    <w:rsid w:val="00152256"/>
    <w:rsid w:val="0015275D"/>
    <w:rsid w:val="00153340"/>
    <w:rsid w:val="00155ACE"/>
    <w:rsid w:val="00156263"/>
    <w:rsid w:val="00156FFB"/>
    <w:rsid w:val="00157056"/>
    <w:rsid w:val="001603A3"/>
    <w:rsid w:val="00160862"/>
    <w:rsid w:val="00160C9D"/>
    <w:rsid w:val="00161FF6"/>
    <w:rsid w:val="00162CA0"/>
    <w:rsid w:val="0016436E"/>
    <w:rsid w:val="00164B44"/>
    <w:rsid w:val="00164C35"/>
    <w:rsid w:val="0016546B"/>
    <w:rsid w:val="00166770"/>
    <w:rsid w:val="00166855"/>
    <w:rsid w:val="0016703C"/>
    <w:rsid w:val="0016722F"/>
    <w:rsid w:val="001716BC"/>
    <w:rsid w:val="00171E40"/>
    <w:rsid w:val="00172249"/>
    <w:rsid w:val="001756A9"/>
    <w:rsid w:val="00176354"/>
    <w:rsid w:val="00176744"/>
    <w:rsid w:val="001777FF"/>
    <w:rsid w:val="00180181"/>
    <w:rsid w:val="00181E15"/>
    <w:rsid w:val="00182F7F"/>
    <w:rsid w:val="0018480C"/>
    <w:rsid w:val="001879D8"/>
    <w:rsid w:val="00192E0D"/>
    <w:rsid w:val="00192FBE"/>
    <w:rsid w:val="0019302D"/>
    <w:rsid w:val="0019334F"/>
    <w:rsid w:val="00194D9F"/>
    <w:rsid w:val="001951E8"/>
    <w:rsid w:val="00195FA0"/>
    <w:rsid w:val="001969CF"/>
    <w:rsid w:val="001A08CC"/>
    <w:rsid w:val="001A24EB"/>
    <w:rsid w:val="001A2C25"/>
    <w:rsid w:val="001A3D17"/>
    <w:rsid w:val="001A5084"/>
    <w:rsid w:val="001A5A23"/>
    <w:rsid w:val="001A6456"/>
    <w:rsid w:val="001A6C41"/>
    <w:rsid w:val="001B0543"/>
    <w:rsid w:val="001B2A11"/>
    <w:rsid w:val="001B4242"/>
    <w:rsid w:val="001B633C"/>
    <w:rsid w:val="001B74E3"/>
    <w:rsid w:val="001C0F7D"/>
    <w:rsid w:val="001C35FF"/>
    <w:rsid w:val="001C4078"/>
    <w:rsid w:val="001C410F"/>
    <w:rsid w:val="001C44D4"/>
    <w:rsid w:val="001C5408"/>
    <w:rsid w:val="001C5BFF"/>
    <w:rsid w:val="001D0760"/>
    <w:rsid w:val="001D0AC0"/>
    <w:rsid w:val="001D22A6"/>
    <w:rsid w:val="001D2549"/>
    <w:rsid w:val="001D3611"/>
    <w:rsid w:val="001D4604"/>
    <w:rsid w:val="001D490C"/>
    <w:rsid w:val="001D68E2"/>
    <w:rsid w:val="001D7F6D"/>
    <w:rsid w:val="001E13C9"/>
    <w:rsid w:val="001E208A"/>
    <w:rsid w:val="001E3E5F"/>
    <w:rsid w:val="001E5549"/>
    <w:rsid w:val="001E5A01"/>
    <w:rsid w:val="001E6460"/>
    <w:rsid w:val="001E696A"/>
    <w:rsid w:val="001E697D"/>
    <w:rsid w:val="001F072F"/>
    <w:rsid w:val="001F13EA"/>
    <w:rsid w:val="001F1749"/>
    <w:rsid w:val="001F1BDB"/>
    <w:rsid w:val="001F2210"/>
    <w:rsid w:val="001F2A9D"/>
    <w:rsid w:val="001F4D8C"/>
    <w:rsid w:val="001F6219"/>
    <w:rsid w:val="001F7374"/>
    <w:rsid w:val="001F7A8B"/>
    <w:rsid w:val="00201169"/>
    <w:rsid w:val="00201F73"/>
    <w:rsid w:val="002023A8"/>
    <w:rsid w:val="00202B21"/>
    <w:rsid w:val="00203736"/>
    <w:rsid w:val="00203759"/>
    <w:rsid w:val="00206136"/>
    <w:rsid w:val="00207A29"/>
    <w:rsid w:val="0021144F"/>
    <w:rsid w:val="0021230F"/>
    <w:rsid w:val="00212453"/>
    <w:rsid w:val="002126A7"/>
    <w:rsid w:val="00213456"/>
    <w:rsid w:val="002150F3"/>
    <w:rsid w:val="00217271"/>
    <w:rsid w:val="002206B0"/>
    <w:rsid w:val="00220DAC"/>
    <w:rsid w:val="0022189B"/>
    <w:rsid w:val="00221CA6"/>
    <w:rsid w:val="0022258E"/>
    <w:rsid w:val="002238BA"/>
    <w:rsid w:val="0022551C"/>
    <w:rsid w:val="0022597D"/>
    <w:rsid w:val="00226BC3"/>
    <w:rsid w:val="0023005F"/>
    <w:rsid w:val="00230A23"/>
    <w:rsid w:val="00230A4B"/>
    <w:rsid w:val="002313B5"/>
    <w:rsid w:val="00231AF5"/>
    <w:rsid w:val="00233CD8"/>
    <w:rsid w:val="00236F80"/>
    <w:rsid w:val="00240CED"/>
    <w:rsid w:val="00243AE8"/>
    <w:rsid w:val="00243EDF"/>
    <w:rsid w:val="00245072"/>
    <w:rsid w:val="002454F9"/>
    <w:rsid w:val="002455DC"/>
    <w:rsid w:val="00245DF2"/>
    <w:rsid w:val="002460B1"/>
    <w:rsid w:val="002462C8"/>
    <w:rsid w:val="00246895"/>
    <w:rsid w:val="00246D94"/>
    <w:rsid w:val="00247C85"/>
    <w:rsid w:val="00250A3F"/>
    <w:rsid w:val="002510BC"/>
    <w:rsid w:val="00251589"/>
    <w:rsid w:val="002536D7"/>
    <w:rsid w:val="00254434"/>
    <w:rsid w:val="0025530D"/>
    <w:rsid w:val="00255A4F"/>
    <w:rsid w:val="00256891"/>
    <w:rsid w:val="00257A01"/>
    <w:rsid w:val="00257E6F"/>
    <w:rsid w:val="00257EAF"/>
    <w:rsid w:val="00257EE6"/>
    <w:rsid w:val="0026029D"/>
    <w:rsid w:val="00260AAF"/>
    <w:rsid w:val="002612EC"/>
    <w:rsid w:val="00261349"/>
    <w:rsid w:val="00262C33"/>
    <w:rsid w:val="00263202"/>
    <w:rsid w:val="00264622"/>
    <w:rsid w:val="00264C53"/>
    <w:rsid w:val="00264EA6"/>
    <w:rsid w:val="002663F2"/>
    <w:rsid w:val="00266A7E"/>
    <w:rsid w:val="00266A93"/>
    <w:rsid w:val="00266CFB"/>
    <w:rsid w:val="002670CC"/>
    <w:rsid w:val="00267A41"/>
    <w:rsid w:val="00267C88"/>
    <w:rsid w:val="002725E6"/>
    <w:rsid w:val="00272782"/>
    <w:rsid w:val="00272880"/>
    <w:rsid w:val="00273195"/>
    <w:rsid w:val="00273DEF"/>
    <w:rsid w:val="00273EEC"/>
    <w:rsid w:val="002756D8"/>
    <w:rsid w:val="00275E30"/>
    <w:rsid w:val="002777E5"/>
    <w:rsid w:val="002814DE"/>
    <w:rsid w:val="002817F1"/>
    <w:rsid w:val="00282421"/>
    <w:rsid w:val="00286411"/>
    <w:rsid w:val="00286D6D"/>
    <w:rsid w:val="002906BD"/>
    <w:rsid w:val="00290955"/>
    <w:rsid w:val="00290B95"/>
    <w:rsid w:val="002910BD"/>
    <w:rsid w:val="002914F0"/>
    <w:rsid w:val="00292554"/>
    <w:rsid w:val="002932EB"/>
    <w:rsid w:val="002945AD"/>
    <w:rsid w:val="00295939"/>
    <w:rsid w:val="00295F6B"/>
    <w:rsid w:val="002960AD"/>
    <w:rsid w:val="00296F10"/>
    <w:rsid w:val="002A2363"/>
    <w:rsid w:val="002A244C"/>
    <w:rsid w:val="002A294A"/>
    <w:rsid w:val="002A2A14"/>
    <w:rsid w:val="002A318B"/>
    <w:rsid w:val="002A31AB"/>
    <w:rsid w:val="002A38CC"/>
    <w:rsid w:val="002A455E"/>
    <w:rsid w:val="002A4B3F"/>
    <w:rsid w:val="002A53C0"/>
    <w:rsid w:val="002A5A64"/>
    <w:rsid w:val="002A61AB"/>
    <w:rsid w:val="002A7EB4"/>
    <w:rsid w:val="002B0933"/>
    <w:rsid w:val="002B1325"/>
    <w:rsid w:val="002B36F7"/>
    <w:rsid w:val="002B3E91"/>
    <w:rsid w:val="002B5266"/>
    <w:rsid w:val="002B5DFF"/>
    <w:rsid w:val="002B70AC"/>
    <w:rsid w:val="002B7499"/>
    <w:rsid w:val="002C0CBA"/>
    <w:rsid w:val="002C0F63"/>
    <w:rsid w:val="002C1682"/>
    <w:rsid w:val="002C2364"/>
    <w:rsid w:val="002C2EF0"/>
    <w:rsid w:val="002C3111"/>
    <w:rsid w:val="002C5A3A"/>
    <w:rsid w:val="002D1297"/>
    <w:rsid w:val="002D1AE7"/>
    <w:rsid w:val="002D1EA5"/>
    <w:rsid w:val="002D2601"/>
    <w:rsid w:val="002D2984"/>
    <w:rsid w:val="002D3F80"/>
    <w:rsid w:val="002D5B6F"/>
    <w:rsid w:val="002D6389"/>
    <w:rsid w:val="002D65BA"/>
    <w:rsid w:val="002D6A40"/>
    <w:rsid w:val="002D6CDE"/>
    <w:rsid w:val="002D70C5"/>
    <w:rsid w:val="002D71ED"/>
    <w:rsid w:val="002E0AE6"/>
    <w:rsid w:val="002E2263"/>
    <w:rsid w:val="002E2C65"/>
    <w:rsid w:val="002E489C"/>
    <w:rsid w:val="002E51B3"/>
    <w:rsid w:val="002E52B4"/>
    <w:rsid w:val="002E5476"/>
    <w:rsid w:val="002E56D5"/>
    <w:rsid w:val="002E5F7B"/>
    <w:rsid w:val="002E6A03"/>
    <w:rsid w:val="002E6ABC"/>
    <w:rsid w:val="002E6B8B"/>
    <w:rsid w:val="002E75A5"/>
    <w:rsid w:val="002E7D83"/>
    <w:rsid w:val="002F2AD9"/>
    <w:rsid w:val="002F39B5"/>
    <w:rsid w:val="002F4087"/>
    <w:rsid w:val="002F620F"/>
    <w:rsid w:val="002F6367"/>
    <w:rsid w:val="002F6A9E"/>
    <w:rsid w:val="002F7146"/>
    <w:rsid w:val="002F7E61"/>
    <w:rsid w:val="00303B3E"/>
    <w:rsid w:val="00303D65"/>
    <w:rsid w:val="0030497C"/>
    <w:rsid w:val="00305178"/>
    <w:rsid w:val="00306098"/>
    <w:rsid w:val="0030748E"/>
    <w:rsid w:val="00311528"/>
    <w:rsid w:val="00311866"/>
    <w:rsid w:val="00312107"/>
    <w:rsid w:val="00312246"/>
    <w:rsid w:val="00312809"/>
    <w:rsid w:val="00314964"/>
    <w:rsid w:val="00316578"/>
    <w:rsid w:val="0031662C"/>
    <w:rsid w:val="00316BBF"/>
    <w:rsid w:val="00320DE5"/>
    <w:rsid w:val="00321F0C"/>
    <w:rsid w:val="003246B0"/>
    <w:rsid w:val="003251E4"/>
    <w:rsid w:val="0032604F"/>
    <w:rsid w:val="00326393"/>
    <w:rsid w:val="003278FA"/>
    <w:rsid w:val="00330C64"/>
    <w:rsid w:val="00330F7C"/>
    <w:rsid w:val="00331198"/>
    <w:rsid w:val="00331261"/>
    <w:rsid w:val="0033213E"/>
    <w:rsid w:val="003332CC"/>
    <w:rsid w:val="0033382A"/>
    <w:rsid w:val="0033387E"/>
    <w:rsid w:val="003340AD"/>
    <w:rsid w:val="00335496"/>
    <w:rsid w:val="00335780"/>
    <w:rsid w:val="00335C3C"/>
    <w:rsid w:val="00335E3E"/>
    <w:rsid w:val="003400A8"/>
    <w:rsid w:val="00342599"/>
    <w:rsid w:val="00344A56"/>
    <w:rsid w:val="00345032"/>
    <w:rsid w:val="00345344"/>
    <w:rsid w:val="00345964"/>
    <w:rsid w:val="00347312"/>
    <w:rsid w:val="00347D8B"/>
    <w:rsid w:val="0035030B"/>
    <w:rsid w:val="003520F3"/>
    <w:rsid w:val="003528B1"/>
    <w:rsid w:val="00353049"/>
    <w:rsid w:val="00353927"/>
    <w:rsid w:val="00353E10"/>
    <w:rsid w:val="00354C32"/>
    <w:rsid w:val="00354D4F"/>
    <w:rsid w:val="00354F04"/>
    <w:rsid w:val="00355CB9"/>
    <w:rsid w:val="00356D9B"/>
    <w:rsid w:val="00357571"/>
    <w:rsid w:val="00357E54"/>
    <w:rsid w:val="003600B8"/>
    <w:rsid w:val="003608FD"/>
    <w:rsid w:val="0036129E"/>
    <w:rsid w:val="00363071"/>
    <w:rsid w:val="00363246"/>
    <w:rsid w:val="00363C7E"/>
    <w:rsid w:val="00363C9D"/>
    <w:rsid w:val="00364A90"/>
    <w:rsid w:val="0036527B"/>
    <w:rsid w:val="00370097"/>
    <w:rsid w:val="00371312"/>
    <w:rsid w:val="003713FE"/>
    <w:rsid w:val="00376410"/>
    <w:rsid w:val="00376523"/>
    <w:rsid w:val="00376F9E"/>
    <w:rsid w:val="00377851"/>
    <w:rsid w:val="003853F6"/>
    <w:rsid w:val="00385FCB"/>
    <w:rsid w:val="00386453"/>
    <w:rsid w:val="00387312"/>
    <w:rsid w:val="003874D7"/>
    <w:rsid w:val="00387C48"/>
    <w:rsid w:val="00392486"/>
    <w:rsid w:val="00396434"/>
    <w:rsid w:val="00396C23"/>
    <w:rsid w:val="00397287"/>
    <w:rsid w:val="00397718"/>
    <w:rsid w:val="003977D0"/>
    <w:rsid w:val="003979DF"/>
    <w:rsid w:val="003A2F53"/>
    <w:rsid w:val="003A33CF"/>
    <w:rsid w:val="003A4F9A"/>
    <w:rsid w:val="003A5142"/>
    <w:rsid w:val="003A7035"/>
    <w:rsid w:val="003A785D"/>
    <w:rsid w:val="003A7FBA"/>
    <w:rsid w:val="003B0198"/>
    <w:rsid w:val="003B1247"/>
    <w:rsid w:val="003B223C"/>
    <w:rsid w:val="003B22FB"/>
    <w:rsid w:val="003B3B33"/>
    <w:rsid w:val="003B5917"/>
    <w:rsid w:val="003B678E"/>
    <w:rsid w:val="003B7F27"/>
    <w:rsid w:val="003C0788"/>
    <w:rsid w:val="003C14B3"/>
    <w:rsid w:val="003C23E0"/>
    <w:rsid w:val="003C38A0"/>
    <w:rsid w:val="003C5A2E"/>
    <w:rsid w:val="003C5CEF"/>
    <w:rsid w:val="003C6A6E"/>
    <w:rsid w:val="003C6DB9"/>
    <w:rsid w:val="003D04EA"/>
    <w:rsid w:val="003D1EF4"/>
    <w:rsid w:val="003D2728"/>
    <w:rsid w:val="003D2B37"/>
    <w:rsid w:val="003D3033"/>
    <w:rsid w:val="003D32FA"/>
    <w:rsid w:val="003D4043"/>
    <w:rsid w:val="003D581A"/>
    <w:rsid w:val="003D663C"/>
    <w:rsid w:val="003D66B9"/>
    <w:rsid w:val="003D6DA3"/>
    <w:rsid w:val="003D6ED8"/>
    <w:rsid w:val="003D70DD"/>
    <w:rsid w:val="003D733F"/>
    <w:rsid w:val="003E153F"/>
    <w:rsid w:val="003E1772"/>
    <w:rsid w:val="003E26C4"/>
    <w:rsid w:val="003E3DDB"/>
    <w:rsid w:val="003E411C"/>
    <w:rsid w:val="003E4BD7"/>
    <w:rsid w:val="003E58D9"/>
    <w:rsid w:val="003E6650"/>
    <w:rsid w:val="003E66CB"/>
    <w:rsid w:val="003E6B47"/>
    <w:rsid w:val="003E6EF0"/>
    <w:rsid w:val="003E740B"/>
    <w:rsid w:val="003E78EC"/>
    <w:rsid w:val="003E7928"/>
    <w:rsid w:val="003F0FAF"/>
    <w:rsid w:val="003F2939"/>
    <w:rsid w:val="003F3DB1"/>
    <w:rsid w:val="003F4833"/>
    <w:rsid w:val="003F4B42"/>
    <w:rsid w:val="003F6FC7"/>
    <w:rsid w:val="004003AA"/>
    <w:rsid w:val="00400657"/>
    <w:rsid w:val="004020F2"/>
    <w:rsid w:val="0040278F"/>
    <w:rsid w:val="00402DF5"/>
    <w:rsid w:val="00403236"/>
    <w:rsid w:val="00403FA5"/>
    <w:rsid w:val="004049AD"/>
    <w:rsid w:val="004051C0"/>
    <w:rsid w:val="00405A2A"/>
    <w:rsid w:val="00406850"/>
    <w:rsid w:val="00407363"/>
    <w:rsid w:val="004075C3"/>
    <w:rsid w:val="00410B3C"/>
    <w:rsid w:val="004110CF"/>
    <w:rsid w:val="004114B4"/>
    <w:rsid w:val="0041179E"/>
    <w:rsid w:val="004145CA"/>
    <w:rsid w:val="004155BC"/>
    <w:rsid w:val="0041738D"/>
    <w:rsid w:val="0041787E"/>
    <w:rsid w:val="0041795C"/>
    <w:rsid w:val="00420705"/>
    <w:rsid w:val="004211AF"/>
    <w:rsid w:val="004218DD"/>
    <w:rsid w:val="0042317B"/>
    <w:rsid w:val="00423943"/>
    <w:rsid w:val="00423D18"/>
    <w:rsid w:val="004240F1"/>
    <w:rsid w:val="004258CB"/>
    <w:rsid w:val="004261E5"/>
    <w:rsid w:val="004265BF"/>
    <w:rsid w:val="004273FC"/>
    <w:rsid w:val="004275CE"/>
    <w:rsid w:val="0043117A"/>
    <w:rsid w:val="004320A1"/>
    <w:rsid w:val="00432A13"/>
    <w:rsid w:val="00434864"/>
    <w:rsid w:val="00435450"/>
    <w:rsid w:val="00435B0E"/>
    <w:rsid w:val="0043608E"/>
    <w:rsid w:val="00436D4D"/>
    <w:rsid w:val="00436DB4"/>
    <w:rsid w:val="00440E14"/>
    <w:rsid w:val="00441458"/>
    <w:rsid w:val="004438C8"/>
    <w:rsid w:val="00443CCD"/>
    <w:rsid w:val="00444003"/>
    <w:rsid w:val="004450B2"/>
    <w:rsid w:val="004454BB"/>
    <w:rsid w:val="004465DE"/>
    <w:rsid w:val="00452481"/>
    <w:rsid w:val="00452CF0"/>
    <w:rsid w:val="00453319"/>
    <w:rsid w:val="004547E7"/>
    <w:rsid w:val="00455C7E"/>
    <w:rsid w:val="00461841"/>
    <w:rsid w:val="00462DE5"/>
    <w:rsid w:val="004631C9"/>
    <w:rsid w:val="004644DD"/>
    <w:rsid w:val="00464B63"/>
    <w:rsid w:val="00466354"/>
    <w:rsid w:val="00466A1F"/>
    <w:rsid w:val="0046706B"/>
    <w:rsid w:val="004674AE"/>
    <w:rsid w:val="00470AA1"/>
    <w:rsid w:val="00471B9A"/>
    <w:rsid w:val="00472680"/>
    <w:rsid w:val="00472A41"/>
    <w:rsid w:val="00473037"/>
    <w:rsid w:val="004730EE"/>
    <w:rsid w:val="00473CC6"/>
    <w:rsid w:val="00475100"/>
    <w:rsid w:val="004774DF"/>
    <w:rsid w:val="004809E8"/>
    <w:rsid w:val="00481567"/>
    <w:rsid w:val="00481F2F"/>
    <w:rsid w:val="004824FD"/>
    <w:rsid w:val="00482B83"/>
    <w:rsid w:val="00483309"/>
    <w:rsid w:val="004839C1"/>
    <w:rsid w:val="00483AB7"/>
    <w:rsid w:val="004848FD"/>
    <w:rsid w:val="00484C3F"/>
    <w:rsid w:val="00484EE6"/>
    <w:rsid w:val="0048643C"/>
    <w:rsid w:val="004868B4"/>
    <w:rsid w:val="00486987"/>
    <w:rsid w:val="00487861"/>
    <w:rsid w:val="00490001"/>
    <w:rsid w:val="004915FC"/>
    <w:rsid w:val="004916EE"/>
    <w:rsid w:val="00492A61"/>
    <w:rsid w:val="00494E0F"/>
    <w:rsid w:val="00495C90"/>
    <w:rsid w:val="004964D6"/>
    <w:rsid w:val="004A01B1"/>
    <w:rsid w:val="004A0D48"/>
    <w:rsid w:val="004A1A77"/>
    <w:rsid w:val="004A2625"/>
    <w:rsid w:val="004A4CD0"/>
    <w:rsid w:val="004A5547"/>
    <w:rsid w:val="004A61A4"/>
    <w:rsid w:val="004A7B69"/>
    <w:rsid w:val="004B2B13"/>
    <w:rsid w:val="004B3559"/>
    <w:rsid w:val="004B3D50"/>
    <w:rsid w:val="004B3DA6"/>
    <w:rsid w:val="004B3E77"/>
    <w:rsid w:val="004B56DE"/>
    <w:rsid w:val="004B5B8F"/>
    <w:rsid w:val="004B5EAC"/>
    <w:rsid w:val="004B6DD8"/>
    <w:rsid w:val="004C11AB"/>
    <w:rsid w:val="004C2C1C"/>
    <w:rsid w:val="004C3968"/>
    <w:rsid w:val="004C4844"/>
    <w:rsid w:val="004C5190"/>
    <w:rsid w:val="004C5835"/>
    <w:rsid w:val="004C58D8"/>
    <w:rsid w:val="004C6353"/>
    <w:rsid w:val="004C7345"/>
    <w:rsid w:val="004C7A2B"/>
    <w:rsid w:val="004C7B8D"/>
    <w:rsid w:val="004C7D27"/>
    <w:rsid w:val="004D0248"/>
    <w:rsid w:val="004D1343"/>
    <w:rsid w:val="004D135C"/>
    <w:rsid w:val="004D1453"/>
    <w:rsid w:val="004D2501"/>
    <w:rsid w:val="004D4A90"/>
    <w:rsid w:val="004D5519"/>
    <w:rsid w:val="004D72BF"/>
    <w:rsid w:val="004D7F17"/>
    <w:rsid w:val="004E08C6"/>
    <w:rsid w:val="004E23B6"/>
    <w:rsid w:val="004E3E31"/>
    <w:rsid w:val="004E4C7A"/>
    <w:rsid w:val="004E66B3"/>
    <w:rsid w:val="004E6DDD"/>
    <w:rsid w:val="004F0828"/>
    <w:rsid w:val="004F1EA4"/>
    <w:rsid w:val="004F3C41"/>
    <w:rsid w:val="004F42AC"/>
    <w:rsid w:val="004F42C7"/>
    <w:rsid w:val="004F434A"/>
    <w:rsid w:val="004F4AD1"/>
    <w:rsid w:val="004F53FB"/>
    <w:rsid w:val="00500D34"/>
    <w:rsid w:val="00500F36"/>
    <w:rsid w:val="00501342"/>
    <w:rsid w:val="0050249F"/>
    <w:rsid w:val="0050253E"/>
    <w:rsid w:val="0050321D"/>
    <w:rsid w:val="00503C65"/>
    <w:rsid w:val="005040FC"/>
    <w:rsid w:val="0050470C"/>
    <w:rsid w:val="00504E18"/>
    <w:rsid w:val="0050598B"/>
    <w:rsid w:val="00505F45"/>
    <w:rsid w:val="00506FF9"/>
    <w:rsid w:val="00507A66"/>
    <w:rsid w:val="00510BB4"/>
    <w:rsid w:val="00511E81"/>
    <w:rsid w:val="00512F33"/>
    <w:rsid w:val="00513A69"/>
    <w:rsid w:val="0051448F"/>
    <w:rsid w:val="005146AD"/>
    <w:rsid w:val="00514A30"/>
    <w:rsid w:val="00514A9D"/>
    <w:rsid w:val="005153A2"/>
    <w:rsid w:val="005165CA"/>
    <w:rsid w:val="00516808"/>
    <w:rsid w:val="00516F92"/>
    <w:rsid w:val="0052016D"/>
    <w:rsid w:val="00521B36"/>
    <w:rsid w:val="00521FA8"/>
    <w:rsid w:val="00522247"/>
    <w:rsid w:val="00522DD9"/>
    <w:rsid w:val="00522E17"/>
    <w:rsid w:val="00522E57"/>
    <w:rsid w:val="00523A4D"/>
    <w:rsid w:val="00523CAB"/>
    <w:rsid w:val="00524434"/>
    <w:rsid w:val="00525B6D"/>
    <w:rsid w:val="0052673E"/>
    <w:rsid w:val="00526D81"/>
    <w:rsid w:val="00527305"/>
    <w:rsid w:val="00527415"/>
    <w:rsid w:val="00530386"/>
    <w:rsid w:val="005306C1"/>
    <w:rsid w:val="005308E8"/>
    <w:rsid w:val="00530D45"/>
    <w:rsid w:val="005310CD"/>
    <w:rsid w:val="005316A2"/>
    <w:rsid w:val="00531B32"/>
    <w:rsid w:val="00531C5C"/>
    <w:rsid w:val="00532576"/>
    <w:rsid w:val="00533632"/>
    <w:rsid w:val="0053380B"/>
    <w:rsid w:val="005339B6"/>
    <w:rsid w:val="00533F34"/>
    <w:rsid w:val="0053492A"/>
    <w:rsid w:val="005357FB"/>
    <w:rsid w:val="00535D3B"/>
    <w:rsid w:val="005361AF"/>
    <w:rsid w:val="00536D33"/>
    <w:rsid w:val="005407F9"/>
    <w:rsid w:val="00540DC6"/>
    <w:rsid w:val="00541AE3"/>
    <w:rsid w:val="00542678"/>
    <w:rsid w:val="00542900"/>
    <w:rsid w:val="00543639"/>
    <w:rsid w:val="0054447E"/>
    <w:rsid w:val="005459A7"/>
    <w:rsid w:val="00547075"/>
    <w:rsid w:val="00547E15"/>
    <w:rsid w:val="0055293C"/>
    <w:rsid w:val="0055328A"/>
    <w:rsid w:val="00553F5D"/>
    <w:rsid w:val="00556F39"/>
    <w:rsid w:val="005576E6"/>
    <w:rsid w:val="005607ED"/>
    <w:rsid w:val="00562708"/>
    <w:rsid w:val="00562DEC"/>
    <w:rsid w:val="00563523"/>
    <w:rsid w:val="00564D06"/>
    <w:rsid w:val="00565319"/>
    <w:rsid w:val="00565EA4"/>
    <w:rsid w:val="00566BD6"/>
    <w:rsid w:val="00570526"/>
    <w:rsid w:val="00570554"/>
    <w:rsid w:val="00571807"/>
    <w:rsid w:val="005725ED"/>
    <w:rsid w:val="00572D81"/>
    <w:rsid w:val="00573ECA"/>
    <w:rsid w:val="00574B58"/>
    <w:rsid w:val="00580AB2"/>
    <w:rsid w:val="00580E1B"/>
    <w:rsid w:val="0058261A"/>
    <w:rsid w:val="0058307B"/>
    <w:rsid w:val="0058423C"/>
    <w:rsid w:val="00584681"/>
    <w:rsid w:val="00585DBA"/>
    <w:rsid w:val="00587372"/>
    <w:rsid w:val="005879C9"/>
    <w:rsid w:val="00590500"/>
    <w:rsid w:val="0059154A"/>
    <w:rsid w:val="0059166A"/>
    <w:rsid w:val="0059299C"/>
    <w:rsid w:val="0059362F"/>
    <w:rsid w:val="00593801"/>
    <w:rsid w:val="005939DB"/>
    <w:rsid w:val="00593EFF"/>
    <w:rsid w:val="00595A70"/>
    <w:rsid w:val="00596CF3"/>
    <w:rsid w:val="005A1F08"/>
    <w:rsid w:val="005A28C3"/>
    <w:rsid w:val="005A3044"/>
    <w:rsid w:val="005A31AC"/>
    <w:rsid w:val="005A3852"/>
    <w:rsid w:val="005A4653"/>
    <w:rsid w:val="005A4B8A"/>
    <w:rsid w:val="005A5071"/>
    <w:rsid w:val="005A5604"/>
    <w:rsid w:val="005B017C"/>
    <w:rsid w:val="005B160A"/>
    <w:rsid w:val="005B1E48"/>
    <w:rsid w:val="005B309D"/>
    <w:rsid w:val="005B4C3D"/>
    <w:rsid w:val="005B584F"/>
    <w:rsid w:val="005B663E"/>
    <w:rsid w:val="005B762B"/>
    <w:rsid w:val="005C0475"/>
    <w:rsid w:val="005C0E9B"/>
    <w:rsid w:val="005C0FDF"/>
    <w:rsid w:val="005C1224"/>
    <w:rsid w:val="005C173B"/>
    <w:rsid w:val="005C1A16"/>
    <w:rsid w:val="005C28DF"/>
    <w:rsid w:val="005C293D"/>
    <w:rsid w:val="005C2D1A"/>
    <w:rsid w:val="005C35B2"/>
    <w:rsid w:val="005C3E54"/>
    <w:rsid w:val="005C470A"/>
    <w:rsid w:val="005C5830"/>
    <w:rsid w:val="005C5AC2"/>
    <w:rsid w:val="005C6C02"/>
    <w:rsid w:val="005C6F00"/>
    <w:rsid w:val="005C76DF"/>
    <w:rsid w:val="005D01AC"/>
    <w:rsid w:val="005D036B"/>
    <w:rsid w:val="005D0CEF"/>
    <w:rsid w:val="005D23F0"/>
    <w:rsid w:val="005D2A20"/>
    <w:rsid w:val="005D2B9E"/>
    <w:rsid w:val="005D754E"/>
    <w:rsid w:val="005E04AE"/>
    <w:rsid w:val="005E1EAF"/>
    <w:rsid w:val="005E3B20"/>
    <w:rsid w:val="005E3B44"/>
    <w:rsid w:val="005E3F94"/>
    <w:rsid w:val="005E4C2E"/>
    <w:rsid w:val="005E780D"/>
    <w:rsid w:val="005F1085"/>
    <w:rsid w:val="005F19FE"/>
    <w:rsid w:val="005F1C9E"/>
    <w:rsid w:val="005F2F27"/>
    <w:rsid w:val="005F429B"/>
    <w:rsid w:val="005F4C13"/>
    <w:rsid w:val="005F593E"/>
    <w:rsid w:val="005F5AE5"/>
    <w:rsid w:val="005F5CCD"/>
    <w:rsid w:val="005F65ED"/>
    <w:rsid w:val="005F68AF"/>
    <w:rsid w:val="005F7C7E"/>
    <w:rsid w:val="005F7DF6"/>
    <w:rsid w:val="006007CC"/>
    <w:rsid w:val="00602D42"/>
    <w:rsid w:val="006034DB"/>
    <w:rsid w:val="00603C85"/>
    <w:rsid w:val="00604138"/>
    <w:rsid w:val="00605ABC"/>
    <w:rsid w:val="006060D9"/>
    <w:rsid w:val="00610026"/>
    <w:rsid w:val="0061153F"/>
    <w:rsid w:val="006116FE"/>
    <w:rsid w:val="006121F3"/>
    <w:rsid w:val="006125BC"/>
    <w:rsid w:val="00612A93"/>
    <w:rsid w:val="0061338C"/>
    <w:rsid w:val="00613B61"/>
    <w:rsid w:val="00613CBF"/>
    <w:rsid w:val="00613EB1"/>
    <w:rsid w:val="00614158"/>
    <w:rsid w:val="00614DF3"/>
    <w:rsid w:val="00615158"/>
    <w:rsid w:val="00615777"/>
    <w:rsid w:val="00615961"/>
    <w:rsid w:val="00616433"/>
    <w:rsid w:val="00620B30"/>
    <w:rsid w:val="00621A70"/>
    <w:rsid w:val="00622045"/>
    <w:rsid w:val="006227A0"/>
    <w:rsid w:val="00623EB6"/>
    <w:rsid w:val="0062403A"/>
    <w:rsid w:val="00624648"/>
    <w:rsid w:val="006249BA"/>
    <w:rsid w:val="00624F1D"/>
    <w:rsid w:val="0062527A"/>
    <w:rsid w:val="00625EF0"/>
    <w:rsid w:val="00625FEB"/>
    <w:rsid w:val="00626877"/>
    <w:rsid w:val="00626FC7"/>
    <w:rsid w:val="00630405"/>
    <w:rsid w:val="006317A0"/>
    <w:rsid w:val="00633AFF"/>
    <w:rsid w:val="0063450B"/>
    <w:rsid w:val="0063518E"/>
    <w:rsid w:val="00635F17"/>
    <w:rsid w:val="00636F6D"/>
    <w:rsid w:val="0063759A"/>
    <w:rsid w:val="00637E7D"/>
    <w:rsid w:val="00640239"/>
    <w:rsid w:val="0064059B"/>
    <w:rsid w:val="00642574"/>
    <w:rsid w:val="00642614"/>
    <w:rsid w:val="00642E38"/>
    <w:rsid w:val="00643132"/>
    <w:rsid w:val="006431B3"/>
    <w:rsid w:val="00644F7B"/>
    <w:rsid w:val="00646CF3"/>
    <w:rsid w:val="00650FA2"/>
    <w:rsid w:val="00652087"/>
    <w:rsid w:val="006522C8"/>
    <w:rsid w:val="00652C11"/>
    <w:rsid w:val="0065339B"/>
    <w:rsid w:val="00653EAB"/>
    <w:rsid w:val="00656F69"/>
    <w:rsid w:val="006576F6"/>
    <w:rsid w:val="0066011C"/>
    <w:rsid w:val="006621F9"/>
    <w:rsid w:val="00662B62"/>
    <w:rsid w:val="006640F6"/>
    <w:rsid w:val="00665E72"/>
    <w:rsid w:val="00667642"/>
    <w:rsid w:val="0067047C"/>
    <w:rsid w:val="00671D3E"/>
    <w:rsid w:val="00674506"/>
    <w:rsid w:val="0067458C"/>
    <w:rsid w:val="00674C2E"/>
    <w:rsid w:val="00674E59"/>
    <w:rsid w:val="00675467"/>
    <w:rsid w:val="00676D0A"/>
    <w:rsid w:val="00676D51"/>
    <w:rsid w:val="006770E8"/>
    <w:rsid w:val="00680CDB"/>
    <w:rsid w:val="0068172E"/>
    <w:rsid w:val="00682379"/>
    <w:rsid w:val="00682680"/>
    <w:rsid w:val="00682D5B"/>
    <w:rsid w:val="00683469"/>
    <w:rsid w:val="00685312"/>
    <w:rsid w:val="00685DE3"/>
    <w:rsid w:val="00687397"/>
    <w:rsid w:val="00687796"/>
    <w:rsid w:val="00687910"/>
    <w:rsid w:val="0069016E"/>
    <w:rsid w:val="0069017E"/>
    <w:rsid w:val="006905CE"/>
    <w:rsid w:val="00690FE8"/>
    <w:rsid w:val="0069123F"/>
    <w:rsid w:val="00691A43"/>
    <w:rsid w:val="00691E36"/>
    <w:rsid w:val="006937DE"/>
    <w:rsid w:val="00694FD3"/>
    <w:rsid w:val="00696678"/>
    <w:rsid w:val="00696ADC"/>
    <w:rsid w:val="006A233D"/>
    <w:rsid w:val="006A2F00"/>
    <w:rsid w:val="006A3686"/>
    <w:rsid w:val="006A434B"/>
    <w:rsid w:val="006A444F"/>
    <w:rsid w:val="006A490A"/>
    <w:rsid w:val="006A4FF6"/>
    <w:rsid w:val="006A58C1"/>
    <w:rsid w:val="006A6D5F"/>
    <w:rsid w:val="006A7B60"/>
    <w:rsid w:val="006B0531"/>
    <w:rsid w:val="006B0AF9"/>
    <w:rsid w:val="006B0EB5"/>
    <w:rsid w:val="006B2989"/>
    <w:rsid w:val="006B3472"/>
    <w:rsid w:val="006B3B11"/>
    <w:rsid w:val="006B4A3B"/>
    <w:rsid w:val="006B54C5"/>
    <w:rsid w:val="006B5A60"/>
    <w:rsid w:val="006B6981"/>
    <w:rsid w:val="006B7325"/>
    <w:rsid w:val="006C0111"/>
    <w:rsid w:val="006C0E36"/>
    <w:rsid w:val="006C16F2"/>
    <w:rsid w:val="006C2867"/>
    <w:rsid w:val="006C2C26"/>
    <w:rsid w:val="006C48FE"/>
    <w:rsid w:val="006C5216"/>
    <w:rsid w:val="006C5AF1"/>
    <w:rsid w:val="006C5BFF"/>
    <w:rsid w:val="006C639A"/>
    <w:rsid w:val="006C70E2"/>
    <w:rsid w:val="006D03FA"/>
    <w:rsid w:val="006D0C61"/>
    <w:rsid w:val="006D0DFC"/>
    <w:rsid w:val="006D1005"/>
    <w:rsid w:val="006D204E"/>
    <w:rsid w:val="006D28C2"/>
    <w:rsid w:val="006D2962"/>
    <w:rsid w:val="006D2AA7"/>
    <w:rsid w:val="006D309C"/>
    <w:rsid w:val="006D383B"/>
    <w:rsid w:val="006D3D27"/>
    <w:rsid w:val="006D40A4"/>
    <w:rsid w:val="006D4829"/>
    <w:rsid w:val="006D56C5"/>
    <w:rsid w:val="006D655E"/>
    <w:rsid w:val="006D77BB"/>
    <w:rsid w:val="006E0148"/>
    <w:rsid w:val="006E1EED"/>
    <w:rsid w:val="006E2554"/>
    <w:rsid w:val="006E3373"/>
    <w:rsid w:val="006E4BE4"/>
    <w:rsid w:val="006E58AC"/>
    <w:rsid w:val="006E63E3"/>
    <w:rsid w:val="006E69A0"/>
    <w:rsid w:val="006E6C87"/>
    <w:rsid w:val="006E74A7"/>
    <w:rsid w:val="006E77C1"/>
    <w:rsid w:val="006F024B"/>
    <w:rsid w:val="006F12F0"/>
    <w:rsid w:val="006F1DC4"/>
    <w:rsid w:val="006F235B"/>
    <w:rsid w:val="006F4109"/>
    <w:rsid w:val="006F42BD"/>
    <w:rsid w:val="006F597E"/>
    <w:rsid w:val="006F5B7B"/>
    <w:rsid w:val="006F6078"/>
    <w:rsid w:val="006F74D6"/>
    <w:rsid w:val="00701C7D"/>
    <w:rsid w:val="0070240B"/>
    <w:rsid w:val="00703FC2"/>
    <w:rsid w:val="007046CF"/>
    <w:rsid w:val="00704B7B"/>
    <w:rsid w:val="007051A2"/>
    <w:rsid w:val="007055FA"/>
    <w:rsid w:val="00705767"/>
    <w:rsid w:val="00705A42"/>
    <w:rsid w:val="00706744"/>
    <w:rsid w:val="00706D7A"/>
    <w:rsid w:val="00710364"/>
    <w:rsid w:val="00710BB1"/>
    <w:rsid w:val="00710C32"/>
    <w:rsid w:val="0071125A"/>
    <w:rsid w:val="007118C0"/>
    <w:rsid w:val="00712709"/>
    <w:rsid w:val="00712CB9"/>
    <w:rsid w:val="007132B2"/>
    <w:rsid w:val="0071362B"/>
    <w:rsid w:val="00713C1D"/>
    <w:rsid w:val="00714327"/>
    <w:rsid w:val="0071460A"/>
    <w:rsid w:val="00714742"/>
    <w:rsid w:val="00714A9F"/>
    <w:rsid w:val="00714F57"/>
    <w:rsid w:val="00715A9E"/>
    <w:rsid w:val="007220D6"/>
    <w:rsid w:val="007230AB"/>
    <w:rsid w:val="00723F77"/>
    <w:rsid w:val="007254B9"/>
    <w:rsid w:val="00725810"/>
    <w:rsid w:val="00725FF4"/>
    <w:rsid w:val="00726567"/>
    <w:rsid w:val="00726AAA"/>
    <w:rsid w:val="00726CE0"/>
    <w:rsid w:val="00727569"/>
    <w:rsid w:val="00730C5F"/>
    <w:rsid w:val="00730D2F"/>
    <w:rsid w:val="00731005"/>
    <w:rsid w:val="0073265F"/>
    <w:rsid w:val="00734213"/>
    <w:rsid w:val="007343A4"/>
    <w:rsid w:val="00734419"/>
    <w:rsid w:val="0073482E"/>
    <w:rsid w:val="00734D55"/>
    <w:rsid w:val="00735874"/>
    <w:rsid w:val="00735C74"/>
    <w:rsid w:val="007361AA"/>
    <w:rsid w:val="007361B4"/>
    <w:rsid w:val="0073631D"/>
    <w:rsid w:val="00740D1B"/>
    <w:rsid w:val="007410EE"/>
    <w:rsid w:val="00741813"/>
    <w:rsid w:val="00744044"/>
    <w:rsid w:val="00744150"/>
    <w:rsid w:val="00745FFF"/>
    <w:rsid w:val="0075040B"/>
    <w:rsid w:val="007507A1"/>
    <w:rsid w:val="00752C9D"/>
    <w:rsid w:val="00752EAB"/>
    <w:rsid w:val="00754397"/>
    <w:rsid w:val="0075496C"/>
    <w:rsid w:val="00755A2A"/>
    <w:rsid w:val="007606C2"/>
    <w:rsid w:val="007614E3"/>
    <w:rsid w:val="00763560"/>
    <w:rsid w:val="00763E96"/>
    <w:rsid w:val="007640D0"/>
    <w:rsid w:val="00764809"/>
    <w:rsid w:val="007648FC"/>
    <w:rsid w:val="007649D2"/>
    <w:rsid w:val="007650EB"/>
    <w:rsid w:val="007651DB"/>
    <w:rsid w:val="007656A4"/>
    <w:rsid w:val="007668F9"/>
    <w:rsid w:val="00766EDD"/>
    <w:rsid w:val="007678D3"/>
    <w:rsid w:val="00767C0A"/>
    <w:rsid w:val="00772B33"/>
    <w:rsid w:val="00773E88"/>
    <w:rsid w:val="00776570"/>
    <w:rsid w:val="0078182C"/>
    <w:rsid w:val="00781AAD"/>
    <w:rsid w:val="00783943"/>
    <w:rsid w:val="00783D06"/>
    <w:rsid w:val="00783F57"/>
    <w:rsid w:val="00784B1E"/>
    <w:rsid w:val="00785F18"/>
    <w:rsid w:val="00786D4F"/>
    <w:rsid w:val="00786FB6"/>
    <w:rsid w:val="00787204"/>
    <w:rsid w:val="00787307"/>
    <w:rsid w:val="0079002E"/>
    <w:rsid w:val="0079142C"/>
    <w:rsid w:val="00791C6B"/>
    <w:rsid w:val="007926E1"/>
    <w:rsid w:val="00794F10"/>
    <w:rsid w:val="00795ECD"/>
    <w:rsid w:val="0079625E"/>
    <w:rsid w:val="0079680B"/>
    <w:rsid w:val="007A026D"/>
    <w:rsid w:val="007A052B"/>
    <w:rsid w:val="007A07AE"/>
    <w:rsid w:val="007A2E55"/>
    <w:rsid w:val="007A30FD"/>
    <w:rsid w:val="007A50B3"/>
    <w:rsid w:val="007A550F"/>
    <w:rsid w:val="007A5D62"/>
    <w:rsid w:val="007A6E23"/>
    <w:rsid w:val="007A7A7F"/>
    <w:rsid w:val="007A7EEB"/>
    <w:rsid w:val="007B1157"/>
    <w:rsid w:val="007B175D"/>
    <w:rsid w:val="007B2586"/>
    <w:rsid w:val="007B2679"/>
    <w:rsid w:val="007B5345"/>
    <w:rsid w:val="007B61C9"/>
    <w:rsid w:val="007B7B15"/>
    <w:rsid w:val="007C0626"/>
    <w:rsid w:val="007C08D7"/>
    <w:rsid w:val="007C1CED"/>
    <w:rsid w:val="007C20B1"/>
    <w:rsid w:val="007C2842"/>
    <w:rsid w:val="007C3659"/>
    <w:rsid w:val="007C3B36"/>
    <w:rsid w:val="007C4EAC"/>
    <w:rsid w:val="007C6334"/>
    <w:rsid w:val="007C674C"/>
    <w:rsid w:val="007D1242"/>
    <w:rsid w:val="007D16E5"/>
    <w:rsid w:val="007D1D60"/>
    <w:rsid w:val="007D2C73"/>
    <w:rsid w:val="007D3785"/>
    <w:rsid w:val="007D48F8"/>
    <w:rsid w:val="007D6F99"/>
    <w:rsid w:val="007D768C"/>
    <w:rsid w:val="007D7FB0"/>
    <w:rsid w:val="007E153E"/>
    <w:rsid w:val="007E2C35"/>
    <w:rsid w:val="007E3131"/>
    <w:rsid w:val="007E389F"/>
    <w:rsid w:val="007E4690"/>
    <w:rsid w:val="007E5B81"/>
    <w:rsid w:val="007E6A65"/>
    <w:rsid w:val="007E7E89"/>
    <w:rsid w:val="007F07D1"/>
    <w:rsid w:val="007F45A8"/>
    <w:rsid w:val="007F5050"/>
    <w:rsid w:val="007F525E"/>
    <w:rsid w:val="007F611C"/>
    <w:rsid w:val="007F62BC"/>
    <w:rsid w:val="007F6CF1"/>
    <w:rsid w:val="007F725F"/>
    <w:rsid w:val="007F7F2E"/>
    <w:rsid w:val="0080026B"/>
    <w:rsid w:val="008007CD"/>
    <w:rsid w:val="00802B0D"/>
    <w:rsid w:val="00802EA2"/>
    <w:rsid w:val="00802ED1"/>
    <w:rsid w:val="00803373"/>
    <w:rsid w:val="00803F88"/>
    <w:rsid w:val="008053D9"/>
    <w:rsid w:val="00805590"/>
    <w:rsid w:val="00805F3D"/>
    <w:rsid w:val="00807408"/>
    <w:rsid w:val="0081275C"/>
    <w:rsid w:val="00812A9C"/>
    <w:rsid w:val="008131CC"/>
    <w:rsid w:val="00814C02"/>
    <w:rsid w:val="00814ED8"/>
    <w:rsid w:val="00817EED"/>
    <w:rsid w:val="008209DB"/>
    <w:rsid w:val="00820C02"/>
    <w:rsid w:val="008213D2"/>
    <w:rsid w:val="00822FB6"/>
    <w:rsid w:val="00824C80"/>
    <w:rsid w:val="008262DF"/>
    <w:rsid w:val="0082648C"/>
    <w:rsid w:val="00826856"/>
    <w:rsid w:val="00827808"/>
    <w:rsid w:val="00830546"/>
    <w:rsid w:val="00832196"/>
    <w:rsid w:val="00833296"/>
    <w:rsid w:val="008338DC"/>
    <w:rsid w:val="00833942"/>
    <w:rsid w:val="0083566E"/>
    <w:rsid w:val="00835BE1"/>
    <w:rsid w:val="008360A8"/>
    <w:rsid w:val="008363D1"/>
    <w:rsid w:val="00836DC4"/>
    <w:rsid w:val="00836F4C"/>
    <w:rsid w:val="00841DB5"/>
    <w:rsid w:val="00843515"/>
    <w:rsid w:val="00844219"/>
    <w:rsid w:val="0084504B"/>
    <w:rsid w:val="00845CB0"/>
    <w:rsid w:val="00846346"/>
    <w:rsid w:val="00847EE9"/>
    <w:rsid w:val="00850951"/>
    <w:rsid w:val="00851AB6"/>
    <w:rsid w:val="00852C7C"/>
    <w:rsid w:val="008532A0"/>
    <w:rsid w:val="00853683"/>
    <w:rsid w:val="00853852"/>
    <w:rsid w:val="008539D5"/>
    <w:rsid w:val="0085526B"/>
    <w:rsid w:val="00857139"/>
    <w:rsid w:val="00857B52"/>
    <w:rsid w:val="00860CCF"/>
    <w:rsid w:val="00862526"/>
    <w:rsid w:val="00862B6A"/>
    <w:rsid w:val="00862C31"/>
    <w:rsid w:val="00862C4B"/>
    <w:rsid w:val="00863F5F"/>
    <w:rsid w:val="00864B20"/>
    <w:rsid w:val="00865848"/>
    <w:rsid w:val="008667B5"/>
    <w:rsid w:val="0086757F"/>
    <w:rsid w:val="00870401"/>
    <w:rsid w:val="00870F67"/>
    <w:rsid w:val="0087110E"/>
    <w:rsid w:val="008716B5"/>
    <w:rsid w:val="00872B9E"/>
    <w:rsid w:val="00872D44"/>
    <w:rsid w:val="008754A8"/>
    <w:rsid w:val="0087668C"/>
    <w:rsid w:val="00877482"/>
    <w:rsid w:val="00881047"/>
    <w:rsid w:val="00881AFF"/>
    <w:rsid w:val="00881C5A"/>
    <w:rsid w:val="0088361C"/>
    <w:rsid w:val="00883B60"/>
    <w:rsid w:val="00885235"/>
    <w:rsid w:val="00885871"/>
    <w:rsid w:val="008907C8"/>
    <w:rsid w:val="00891419"/>
    <w:rsid w:val="0089160A"/>
    <w:rsid w:val="008919AA"/>
    <w:rsid w:val="00891BEF"/>
    <w:rsid w:val="00892051"/>
    <w:rsid w:val="00893238"/>
    <w:rsid w:val="0089496F"/>
    <w:rsid w:val="00895401"/>
    <w:rsid w:val="00896DCE"/>
    <w:rsid w:val="00897236"/>
    <w:rsid w:val="008A068A"/>
    <w:rsid w:val="008A104F"/>
    <w:rsid w:val="008A1267"/>
    <w:rsid w:val="008A1845"/>
    <w:rsid w:val="008A1B81"/>
    <w:rsid w:val="008A25D6"/>
    <w:rsid w:val="008A2A1D"/>
    <w:rsid w:val="008A416E"/>
    <w:rsid w:val="008A422A"/>
    <w:rsid w:val="008A44C3"/>
    <w:rsid w:val="008A4F0B"/>
    <w:rsid w:val="008A57E0"/>
    <w:rsid w:val="008A6457"/>
    <w:rsid w:val="008A6505"/>
    <w:rsid w:val="008A656E"/>
    <w:rsid w:val="008A6DBA"/>
    <w:rsid w:val="008A72F1"/>
    <w:rsid w:val="008B11B1"/>
    <w:rsid w:val="008B1A1A"/>
    <w:rsid w:val="008B1D6D"/>
    <w:rsid w:val="008B26D4"/>
    <w:rsid w:val="008B3167"/>
    <w:rsid w:val="008B339D"/>
    <w:rsid w:val="008B340B"/>
    <w:rsid w:val="008B40C9"/>
    <w:rsid w:val="008B43C0"/>
    <w:rsid w:val="008B4F3A"/>
    <w:rsid w:val="008B513C"/>
    <w:rsid w:val="008B7E9A"/>
    <w:rsid w:val="008C1902"/>
    <w:rsid w:val="008C242A"/>
    <w:rsid w:val="008C343E"/>
    <w:rsid w:val="008C35C4"/>
    <w:rsid w:val="008C37CF"/>
    <w:rsid w:val="008C47FD"/>
    <w:rsid w:val="008C5985"/>
    <w:rsid w:val="008C5B59"/>
    <w:rsid w:val="008C5C1C"/>
    <w:rsid w:val="008C5D24"/>
    <w:rsid w:val="008C647C"/>
    <w:rsid w:val="008C7C01"/>
    <w:rsid w:val="008D6645"/>
    <w:rsid w:val="008D77C4"/>
    <w:rsid w:val="008E0487"/>
    <w:rsid w:val="008E0B76"/>
    <w:rsid w:val="008E0DDD"/>
    <w:rsid w:val="008E0E07"/>
    <w:rsid w:val="008E251D"/>
    <w:rsid w:val="008E3748"/>
    <w:rsid w:val="008E38B2"/>
    <w:rsid w:val="008E43CF"/>
    <w:rsid w:val="008E4995"/>
    <w:rsid w:val="008E5661"/>
    <w:rsid w:val="008E677C"/>
    <w:rsid w:val="008F003B"/>
    <w:rsid w:val="008F03A1"/>
    <w:rsid w:val="008F08A9"/>
    <w:rsid w:val="008F1FFC"/>
    <w:rsid w:val="008F2165"/>
    <w:rsid w:val="008F24B1"/>
    <w:rsid w:val="008F27BE"/>
    <w:rsid w:val="008F3A4B"/>
    <w:rsid w:val="008F4A4E"/>
    <w:rsid w:val="008F54F0"/>
    <w:rsid w:val="008F5A47"/>
    <w:rsid w:val="008F64E4"/>
    <w:rsid w:val="008F6D26"/>
    <w:rsid w:val="008F6F7E"/>
    <w:rsid w:val="00900A68"/>
    <w:rsid w:val="009019EC"/>
    <w:rsid w:val="0090362E"/>
    <w:rsid w:val="00904F4A"/>
    <w:rsid w:val="00904F54"/>
    <w:rsid w:val="00906891"/>
    <w:rsid w:val="00907862"/>
    <w:rsid w:val="009122F6"/>
    <w:rsid w:val="00917047"/>
    <w:rsid w:val="009172D1"/>
    <w:rsid w:val="00920924"/>
    <w:rsid w:val="00920EED"/>
    <w:rsid w:val="00921B4B"/>
    <w:rsid w:val="00921B62"/>
    <w:rsid w:val="00921BAF"/>
    <w:rsid w:val="009229BE"/>
    <w:rsid w:val="00923929"/>
    <w:rsid w:val="00923ED0"/>
    <w:rsid w:val="00924273"/>
    <w:rsid w:val="009248F6"/>
    <w:rsid w:val="00926B14"/>
    <w:rsid w:val="009272C8"/>
    <w:rsid w:val="009305C1"/>
    <w:rsid w:val="00931E34"/>
    <w:rsid w:val="00932420"/>
    <w:rsid w:val="00932D21"/>
    <w:rsid w:val="00933032"/>
    <w:rsid w:val="0093385C"/>
    <w:rsid w:val="00933A25"/>
    <w:rsid w:val="0093475D"/>
    <w:rsid w:val="00934784"/>
    <w:rsid w:val="0093512E"/>
    <w:rsid w:val="00935A42"/>
    <w:rsid w:val="0093614A"/>
    <w:rsid w:val="009363C8"/>
    <w:rsid w:val="009365A1"/>
    <w:rsid w:val="00940286"/>
    <w:rsid w:val="00942731"/>
    <w:rsid w:val="00942BAF"/>
    <w:rsid w:val="00943905"/>
    <w:rsid w:val="00943B2B"/>
    <w:rsid w:val="009463EA"/>
    <w:rsid w:val="00946610"/>
    <w:rsid w:val="00947006"/>
    <w:rsid w:val="00947EDC"/>
    <w:rsid w:val="00951BF1"/>
    <w:rsid w:val="009528FE"/>
    <w:rsid w:val="00952B62"/>
    <w:rsid w:val="0095430C"/>
    <w:rsid w:val="00954985"/>
    <w:rsid w:val="00954D82"/>
    <w:rsid w:val="00955676"/>
    <w:rsid w:val="00955987"/>
    <w:rsid w:val="009577F1"/>
    <w:rsid w:val="00960B28"/>
    <w:rsid w:val="00960B67"/>
    <w:rsid w:val="009615E4"/>
    <w:rsid w:val="00962BDA"/>
    <w:rsid w:val="00963529"/>
    <w:rsid w:val="00963F10"/>
    <w:rsid w:val="009702BC"/>
    <w:rsid w:val="009703E4"/>
    <w:rsid w:val="0097227E"/>
    <w:rsid w:val="00972503"/>
    <w:rsid w:val="009728A9"/>
    <w:rsid w:val="00973531"/>
    <w:rsid w:val="00973F2B"/>
    <w:rsid w:val="009749DF"/>
    <w:rsid w:val="00974AC6"/>
    <w:rsid w:val="009753AC"/>
    <w:rsid w:val="0097655D"/>
    <w:rsid w:val="00976D2C"/>
    <w:rsid w:val="00982122"/>
    <w:rsid w:val="00983167"/>
    <w:rsid w:val="00986776"/>
    <w:rsid w:val="00986BDC"/>
    <w:rsid w:val="00987873"/>
    <w:rsid w:val="009922FD"/>
    <w:rsid w:val="0099251E"/>
    <w:rsid w:val="00992E68"/>
    <w:rsid w:val="00993FDC"/>
    <w:rsid w:val="00994318"/>
    <w:rsid w:val="00995479"/>
    <w:rsid w:val="00996D70"/>
    <w:rsid w:val="009971BD"/>
    <w:rsid w:val="00997BB5"/>
    <w:rsid w:val="009A072B"/>
    <w:rsid w:val="009A09A1"/>
    <w:rsid w:val="009A0A98"/>
    <w:rsid w:val="009A12F5"/>
    <w:rsid w:val="009A3538"/>
    <w:rsid w:val="009A370E"/>
    <w:rsid w:val="009A3962"/>
    <w:rsid w:val="009A5DFE"/>
    <w:rsid w:val="009A5FEC"/>
    <w:rsid w:val="009B1D1A"/>
    <w:rsid w:val="009B27F2"/>
    <w:rsid w:val="009B2C38"/>
    <w:rsid w:val="009B315E"/>
    <w:rsid w:val="009B33CA"/>
    <w:rsid w:val="009B4988"/>
    <w:rsid w:val="009B499C"/>
    <w:rsid w:val="009B4E0C"/>
    <w:rsid w:val="009B5958"/>
    <w:rsid w:val="009B5B7A"/>
    <w:rsid w:val="009B6AD7"/>
    <w:rsid w:val="009B7361"/>
    <w:rsid w:val="009C0DA0"/>
    <w:rsid w:val="009C249F"/>
    <w:rsid w:val="009C4B7C"/>
    <w:rsid w:val="009C52D5"/>
    <w:rsid w:val="009C6852"/>
    <w:rsid w:val="009C70F6"/>
    <w:rsid w:val="009C749D"/>
    <w:rsid w:val="009C7BB6"/>
    <w:rsid w:val="009D1F29"/>
    <w:rsid w:val="009D23B0"/>
    <w:rsid w:val="009D4835"/>
    <w:rsid w:val="009D4C99"/>
    <w:rsid w:val="009D54C0"/>
    <w:rsid w:val="009D645D"/>
    <w:rsid w:val="009D6AD3"/>
    <w:rsid w:val="009D72B4"/>
    <w:rsid w:val="009D7635"/>
    <w:rsid w:val="009E1571"/>
    <w:rsid w:val="009E23DB"/>
    <w:rsid w:val="009E2AFC"/>
    <w:rsid w:val="009E382A"/>
    <w:rsid w:val="009E38A0"/>
    <w:rsid w:val="009E3E28"/>
    <w:rsid w:val="009E406F"/>
    <w:rsid w:val="009E6670"/>
    <w:rsid w:val="009E6EE8"/>
    <w:rsid w:val="009E6FDA"/>
    <w:rsid w:val="009E76CD"/>
    <w:rsid w:val="009E7ABD"/>
    <w:rsid w:val="009F016B"/>
    <w:rsid w:val="009F01F3"/>
    <w:rsid w:val="009F4A30"/>
    <w:rsid w:val="009F5717"/>
    <w:rsid w:val="009F5B01"/>
    <w:rsid w:val="009F647C"/>
    <w:rsid w:val="009F686D"/>
    <w:rsid w:val="009F6EF0"/>
    <w:rsid w:val="009F738E"/>
    <w:rsid w:val="009F759D"/>
    <w:rsid w:val="00A00C2C"/>
    <w:rsid w:val="00A01A41"/>
    <w:rsid w:val="00A02732"/>
    <w:rsid w:val="00A04514"/>
    <w:rsid w:val="00A0518F"/>
    <w:rsid w:val="00A0620D"/>
    <w:rsid w:val="00A074D9"/>
    <w:rsid w:val="00A07CF3"/>
    <w:rsid w:val="00A1144E"/>
    <w:rsid w:val="00A12EBA"/>
    <w:rsid w:val="00A13351"/>
    <w:rsid w:val="00A13F8C"/>
    <w:rsid w:val="00A14A18"/>
    <w:rsid w:val="00A14D6A"/>
    <w:rsid w:val="00A15F33"/>
    <w:rsid w:val="00A16227"/>
    <w:rsid w:val="00A162AC"/>
    <w:rsid w:val="00A163D0"/>
    <w:rsid w:val="00A1784B"/>
    <w:rsid w:val="00A21D2F"/>
    <w:rsid w:val="00A227F3"/>
    <w:rsid w:val="00A232BB"/>
    <w:rsid w:val="00A2339E"/>
    <w:rsid w:val="00A24656"/>
    <w:rsid w:val="00A25CB6"/>
    <w:rsid w:val="00A26350"/>
    <w:rsid w:val="00A270F1"/>
    <w:rsid w:val="00A27EC7"/>
    <w:rsid w:val="00A329DA"/>
    <w:rsid w:val="00A3398C"/>
    <w:rsid w:val="00A34205"/>
    <w:rsid w:val="00A3557F"/>
    <w:rsid w:val="00A366A5"/>
    <w:rsid w:val="00A37016"/>
    <w:rsid w:val="00A3749B"/>
    <w:rsid w:val="00A3779C"/>
    <w:rsid w:val="00A378E8"/>
    <w:rsid w:val="00A4094A"/>
    <w:rsid w:val="00A41009"/>
    <w:rsid w:val="00A4182B"/>
    <w:rsid w:val="00A4186A"/>
    <w:rsid w:val="00A42428"/>
    <w:rsid w:val="00A426EA"/>
    <w:rsid w:val="00A42B10"/>
    <w:rsid w:val="00A42C68"/>
    <w:rsid w:val="00A438A7"/>
    <w:rsid w:val="00A43B03"/>
    <w:rsid w:val="00A4623F"/>
    <w:rsid w:val="00A46CA1"/>
    <w:rsid w:val="00A46E8D"/>
    <w:rsid w:val="00A4742D"/>
    <w:rsid w:val="00A505B4"/>
    <w:rsid w:val="00A509AF"/>
    <w:rsid w:val="00A50E04"/>
    <w:rsid w:val="00A51CC3"/>
    <w:rsid w:val="00A52389"/>
    <w:rsid w:val="00A5264B"/>
    <w:rsid w:val="00A52B31"/>
    <w:rsid w:val="00A52BD9"/>
    <w:rsid w:val="00A52F5C"/>
    <w:rsid w:val="00A53028"/>
    <w:rsid w:val="00A53443"/>
    <w:rsid w:val="00A53693"/>
    <w:rsid w:val="00A546A6"/>
    <w:rsid w:val="00A55269"/>
    <w:rsid w:val="00A55B32"/>
    <w:rsid w:val="00A560E2"/>
    <w:rsid w:val="00A5623E"/>
    <w:rsid w:val="00A57027"/>
    <w:rsid w:val="00A601C3"/>
    <w:rsid w:val="00A6087A"/>
    <w:rsid w:val="00A60CE0"/>
    <w:rsid w:val="00A61650"/>
    <w:rsid w:val="00A61D50"/>
    <w:rsid w:val="00A64B90"/>
    <w:rsid w:val="00A65F93"/>
    <w:rsid w:val="00A66AC0"/>
    <w:rsid w:val="00A66CCE"/>
    <w:rsid w:val="00A66E35"/>
    <w:rsid w:val="00A6700D"/>
    <w:rsid w:val="00A67D55"/>
    <w:rsid w:val="00A706B3"/>
    <w:rsid w:val="00A719B3"/>
    <w:rsid w:val="00A71D83"/>
    <w:rsid w:val="00A73289"/>
    <w:rsid w:val="00A7442F"/>
    <w:rsid w:val="00A747E5"/>
    <w:rsid w:val="00A75A01"/>
    <w:rsid w:val="00A75B7E"/>
    <w:rsid w:val="00A76210"/>
    <w:rsid w:val="00A766C8"/>
    <w:rsid w:val="00A76E69"/>
    <w:rsid w:val="00A8087F"/>
    <w:rsid w:val="00A815AC"/>
    <w:rsid w:val="00A81687"/>
    <w:rsid w:val="00A820DA"/>
    <w:rsid w:val="00A8272F"/>
    <w:rsid w:val="00A828CE"/>
    <w:rsid w:val="00A831A6"/>
    <w:rsid w:val="00A84474"/>
    <w:rsid w:val="00A851F3"/>
    <w:rsid w:val="00A85C7D"/>
    <w:rsid w:val="00A90965"/>
    <w:rsid w:val="00A90EA5"/>
    <w:rsid w:val="00A90FEB"/>
    <w:rsid w:val="00A92466"/>
    <w:rsid w:val="00A9324E"/>
    <w:rsid w:val="00A942CB"/>
    <w:rsid w:val="00A948A6"/>
    <w:rsid w:val="00A948C7"/>
    <w:rsid w:val="00A963B6"/>
    <w:rsid w:val="00A97DA2"/>
    <w:rsid w:val="00AA1A03"/>
    <w:rsid w:val="00AA245D"/>
    <w:rsid w:val="00AA29A0"/>
    <w:rsid w:val="00AA2B16"/>
    <w:rsid w:val="00AA38AF"/>
    <w:rsid w:val="00AA51CF"/>
    <w:rsid w:val="00AA5DDD"/>
    <w:rsid w:val="00AB0116"/>
    <w:rsid w:val="00AB0475"/>
    <w:rsid w:val="00AB13FA"/>
    <w:rsid w:val="00AB266C"/>
    <w:rsid w:val="00AB30D0"/>
    <w:rsid w:val="00AB3B85"/>
    <w:rsid w:val="00AB4251"/>
    <w:rsid w:val="00AB65AF"/>
    <w:rsid w:val="00AB660B"/>
    <w:rsid w:val="00AB6E65"/>
    <w:rsid w:val="00AB75B6"/>
    <w:rsid w:val="00AC2E1D"/>
    <w:rsid w:val="00AC3B67"/>
    <w:rsid w:val="00AC3C83"/>
    <w:rsid w:val="00AC3EB6"/>
    <w:rsid w:val="00AC59E2"/>
    <w:rsid w:val="00AD0D68"/>
    <w:rsid w:val="00AD13C7"/>
    <w:rsid w:val="00AD2243"/>
    <w:rsid w:val="00AD2264"/>
    <w:rsid w:val="00AD23DA"/>
    <w:rsid w:val="00AD52AD"/>
    <w:rsid w:val="00AD6512"/>
    <w:rsid w:val="00AD6AB3"/>
    <w:rsid w:val="00AD7356"/>
    <w:rsid w:val="00AD7BB1"/>
    <w:rsid w:val="00AE14C5"/>
    <w:rsid w:val="00AE2003"/>
    <w:rsid w:val="00AE2533"/>
    <w:rsid w:val="00AE2648"/>
    <w:rsid w:val="00AE26B3"/>
    <w:rsid w:val="00AE3D11"/>
    <w:rsid w:val="00AE3EC9"/>
    <w:rsid w:val="00AE4857"/>
    <w:rsid w:val="00AE4AA1"/>
    <w:rsid w:val="00AE5B3C"/>
    <w:rsid w:val="00AE6123"/>
    <w:rsid w:val="00AE6CAA"/>
    <w:rsid w:val="00AE735C"/>
    <w:rsid w:val="00AF0A29"/>
    <w:rsid w:val="00AF146B"/>
    <w:rsid w:val="00AF1B68"/>
    <w:rsid w:val="00AF2065"/>
    <w:rsid w:val="00AF224D"/>
    <w:rsid w:val="00AF32C3"/>
    <w:rsid w:val="00AF3454"/>
    <w:rsid w:val="00AF5C45"/>
    <w:rsid w:val="00AF6DDE"/>
    <w:rsid w:val="00AF796C"/>
    <w:rsid w:val="00AF7DC8"/>
    <w:rsid w:val="00AF7F0A"/>
    <w:rsid w:val="00B00EF9"/>
    <w:rsid w:val="00B036DB"/>
    <w:rsid w:val="00B052B6"/>
    <w:rsid w:val="00B05A84"/>
    <w:rsid w:val="00B061B2"/>
    <w:rsid w:val="00B100F9"/>
    <w:rsid w:val="00B10705"/>
    <w:rsid w:val="00B11772"/>
    <w:rsid w:val="00B127A3"/>
    <w:rsid w:val="00B12A91"/>
    <w:rsid w:val="00B140F3"/>
    <w:rsid w:val="00B206C1"/>
    <w:rsid w:val="00B20884"/>
    <w:rsid w:val="00B21AD3"/>
    <w:rsid w:val="00B21DE4"/>
    <w:rsid w:val="00B2211A"/>
    <w:rsid w:val="00B2371E"/>
    <w:rsid w:val="00B24776"/>
    <w:rsid w:val="00B252E3"/>
    <w:rsid w:val="00B253E9"/>
    <w:rsid w:val="00B25D95"/>
    <w:rsid w:val="00B271D3"/>
    <w:rsid w:val="00B278D6"/>
    <w:rsid w:val="00B303B4"/>
    <w:rsid w:val="00B307C5"/>
    <w:rsid w:val="00B31398"/>
    <w:rsid w:val="00B3296A"/>
    <w:rsid w:val="00B33145"/>
    <w:rsid w:val="00B33DA3"/>
    <w:rsid w:val="00B3401C"/>
    <w:rsid w:val="00B342AE"/>
    <w:rsid w:val="00B34475"/>
    <w:rsid w:val="00B35E2E"/>
    <w:rsid w:val="00B35E38"/>
    <w:rsid w:val="00B3617B"/>
    <w:rsid w:val="00B368E9"/>
    <w:rsid w:val="00B41054"/>
    <w:rsid w:val="00B41CAE"/>
    <w:rsid w:val="00B426DC"/>
    <w:rsid w:val="00B42762"/>
    <w:rsid w:val="00B431D2"/>
    <w:rsid w:val="00B44143"/>
    <w:rsid w:val="00B441ED"/>
    <w:rsid w:val="00B44668"/>
    <w:rsid w:val="00B44CD9"/>
    <w:rsid w:val="00B450B7"/>
    <w:rsid w:val="00B45AB2"/>
    <w:rsid w:val="00B4619B"/>
    <w:rsid w:val="00B46734"/>
    <w:rsid w:val="00B46E3E"/>
    <w:rsid w:val="00B476AC"/>
    <w:rsid w:val="00B47DC6"/>
    <w:rsid w:val="00B509A3"/>
    <w:rsid w:val="00B5128B"/>
    <w:rsid w:val="00B5146B"/>
    <w:rsid w:val="00B51CF5"/>
    <w:rsid w:val="00B524F2"/>
    <w:rsid w:val="00B52B8C"/>
    <w:rsid w:val="00B541C0"/>
    <w:rsid w:val="00B5420B"/>
    <w:rsid w:val="00B55E00"/>
    <w:rsid w:val="00B55E50"/>
    <w:rsid w:val="00B56B82"/>
    <w:rsid w:val="00B56CAA"/>
    <w:rsid w:val="00B574B1"/>
    <w:rsid w:val="00B57F6B"/>
    <w:rsid w:val="00B60571"/>
    <w:rsid w:val="00B61574"/>
    <w:rsid w:val="00B61AD9"/>
    <w:rsid w:val="00B636B9"/>
    <w:rsid w:val="00B64BA8"/>
    <w:rsid w:val="00B64BD9"/>
    <w:rsid w:val="00B676CD"/>
    <w:rsid w:val="00B679F0"/>
    <w:rsid w:val="00B67E00"/>
    <w:rsid w:val="00B70DEE"/>
    <w:rsid w:val="00B71165"/>
    <w:rsid w:val="00B720DD"/>
    <w:rsid w:val="00B73FD6"/>
    <w:rsid w:val="00B756ED"/>
    <w:rsid w:val="00B76274"/>
    <w:rsid w:val="00B774FC"/>
    <w:rsid w:val="00B81D91"/>
    <w:rsid w:val="00B820BE"/>
    <w:rsid w:val="00B831C2"/>
    <w:rsid w:val="00B83C85"/>
    <w:rsid w:val="00B84D05"/>
    <w:rsid w:val="00B91265"/>
    <w:rsid w:val="00B91979"/>
    <w:rsid w:val="00B9268A"/>
    <w:rsid w:val="00B939B7"/>
    <w:rsid w:val="00B93C48"/>
    <w:rsid w:val="00B9434C"/>
    <w:rsid w:val="00B94D3E"/>
    <w:rsid w:val="00B96121"/>
    <w:rsid w:val="00B968A9"/>
    <w:rsid w:val="00B97423"/>
    <w:rsid w:val="00B978E3"/>
    <w:rsid w:val="00BA01B1"/>
    <w:rsid w:val="00BA0FB7"/>
    <w:rsid w:val="00BA2178"/>
    <w:rsid w:val="00BA2565"/>
    <w:rsid w:val="00BA2753"/>
    <w:rsid w:val="00BA32BB"/>
    <w:rsid w:val="00BA4232"/>
    <w:rsid w:val="00BA45FB"/>
    <w:rsid w:val="00BA5CD0"/>
    <w:rsid w:val="00BA6141"/>
    <w:rsid w:val="00BA6254"/>
    <w:rsid w:val="00BA66CA"/>
    <w:rsid w:val="00BA78D9"/>
    <w:rsid w:val="00BB0185"/>
    <w:rsid w:val="00BB1533"/>
    <w:rsid w:val="00BB1B92"/>
    <w:rsid w:val="00BB3313"/>
    <w:rsid w:val="00BB3874"/>
    <w:rsid w:val="00BB39D4"/>
    <w:rsid w:val="00BB46FD"/>
    <w:rsid w:val="00BB4D84"/>
    <w:rsid w:val="00BB522D"/>
    <w:rsid w:val="00BB5A69"/>
    <w:rsid w:val="00BB65D7"/>
    <w:rsid w:val="00BB703D"/>
    <w:rsid w:val="00BB7F45"/>
    <w:rsid w:val="00BB7FD8"/>
    <w:rsid w:val="00BC058B"/>
    <w:rsid w:val="00BC092D"/>
    <w:rsid w:val="00BC1198"/>
    <w:rsid w:val="00BC13B2"/>
    <w:rsid w:val="00BC1629"/>
    <w:rsid w:val="00BC2C82"/>
    <w:rsid w:val="00BC2FED"/>
    <w:rsid w:val="00BC382D"/>
    <w:rsid w:val="00BC3F28"/>
    <w:rsid w:val="00BC51D1"/>
    <w:rsid w:val="00BC5216"/>
    <w:rsid w:val="00BC5CB8"/>
    <w:rsid w:val="00BC600B"/>
    <w:rsid w:val="00BC6E13"/>
    <w:rsid w:val="00BC7A01"/>
    <w:rsid w:val="00BD20B3"/>
    <w:rsid w:val="00BD275A"/>
    <w:rsid w:val="00BD383C"/>
    <w:rsid w:val="00BD38AF"/>
    <w:rsid w:val="00BD482F"/>
    <w:rsid w:val="00BD540E"/>
    <w:rsid w:val="00BD62B1"/>
    <w:rsid w:val="00BD75FC"/>
    <w:rsid w:val="00BE055D"/>
    <w:rsid w:val="00BE085C"/>
    <w:rsid w:val="00BE0BCA"/>
    <w:rsid w:val="00BE0D52"/>
    <w:rsid w:val="00BE0DFA"/>
    <w:rsid w:val="00BE0E3B"/>
    <w:rsid w:val="00BE2C93"/>
    <w:rsid w:val="00BE2DB5"/>
    <w:rsid w:val="00BE36FC"/>
    <w:rsid w:val="00BE549C"/>
    <w:rsid w:val="00BF1600"/>
    <w:rsid w:val="00BF178B"/>
    <w:rsid w:val="00BF2CAF"/>
    <w:rsid w:val="00BF302C"/>
    <w:rsid w:val="00BF40D5"/>
    <w:rsid w:val="00BF41C3"/>
    <w:rsid w:val="00BF5A24"/>
    <w:rsid w:val="00BF5C41"/>
    <w:rsid w:val="00BF5C5D"/>
    <w:rsid w:val="00C009C5"/>
    <w:rsid w:val="00C02046"/>
    <w:rsid w:val="00C028F9"/>
    <w:rsid w:val="00C02BB6"/>
    <w:rsid w:val="00C03151"/>
    <w:rsid w:val="00C037D3"/>
    <w:rsid w:val="00C039D9"/>
    <w:rsid w:val="00C0441A"/>
    <w:rsid w:val="00C04630"/>
    <w:rsid w:val="00C10B0D"/>
    <w:rsid w:val="00C11CAA"/>
    <w:rsid w:val="00C1453C"/>
    <w:rsid w:val="00C17501"/>
    <w:rsid w:val="00C1789F"/>
    <w:rsid w:val="00C20CE8"/>
    <w:rsid w:val="00C22CEF"/>
    <w:rsid w:val="00C23B68"/>
    <w:rsid w:val="00C24092"/>
    <w:rsid w:val="00C241FC"/>
    <w:rsid w:val="00C24759"/>
    <w:rsid w:val="00C24F68"/>
    <w:rsid w:val="00C27093"/>
    <w:rsid w:val="00C27733"/>
    <w:rsid w:val="00C31016"/>
    <w:rsid w:val="00C3121A"/>
    <w:rsid w:val="00C31A89"/>
    <w:rsid w:val="00C3221B"/>
    <w:rsid w:val="00C32A8C"/>
    <w:rsid w:val="00C343BE"/>
    <w:rsid w:val="00C34469"/>
    <w:rsid w:val="00C35122"/>
    <w:rsid w:val="00C3596B"/>
    <w:rsid w:val="00C36DDD"/>
    <w:rsid w:val="00C4005D"/>
    <w:rsid w:val="00C402F4"/>
    <w:rsid w:val="00C41259"/>
    <w:rsid w:val="00C43722"/>
    <w:rsid w:val="00C45134"/>
    <w:rsid w:val="00C46B2A"/>
    <w:rsid w:val="00C46D6D"/>
    <w:rsid w:val="00C46D72"/>
    <w:rsid w:val="00C46F0E"/>
    <w:rsid w:val="00C474F1"/>
    <w:rsid w:val="00C478BD"/>
    <w:rsid w:val="00C47DC7"/>
    <w:rsid w:val="00C47FCE"/>
    <w:rsid w:val="00C50015"/>
    <w:rsid w:val="00C515B9"/>
    <w:rsid w:val="00C52E29"/>
    <w:rsid w:val="00C53302"/>
    <w:rsid w:val="00C54247"/>
    <w:rsid w:val="00C55105"/>
    <w:rsid w:val="00C55DB7"/>
    <w:rsid w:val="00C565AA"/>
    <w:rsid w:val="00C56D55"/>
    <w:rsid w:val="00C57319"/>
    <w:rsid w:val="00C57886"/>
    <w:rsid w:val="00C57CB4"/>
    <w:rsid w:val="00C61D8E"/>
    <w:rsid w:val="00C61F1B"/>
    <w:rsid w:val="00C62244"/>
    <w:rsid w:val="00C624D9"/>
    <w:rsid w:val="00C625CF"/>
    <w:rsid w:val="00C63460"/>
    <w:rsid w:val="00C63C08"/>
    <w:rsid w:val="00C65435"/>
    <w:rsid w:val="00C65BEE"/>
    <w:rsid w:val="00C66604"/>
    <w:rsid w:val="00C66CF1"/>
    <w:rsid w:val="00C67B46"/>
    <w:rsid w:val="00C71B9D"/>
    <w:rsid w:val="00C71DCC"/>
    <w:rsid w:val="00C71E1B"/>
    <w:rsid w:val="00C72A54"/>
    <w:rsid w:val="00C72C9D"/>
    <w:rsid w:val="00C74D99"/>
    <w:rsid w:val="00C75758"/>
    <w:rsid w:val="00C77853"/>
    <w:rsid w:val="00C805A9"/>
    <w:rsid w:val="00C817A2"/>
    <w:rsid w:val="00C824D8"/>
    <w:rsid w:val="00C82C5D"/>
    <w:rsid w:val="00C835AD"/>
    <w:rsid w:val="00C83A2F"/>
    <w:rsid w:val="00C8468A"/>
    <w:rsid w:val="00C84DBB"/>
    <w:rsid w:val="00C85D6D"/>
    <w:rsid w:val="00C86B86"/>
    <w:rsid w:val="00C90BF4"/>
    <w:rsid w:val="00C90C7D"/>
    <w:rsid w:val="00C91165"/>
    <w:rsid w:val="00C91705"/>
    <w:rsid w:val="00C91D08"/>
    <w:rsid w:val="00C92626"/>
    <w:rsid w:val="00C94848"/>
    <w:rsid w:val="00C9517D"/>
    <w:rsid w:val="00C95865"/>
    <w:rsid w:val="00C95E4A"/>
    <w:rsid w:val="00C962CA"/>
    <w:rsid w:val="00C97113"/>
    <w:rsid w:val="00C9732A"/>
    <w:rsid w:val="00C9773C"/>
    <w:rsid w:val="00CA1567"/>
    <w:rsid w:val="00CA2814"/>
    <w:rsid w:val="00CA3B4A"/>
    <w:rsid w:val="00CA49DF"/>
    <w:rsid w:val="00CA541A"/>
    <w:rsid w:val="00CA6AD0"/>
    <w:rsid w:val="00CA72F8"/>
    <w:rsid w:val="00CA7ACB"/>
    <w:rsid w:val="00CB0124"/>
    <w:rsid w:val="00CB1B5E"/>
    <w:rsid w:val="00CB3589"/>
    <w:rsid w:val="00CB380A"/>
    <w:rsid w:val="00CB3DB0"/>
    <w:rsid w:val="00CB452E"/>
    <w:rsid w:val="00CB75A7"/>
    <w:rsid w:val="00CB7F72"/>
    <w:rsid w:val="00CC1CB3"/>
    <w:rsid w:val="00CC1DB1"/>
    <w:rsid w:val="00CC1F05"/>
    <w:rsid w:val="00CC2BC4"/>
    <w:rsid w:val="00CC2EFD"/>
    <w:rsid w:val="00CC45B2"/>
    <w:rsid w:val="00CC5E3D"/>
    <w:rsid w:val="00CC5F2C"/>
    <w:rsid w:val="00CD2157"/>
    <w:rsid w:val="00CD4E57"/>
    <w:rsid w:val="00CD5E5F"/>
    <w:rsid w:val="00CD7EE9"/>
    <w:rsid w:val="00CE1295"/>
    <w:rsid w:val="00CE223C"/>
    <w:rsid w:val="00CE223F"/>
    <w:rsid w:val="00CE3645"/>
    <w:rsid w:val="00CE3BA2"/>
    <w:rsid w:val="00CE58FC"/>
    <w:rsid w:val="00CE5A9E"/>
    <w:rsid w:val="00CE7FA8"/>
    <w:rsid w:val="00CF062E"/>
    <w:rsid w:val="00CF14F5"/>
    <w:rsid w:val="00CF17B7"/>
    <w:rsid w:val="00CF18CA"/>
    <w:rsid w:val="00CF2184"/>
    <w:rsid w:val="00CF2B1C"/>
    <w:rsid w:val="00CF2B7A"/>
    <w:rsid w:val="00CF35D2"/>
    <w:rsid w:val="00CF53D3"/>
    <w:rsid w:val="00CF559B"/>
    <w:rsid w:val="00CF6141"/>
    <w:rsid w:val="00CF64BA"/>
    <w:rsid w:val="00CF7269"/>
    <w:rsid w:val="00CF75E2"/>
    <w:rsid w:val="00D00165"/>
    <w:rsid w:val="00D00746"/>
    <w:rsid w:val="00D00F11"/>
    <w:rsid w:val="00D0259C"/>
    <w:rsid w:val="00D0414A"/>
    <w:rsid w:val="00D05069"/>
    <w:rsid w:val="00D06A38"/>
    <w:rsid w:val="00D06B0C"/>
    <w:rsid w:val="00D07253"/>
    <w:rsid w:val="00D07714"/>
    <w:rsid w:val="00D104D2"/>
    <w:rsid w:val="00D10BD6"/>
    <w:rsid w:val="00D112CC"/>
    <w:rsid w:val="00D12056"/>
    <w:rsid w:val="00D13EEA"/>
    <w:rsid w:val="00D148E3"/>
    <w:rsid w:val="00D1499A"/>
    <w:rsid w:val="00D151C4"/>
    <w:rsid w:val="00D1551E"/>
    <w:rsid w:val="00D1609F"/>
    <w:rsid w:val="00D161D2"/>
    <w:rsid w:val="00D169F3"/>
    <w:rsid w:val="00D16BD9"/>
    <w:rsid w:val="00D16DCD"/>
    <w:rsid w:val="00D21A29"/>
    <w:rsid w:val="00D22738"/>
    <w:rsid w:val="00D227F7"/>
    <w:rsid w:val="00D227FC"/>
    <w:rsid w:val="00D2295B"/>
    <w:rsid w:val="00D26D3D"/>
    <w:rsid w:val="00D277A6"/>
    <w:rsid w:val="00D27B64"/>
    <w:rsid w:val="00D30F44"/>
    <w:rsid w:val="00D31212"/>
    <w:rsid w:val="00D317A2"/>
    <w:rsid w:val="00D31D3D"/>
    <w:rsid w:val="00D3221F"/>
    <w:rsid w:val="00D33BC7"/>
    <w:rsid w:val="00D3520E"/>
    <w:rsid w:val="00D36085"/>
    <w:rsid w:val="00D36462"/>
    <w:rsid w:val="00D3672D"/>
    <w:rsid w:val="00D3746A"/>
    <w:rsid w:val="00D40743"/>
    <w:rsid w:val="00D40C48"/>
    <w:rsid w:val="00D42B3C"/>
    <w:rsid w:val="00D432BC"/>
    <w:rsid w:val="00D43B5A"/>
    <w:rsid w:val="00D440F9"/>
    <w:rsid w:val="00D46DA2"/>
    <w:rsid w:val="00D46E9C"/>
    <w:rsid w:val="00D46F20"/>
    <w:rsid w:val="00D503D7"/>
    <w:rsid w:val="00D504ED"/>
    <w:rsid w:val="00D5146A"/>
    <w:rsid w:val="00D5354E"/>
    <w:rsid w:val="00D540B1"/>
    <w:rsid w:val="00D5425E"/>
    <w:rsid w:val="00D55699"/>
    <w:rsid w:val="00D565C3"/>
    <w:rsid w:val="00D567C0"/>
    <w:rsid w:val="00D56CE9"/>
    <w:rsid w:val="00D57174"/>
    <w:rsid w:val="00D57644"/>
    <w:rsid w:val="00D578B3"/>
    <w:rsid w:val="00D578C3"/>
    <w:rsid w:val="00D6068C"/>
    <w:rsid w:val="00D61433"/>
    <w:rsid w:val="00D61539"/>
    <w:rsid w:val="00D61714"/>
    <w:rsid w:val="00D623B9"/>
    <w:rsid w:val="00D625E0"/>
    <w:rsid w:val="00D62C74"/>
    <w:rsid w:val="00D63463"/>
    <w:rsid w:val="00D6365E"/>
    <w:rsid w:val="00D63FAF"/>
    <w:rsid w:val="00D64BEC"/>
    <w:rsid w:val="00D6546D"/>
    <w:rsid w:val="00D7196B"/>
    <w:rsid w:val="00D7373B"/>
    <w:rsid w:val="00D73DD0"/>
    <w:rsid w:val="00D75709"/>
    <w:rsid w:val="00D81673"/>
    <w:rsid w:val="00D829EF"/>
    <w:rsid w:val="00D84202"/>
    <w:rsid w:val="00D84543"/>
    <w:rsid w:val="00D85DC0"/>
    <w:rsid w:val="00D86866"/>
    <w:rsid w:val="00D86B42"/>
    <w:rsid w:val="00D874DF"/>
    <w:rsid w:val="00D90B83"/>
    <w:rsid w:val="00D90BA9"/>
    <w:rsid w:val="00D914B1"/>
    <w:rsid w:val="00D9235B"/>
    <w:rsid w:val="00D92915"/>
    <w:rsid w:val="00D92F0F"/>
    <w:rsid w:val="00D933D7"/>
    <w:rsid w:val="00D936A6"/>
    <w:rsid w:val="00D939D0"/>
    <w:rsid w:val="00D942EB"/>
    <w:rsid w:val="00D94E08"/>
    <w:rsid w:val="00D94EA6"/>
    <w:rsid w:val="00D96BD8"/>
    <w:rsid w:val="00DA2690"/>
    <w:rsid w:val="00DA2AA7"/>
    <w:rsid w:val="00DA34F2"/>
    <w:rsid w:val="00DA35B0"/>
    <w:rsid w:val="00DA49DE"/>
    <w:rsid w:val="00DA56EA"/>
    <w:rsid w:val="00DA64CD"/>
    <w:rsid w:val="00DA7891"/>
    <w:rsid w:val="00DB04C0"/>
    <w:rsid w:val="00DB062C"/>
    <w:rsid w:val="00DB0DEB"/>
    <w:rsid w:val="00DB0E5E"/>
    <w:rsid w:val="00DB0F29"/>
    <w:rsid w:val="00DB35D4"/>
    <w:rsid w:val="00DB44D0"/>
    <w:rsid w:val="00DB6F8A"/>
    <w:rsid w:val="00DC040A"/>
    <w:rsid w:val="00DC2087"/>
    <w:rsid w:val="00DC21F8"/>
    <w:rsid w:val="00DC324D"/>
    <w:rsid w:val="00DC3AAF"/>
    <w:rsid w:val="00DC4BB7"/>
    <w:rsid w:val="00DC5C03"/>
    <w:rsid w:val="00DC5D76"/>
    <w:rsid w:val="00DC76C2"/>
    <w:rsid w:val="00DD4676"/>
    <w:rsid w:val="00DD5A32"/>
    <w:rsid w:val="00DD66E6"/>
    <w:rsid w:val="00DE0301"/>
    <w:rsid w:val="00DE119A"/>
    <w:rsid w:val="00DE18BC"/>
    <w:rsid w:val="00DE1D1E"/>
    <w:rsid w:val="00DE2D7C"/>
    <w:rsid w:val="00DE4215"/>
    <w:rsid w:val="00DE4251"/>
    <w:rsid w:val="00DE47EA"/>
    <w:rsid w:val="00DE6D8B"/>
    <w:rsid w:val="00DE7BB4"/>
    <w:rsid w:val="00DF0453"/>
    <w:rsid w:val="00DF16BB"/>
    <w:rsid w:val="00DF3A76"/>
    <w:rsid w:val="00DF3D7F"/>
    <w:rsid w:val="00DF41B1"/>
    <w:rsid w:val="00DF4DCB"/>
    <w:rsid w:val="00DF692F"/>
    <w:rsid w:val="00DF78A7"/>
    <w:rsid w:val="00E0076A"/>
    <w:rsid w:val="00E02A26"/>
    <w:rsid w:val="00E03805"/>
    <w:rsid w:val="00E03B85"/>
    <w:rsid w:val="00E03FC6"/>
    <w:rsid w:val="00E04258"/>
    <w:rsid w:val="00E0500D"/>
    <w:rsid w:val="00E05D8D"/>
    <w:rsid w:val="00E11C8A"/>
    <w:rsid w:val="00E12B26"/>
    <w:rsid w:val="00E12B6E"/>
    <w:rsid w:val="00E13357"/>
    <w:rsid w:val="00E14983"/>
    <w:rsid w:val="00E14D50"/>
    <w:rsid w:val="00E150E2"/>
    <w:rsid w:val="00E158BA"/>
    <w:rsid w:val="00E15D57"/>
    <w:rsid w:val="00E16047"/>
    <w:rsid w:val="00E1607A"/>
    <w:rsid w:val="00E16438"/>
    <w:rsid w:val="00E165EA"/>
    <w:rsid w:val="00E166E3"/>
    <w:rsid w:val="00E16B52"/>
    <w:rsid w:val="00E16DD2"/>
    <w:rsid w:val="00E205B0"/>
    <w:rsid w:val="00E2167C"/>
    <w:rsid w:val="00E21CC3"/>
    <w:rsid w:val="00E21E21"/>
    <w:rsid w:val="00E22077"/>
    <w:rsid w:val="00E22845"/>
    <w:rsid w:val="00E228DA"/>
    <w:rsid w:val="00E23F5A"/>
    <w:rsid w:val="00E2412C"/>
    <w:rsid w:val="00E25883"/>
    <w:rsid w:val="00E27D28"/>
    <w:rsid w:val="00E31569"/>
    <w:rsid w:val="00E316A2"/>
    <w:rsid w:val="00E321FE"/>
    <w:rsid w:val="00E325B3"/>
    <w:rsid w:val="00E32643"/>
    <w:rsid w:val="00E339ED"/>
    <w:rsid w:val="00E33C3B"/>
    <w:rsid w:val="00E3474B"/>
    <w:rsid w:val="00E34AB0"/>
    <w:rsid w:val="00E351BC"/>
    <w:rsid w:val="00E3558A"/>
    <w:rsid w:val="00E36699"/>
    <w:rsid w:val="00E36B8C"/>
    <w:rsid w:val="00E37AE5"/>
    <w:rsid w:val="00E37B2F"/>
    <w:rsid w:val="00E37B86"/>
    <w:rsid w:val="00E4030D"/>
    <w:rsid w:val="00E40BA2"/>
    <w:rsid w:val="00E40DDE"/>
    <w:rsid w:val="00E40E0E"/>
    <w:rsid w:val="00E41F2E"/>
    <w:rsid w:val="00E42519"/>
    <w:rsid w:val="00E43C9A"/>
    <w:rsid w:val="00E44A97"/>
    <w:rsid w:val="00E45DE6"/>
    <w:rsid w:val="00E46770"/>
    <w:rsid w:val="00E46824"/>
    <w:rsid w:val="00E47512"/>
    <w:rsid w:val="00E47A60"/>
    <w:rsid w:val="00E50FA9"/>
    <w:rsid w:val="00E5246E"/>
    <w:rsid w:val="00E52C2E"/>
    <w:rsid w:val="00E53B04"/>
    <w:rsid w:val="00E5561C"/>
    <w:rsid w:val="00E55DDD"/>
    <w:rsid w:val="00E567B9"/>
    <w:rsid w:val="00E573C3"/>
    <w:rsid w:val="00E608E5"/>
    <w:rsid w:val="00E61124"/>
    <w:rsid w:val="00E61AA1"/>
    <w:rsid w:val="00E6209F"/>
    <w:rsid w:val="00E62D22"/>
    <w:rsid w:val="00E63669"/>
    <w:rsid w:val="00E6399B"/>
    <w:rsid w:val="00E63E01"/>
    <w:rsid w:val="00E65108"/>
    <w:rsid w:val="00E66156"/>
    <w:rsid w:val="00E66499"/>
    <w:rsid w:val="00E665E3"/>
    <w:rsid w:val="00E71B7C"/>
    <w:rsid w:val="00E72169"/>
    <w:rsid w:val="00E72E64"/>
    <w:rsid w:val="00E73524"/>
    <w:rsid w:val="00E762F9"/>
    <w:rsid w:val="00E76B6D"/>
    <w:rsid w:val="00E812E9"/>
    <w:rsid w:val="00E82031"/>
    <w:rsid w:val="00E82823"/>
    <w:rsid w:val="00E82A10"/>
    <w:rsid w:val="00E82B83"/>
    <w:rsid w:val="00E83316"/>
    <w:rsid w:val="00E839B4"/>
    <w:rsid w:val="00E84189"/>
    <w:rsid w:val="00E854FD"/>
    <w:rsid w:val="00E86CE6"/>
    <w:rsid w:val="00E86D20"/>
    <w:rsid w:val="00E8743C"/>
    <w:rsid w:val="00E87CF3"/>
    <w:rsid w:val="00E9015B"/>
    <w:rsid w:val="00E90A26"/>
    <w:rsid w:val="00E9542C"/>
    <w:rsid w:val="00E96C37"/>
    <w:rsid w:val="00E976D9"/>
    <w:rsid w:val="00EA00E3"/>
    <w:rsid w:val="00EA1AD8"/>
    <w:rsid w:val="00EA2874"/>
    <w:rsid w:val="00EA47CD"/>
    <w:rsid w:val="00EA4E8F"/>
    <w:rsid w:val="00EA5781"/>
    <w:rsid w:val="00EA63CE"/>
    <w:rsid w:val="00EA6561"/>
    <w:rsid w:val="00EA696E"/>
    <w:rsid w:val="00EB1CA5"/>
    <w:rsid w:val="00EB21B3"/>
    <w:rsid w:val="00EB279D"/>
    <w:rsid w:val="00EB2CAA"/>
    <w:rsid w:val="00EB36BE"/>
    <w:rsid w:val="00EB3E30"/>
    <w:rsid w:val="00EB427F"/>
    <w:rsid w:val="00EB52D8"/>
    <w:rsid w:val="00EB6E52"/>
    <w:rsid w:val="00EC11B4"/>
    <w:rsid w:val="00EC11F1"/>
    <w:rsid w:val="00EC1D47"/>
    <w:rsid w:val="00EC281D"/>
    <w:rsid w:val="00EC2D45"/>
    <w:rsid w:val="00EC6090"/>
    <w:rsid w:val="00EC6CFD"/>
    <w:rsid w:val="00EC78F3"/>
    <w:rsid w:val="00ED0608"/>
    <w:rsid w:val="00ED093B"/>
    <w:rsid w:val="00ED0CCE"/>
    <w:rsid w:val="00ED14C3"/>
    <w:rsid w:val="00ED188F"/>
    <w:rsid w:val="00ED1B3E"/>
    <w:rsid w:val="00ED1C2A"/>
    <w:rsid w:val="00ED1E3C"/>
    <w:rsid w:val="00ED57C9"/>
    <w:rsid w:val="00ED5E45"/>
    <w:rsid w:val="00ED6F79"/>
    <w:rsid w:val="00ED7A5A"/>
    <w:rsid w:val="00EE358A"/>
    <w:rsid w:val="00EE381D"/>
    <w:rsid w:val="00EE5D13"/>
    <w:rsid w:val="00EE6388"/>
    <w:rsid w:val="00EE7EEB"/>
    <w:rsid w:val="00EF0106"/>
    <w:rsid w:val="00EF0712"/>
    <w:rsid w:val="00EF0A40"/>
    <w:rsid w:val="00EF154A"/>
    <w:rsid w:val="00EF4960"/>
    <w:rsid w:val="00EF54A4"/>
    <w:rsid w:val="00EF7396"/>
    <w:rsid w:val="00EF76F8"/>
    <w:rsid w:val="00EF7EAB"/>
    <w:rsid w:val="00F01937"/>
    <w:rsid w:val="00F01F7C"/>
    <w:rsid w:val="00F030BC"/>
    <w:rsid w:val="00F05450"/>
    <w:rsid w:val="00F05BFD"/>
    <w:rsid w:val="00F074F2"/>
    <w:rsid w:val="00F10ADA"/>
    <w:rsid w:val="00F10DDD"/>
    <w:rsid w:val="00F10F48"/>
    <w:rsid w:val="00F1103A"/>
    <w:rsid w:val="00F1106D"/>
    <w:rsid w:val="00F111D9"/>
    <w:rsid w:val="00F11994"/>
    <w:rsid w:val="00F11A41"/>
    <w:rsid w:val="00F1270F"/>
    <w:rsid w:val="00F133E5"/>
    <w:rsid w:val="00F13674"/>
    <w:rsid w:val="00F13E00"/>
    <w:rsid w:val="00F13E7D"/>
    <w:rsid w:val="00F14671"/>
    <w:rsid w:val="00F14880"/>
    <w:rsid w:val="00F14A2A"/>
    <w:rsid w:val="00F14F6D"/>
    <w:rsid w:val="00F1648A"/>
    <w:rsid w:val="00F1752B"/>
    <w:rsid w:val="00F1796B"/>
    <w:rsid w:val="00F17CE5"/>
    <w:rsid w:val="00F2072A"/>
    <w:rsid w:val="00F24736"/>
    <w:rsid w:val="00F25714"/>
    <w:rsid w:val="00F26AD9"/>
    <w:rsid w:val="00F26EE5"/>
    <w:rsid w:val="00F26F6E"/>
    <w:rsid w:val="00F27EF4"/>
    <w:rsid w:val="00F3114B"/>
    <w:rsid w:val="00F312DA"/>
    <w:rsid w:val="00F3162C"/>
    <w:rsid w:val="00F323A9"/>
    <w:rsid w:val="00F36D0D"/>
    <w:rsid w:val="00F36F7B"/>
    <w:rsid w:val="00F37282"/>
    <w:rsid w:val="00F372AF"/>
    <w:rsid w:val="00F37CD9"/>
    <w:rsid w:val="00F41392"/>
    <w:rsid w:val="00F42A4F"/>
    <w:rsid w:val="00F438B2"/>
    <w:rsid w:val="00F44493"/>
    <w:rsid w:val="00F456D9"/>
    <w:rsid w:val="00F45FF6"/>
    <w:rsid w:val="00F470E2"/>
    <w:rsid w:val="00F4745C"/>
    <w:rsid w:val="00F47BA5"/>
    <w:rsid w:val="00F50C92"/>
    <w:rsid w:val="00F50EA7"/>
    <w:rsid w:val="00F52903"/>
    <w:rsid w:val="00F529FB"/>
    <w:rsid w:val="00F52D20"/>
    <w:rsid w:val="00F535D3"/>
    <w:rsid w:val="00F54406"/>
    <w:rsid w:val="00F54537"/>
    <w:rsid w:val="00F54B43"/>
    <w:rsid w:val="00F56C3D"/>
    <w:rsid w:val="00F571AF"/>
    <w:rsid w:val="00F574B6"/>
    <w:rsid w:val="00F57721"/>
    <w:rsid w:val="00F577AE"/>
    <w:rsid w:val="00F6229D"/>
    <w:rsid w:val="00F63256"/>
    <w:rsid w:val="00F63324"/>
    <w:rsid w:val="00F641FF"/>
    <w:rsid w:val="00F66113"/>
    <w:rsid w:val="00F66CA7"/>
    <w:rsid w:val="00F66DD9"/>
    <w:rsid w:val="00F67337"/>
    <w:rsid w:val="00F677F0"/>
    <w:rsid w:val="00F70C62"/>
    <w:rsid w:val="00F70D2C"/>
    <w:rsid w:val="00F712F0"/>
    <w:rsid w:val="00F7143B"/>
    <w:rsid w:val="00F72EC4"/>
    <w:rsid w:val="00F73438"/>
    <w:rsid w:val="00F73C37"/>
    <w:rsid w:val="00F74421"/>
    <w:rsid w:val="00F74586"/>
    <w:rsid w:val="00F74673"/>
    <w:rsid w:val="00F74C18"/>
    <w:rsid w:val="00F75568"/>
    <w:rsid w:val="00F758D9"/>
    <w:rsid w:val="00F76201"/>
    <w:rsid w:val="00F76542"/>
    <w:rsid w:val="00F7786E"/>
    <w:rsid w:val="00F77CBD"/>
    <w:rsid w:val="00F77F93"/>
    <w:rsid w:val="00F80312"/>
    <w:rsid w:val="00F80622"/>
    <w:rsid w:val="00F809CE"/>
    <w:rsid w:val="00F80BCB"/>
    <w:rsid w:val="00F81201"/>
    <w:rsid w:val="00F81F51"/>
    <w:rsid w:val="00F823E6"/>
    <w:rsid w:val="00F82B25"/>
    <w:rsid w:val="00F82D38"/>
    <w:rsid w:val="00F8338D"/>
    <w:rsid w:val="00F83DFF"/>
    <w:rsid w:val="00F83FC7"/>
    <w:rsid w:val="00F84CAB"/>
    <w:rsid w:val="00F84D48"/>
    <w:rsid w:val="00F85CF2"/>
    <w:rsid w:val="00F87CE5"/>
    <w:rsid w:val="00F92437"/>
    <w:rsid w:val="00F92692"/>
    <w:rsid w:val="00F9279B"/>
    <w:rsid w:val="00F93A0F"/>
    <w:rsid w:val="00F93B41"/>
    <w:rsid w:val="00F9431B"/>
    <w:rsid w:val="00F9606C"/>
    <w:rsid w:val="00F96760"/>
    <w:rsid w:val="00F9762F"/>
    <w:rsid w:val="00FA01BD"/>
    <w:rsid w:val="00FA0814"/>
    <w:rsid w:val="00FA14E7"/>
    <w:rsid w:val="00FA171A"/>
    <w:rsid w:val="00FA1F2B"/>
    <w:rsid w:val="00FA5BBC"/>
    <w:rsid w:val="00FA601D"/>
    <w:rsid w:val="00FB0039"/>
    <w:rsid w:val="00FB0B93"/>
    <w:rsid w:val="00FB11B8"/>
    <w:rsid w:val="00FB1A0A"/>
    <w:rsid w:val="00FB1C77"/>
    <w:rsid w:val="00FB2FB5"/>
    <w:rsid w:val="00FB4617"/>
    <w:rsid w:val="00FB4804"/>
    <w:rsid w:val="00FB6561"/>
    <w:rsid w:val="00FB656D"/>
    <w:rsid w:val="00FB6D8B"/>
    <w:rsid w:val="00FB706D"/>
    <w:rsid w:val="00FB713C"/>
    <w:rsid w:val="00FB7AB3"/>
    <w:rsid w:val="00FC0962"/>
    <w:rsid w:val="00FC0C2D"/>
    <w:rsid w:val="00FC1F1C"/>
    <w:rsid w:val="00FC205E"/>
    <w:rsid w:val="00FC27C2"/>
    <w:rsid w:val="00FC429D"/>
    <w:rsid w:val="00FC4343"/>
    <w:rsid w:val="00FC6382"/>
    <w:rsid w:val="00FC691F"/>
    <w:rsid w:val="00FC7339"/>
    <w:rsid w:val="00FC75A9"/>
    <w:rsid w:val="00FC7C3F"/>
    <w:rsid w:val="00FD1F13"/>
    <w:rsid w:val="00FD285E"/>
    <w:rsid w:val="00FD442B"/>
    <w:rsid w:val="00FD4B70"/>
    <w:rsid w:val="00FD5830"/>
    <w:rsid w:val="00FD60C8"/>
    <w:rsid w:val="00FD6A5E"/>
    <w:rsid w:val="00FD6C5B"/>
    <w:rsid w:val="00FD6D31"/>
    <w:rsid w:val="00FD6E2D"/>
    <w:rsid w:val="00FD7BD7"/>
    <w:rsid w:val="00FD7DAD"/>
    <w:rsid w:val="00FE0DAD"/>
    <w:rsid w:val="00FE0FD8"/>
    <w:rsid w:val="00FE18A2"/>
    <w:rsid w:val="00FE3EEB"/>
    <w:rsid w:val="00FE40B3"/>
    <w:rsid w:val="00FE416C"/>
    <w:rsid w:val="00FE429B"/>
    <w:rsid w:val="00FE47CF"/>
    <w:rsid w:val="00FE5B5D"/>
    <w:rsid w:val="00FE5E37"/>
    <w:rsid w:val="00FE6F1E"/>
    <w:rsid w:val="00FE7DD2"/>
    <w:rsid w:val="00FF17A6"/>
    <w:rsid w:val="00FF1BCC"/>
    <w:rsid w:val="00FF2008"/>
    <w:rsid w:val="00FF66EF"/>
    <w:rsid w:val="00FF6D53"/>
    <w:rsid w:val="00FF7035"/>
    <w:rsid w:val="00FF7053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1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E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EC7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7EC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45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5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178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1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E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EC7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7EC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45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5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17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1757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BIK S.A.</Company>
  <LinksUpToDate>false</LinksUpToDate>
  <CharactersWithSpaces>12275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Kochalska</dc:creator>
  <cp:lastModifiedBy>Borowiecka Diana</cp:lastModifiedBy>
  <cp:revision>12</cp:revision>
  <dcterms:created xsi:type="dcterms:W3CDTF">2017-06-29T08:53:00Z</dcterms:created>
  <dcterms:modified xsi:type="dcterms:W3CDTF">2017-09-26T14:30:00Z</dcterms:modified>
</cp:coreProperties>
</file>