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4CFA" w:rsidRPr="00F85C39" w:rsidRDefault="00C43A13" w:rsidP="00C43A13">
      <w:pPr>
        <w:spacing w:line="276" w:lineRule="auto"/>
        <w:rPr>
          <w:rFonts w:asciiTheme="minorHAnsi" w:hAnsiTheme="minorHAnsi" w:cs="Arial"/>
          <w:sz w:val="22"/>
          <w:szCs w:val="22"/>
        </w:rPr>
      </w:pPr>
      <w:r w:rsidRPr="00F85C39">
        <w:rPr>
          <w:rFonts w:asciiTheme="minorHAnsi" w:hAnsiTheme="minorHAnsi" w:cs="Arial"/>
          <w:sz w:val="22"/>
          <w:szCs w:val="22"/>
        </w:rPr>
        <w:t>Informacja prasowa</w:t>
      </w:r>
    </w:p>
    <w:p w:rsidR="00C43A13" w:rsidRPr="00F85C39" w:rsidRDefault="00C43A13" w:rsidP="00C43A13">
      <w:pPr>
        <w:spacing w:after="120" w:line="276" w:lineRule="auto"/>
        <w:rPr>
          <w:rFonts w:asciiTheme="minorHAnsi" w:hAnsiTheme="minorHAnsi" w:cs="Arial"/>
          <w:sz w:val="22"/>
          <w:szCs w:val="22"/>
        </w:rPr>
      </w:pPr>
      <w:r w:rsidRPr="00F85C39">
        <w:rPr>
          <w:rFonts w:asciiTheme="minorHAnsi" w:hAnsiTheme="minorHAnsi" w:cs="Arial"/>
          <w:sz w:val="22"/>
          <w:szCs w:val="22"/>
        </w:rPr>
        <w:t xml:space="preserve">Wrocław, </w:t>
      </w:r>
      <w:r w:rsidR="0032449C">
        <w:rPr>
          <w:rFonts w:asciiTheme="minorHAnsi" w:hAnsiTheme="minorHAnsi" w:cs="Arial"/>
          <w:sz w:val="22"/>
          <w:szCs w:val="22"/>
        </w:rPr>
        <w:t>21</w:t>
      </w:r>
      <w:r w:rsidR="001E7DE8" w:rsidRPr="00F85C39">
        <w:rPr>
          <w:rFonts w:asciiTheme="minorHAnsi" w:hAnsiTheme="minorHAnsi" w:cs="Arial"/>
          <w:sz w:val="22"/>
          <w:szCs w:val="22"/>
        </w:rPr>
        <w:t xml:space="preserve"> listopada</w:t>
      </w:r>
      <w:r w:rsidRPr="00F85C39">
        <w:rPr>
          <w:rFonts w:asciiTheme="minorHAnsi" w:hAnsiTheme="minorHAnsi" w:cs="Arial"/>
          <w:sz w:val="22"/>
          <w:szCs w:val="22"/>
        </w:rPr>
        <w:t xml:space="preserve"> 2017</w:t>
      </w:r>
    </w:p>
    <w:p w:rsidR="00C43A13" w:rsidRPr="00F85C39" w:rsidRDefault="008534EF" w:rsidP="00C43A13">
      <w:pPr>
        <w:spacing w:before="360" w:after="360" w:line="276" w:lineRule="auto"/>
        <w:rPr>
          <w:rFonts w:asciiTheme="minorHAnsi" w:hAnsiTheme="minorHAnsi" w:cs="Arial"/>
          <w:b/>
          <w:color w:val="26744D"/>
          <w:sz w:val="22"/>
          <w:szCs w:val="22"/>
        </w:rPr>
      </w:pPr>
      <w:r w:rsidRPr="00F85C39">
        <w:rPr>
          <w:rFonts w:asciiTheme="minorHAnsi" w:hAnsiTheme="minorHAnsi" w:cs="Arial"/>
          <w:b/>
          <w:color w:val="26744D"/>
          <w:sz w:val="22"/>
          <w:szCs w:val="22"/>
        </w:rPr>
        <w:t xml:space="preserve">Barometr EFL: </w:t>
      </w:r>
      <w:r w:rsidR="00D21BBB" w:rsidRPr="00F85C39">
        <w:rPr>
          <w:rFonts w:asciiTheme="minorHAnsi" w:hAnsiTheme="minorHAnsi" w:cs="Arial"/>
          <w:b/>
          <w:color w:val="26744D"/>
          <w:sz w:val="22"/>
          <w:szCs w:val="22"/>
        </w:rPr>
        <w:t xml:space="preserve">w </w:t>
      </w:r>
      <w:r w:rsidR="00813343" w:rsidRPr="00F85C39">
        <w:rPr>
          <w:rFonts w:asciiTheme="minorHAnsi" w:hAnsiTheme="minorHAnsi" w:cs="Arial"/>
          <w:b/>
          <w:color w:val="26744D"/>
          <w:sz w:val="22"/>
          <w:szCs w:val="22"/>
        </w:rPr>
        <w:t xml:space="preserve">IV kwartale </w:t>
      </w:r>
      <w:r w:rsidR="00D21BBB" w:rsidRPr="00F85C39">
        <w:rPr>
          <w:rFonts w:asciiTheme="minorHAnsi" w:hAnsiTheme="minorHAnsi" w:cs="Arial"/>
          <w:b/>
          <w:color w:val="26744D"/>
          <w:sz w:val="22"/>
          <w:szCs w:val="22"/>
        </w:rPr>
        <w:t>utrzymuje się inwestycyjny klimat, a cały 2017 rok lepszy niż 2016</w:t>
      </w:r>
      <w:r w:rsidR="00813343" w:rsidRPr="00F85C39">
        <w:rPr>
          <w:rFonts w:asciiTheme="minorHAnsi" w:hAnsiTheme="minorHAnsi" w:cs="Arial"/>
          <w:b/>
          <w:color w:val="26744D"/>
          <w:sz w:val="22"/>
          <w:szCs w:val="22"/>
        </w:rPr>
        <w:t xml:space="preserve"> dla MŚP</w:t>
      </w:r>
      <w:bookmarkStart w:id="0" w:name="_GoBack"/>
      <w:bookmarkEnd w:id="0"/>
    </w:p>
    <w:p w:rsidR="005621C4" w:rsidRPr="00F85C39" w:rsidRDefault="005621C4" w:rsidP="00E40281">
      <w:pPr>
        <w:spacing w:after="120" w:line="276" w:lineRule="auto"/>
        <w:jc w:val="both"/>
        <w:rPr>
          <w:rFonts w:asciiTheme="minorHAnsi" w:hAnsiTheme="minorHAnsi" w:cs="Arial"/>
          <w:b/>
          <w:color w:val="26744D"/>
          <w:sz w:val="22"/>
          <w:szCs w:val="22"/>
        </w:rPr>
      </w:pPr>
      <w:r w:rsidRPr="00F85C39">
        <w:rPr>
          <w:rFonts w:asciiTheme="minorHAnsi" w:hAnsiTheme="minorHAnsi" w:cs="Arial"/>
          <w:b/>
          <w:color w:val="26744D"/>
          <w:sz w:val="22"/>
          <w:szCs w:val="22"/>
        </w:rPr>
        <w:t>Najnowszy odczyt „Barometru EFL</w:t>
      </w:r>
      <w:r w:rsidR="00823309" w:rsidRPr="00F85C39">
        <w:rPr>
          <w:rFonts w:asciiTheme="minorHAnsi" w:hAnsiTheme="minorHAnsi" w:cs="Arial"/>
          <w:b/>
          <w:color w:val="26744D"/>
          <w:sz w:val="22"/>
          <w:szCs w:val="22"/>
        </w:rPr>
        <w:t>”</w:t>
      </w:r>
      <w:r w:rsidR="00206A22" w:rsidRPr="00F85C39">
        <w:rPr>
          <w:rStyle w:val="Odwoanieprzypisudolnego"/>
          <w:rFonts w:asciiTheme="minorHAnsi" w:hAnsiTheme="minorHAnsi" w:cs="Arial"/>
          <w:b/>
          <w:color w:val="26744D"/>
          <w:sz w:val="22"/>
          <w:szCs w:val="22"/>
        </w:rPr>
        <w:footnoteReference w:id="1"/>
      </w:r>
      <w:r w:rsidR="00823309" w:rsidRPr="00F85C39">
        <w:rPr>
          <w:rFonts w:asciiTheme="minorHAnsi" w:hAnsiTheme="minorHAnsi" w:cs="Arial"/>
          <w:b/>
          <w:color w:val="26744D"/>
          <w:sz w:val="22"/>
          <w:szCs w:val="22"/>
        </w:rPr>
        <w:t xml:space="preserve"> odnotował </w:t>
      </w:r>
      <w:r w:rsidRPr="00F85C39">
        <w:rPr>
          <w:rFonts w:asciiTheme="minorHAnsi" w:hAnsiTheme="minorHAnsi" w:cs="Arial"/>
          <w:b/>
          <w:color w:val="26744D"/>
          <w:sz w:val="22"/>
          <w:szCs w:val="22"/>
        </w:rPr>
        <w:t>spadek drugi</w:t>
      </w:r>
      <w:r w:rsidR="00823309" w:rsidRPr="00F85C39">
        <w:rPr>
          <w:rFonts w:asciiTheme="minorHAnsi" w:hAnsiTheme="minorHAnsi" w:cs="Arial"/>
          <w:b/>
          <w:color w:val="26744D"/>
          <w:sz w:val="22"/>
          <w:szCs w:val="22"/>
        </w:rPr>
        <w:t xml:space="preserve"> kwartał z rzędu i w </w:t>
      </w:r>
      <w:r w:rsidRPr="00F85C39">
        <w:rPr>
          <w:rFonts w:asciiTheme="minorHAnsi" w:hAnsiTheme="minorHAnsi" w:cs="Arial"/>
          <w:b/>
          <w:color w:val="26744D"/>
          <w:sz w:val="22"/>
          <w:szCs w:val="22"/>
        </w:rPr>
        <w:t>IV kwartale tego roku wyniósł 58,2</w:t>
      </w:r>
      <w:r w:rsidR="00823309" w:rsidRPr="00F85C39">
        <w:rPr>
          <w:rFonts w:asciiTheme="minorHAnsi" w:hAnsiTheme="minorHAnsi" w:cs="Arial"/>
          <w:b/>
          <w:color w:val="26744D"/>
          <w:sz w:val="22"/>
          <w:szCs w:val="22"/>
        </w:rPr>
        <w:t xml:space="preserve"> pkt. </w:t>
      </w:r>
      <w:r w:rsidRPr="00F85C39">
        <w:rPr>
          <w:rFonts w:asciiTheme="minorHAnsi" w:hAnsiTheme="minorHAnsi" w:cs="Arial"/>
          <w:b/>
          <w:color w:val="26744D"/>
          <w:sz w:val="22"/>
          <w:szCs w:val="22"/>
        </w:rPr>
        <w:t xml:space="preserve">Wartość wskaźnika </w:t>
      </w:r>
      <w:r w:rsidR="00F85C39" w:rsidRPr="00F85C39">
        <w:rPr>
          <w:rFonts w:asciiTheme="minorHAnsi" w:hAnsiTheme="minorHAnsi" w:cs="Arial"/>
          <w:b/>
          <w:color w:val="26744D"/>
          <w:sz w:val="22"/>
          <w:szCs w:val="22"/>
        </w:rPr>
        <w:t>była</w:t>
      </w:r>
      <w:r w:rsidRPr="00F85C39">
        <w:rPr>
          <w:rFonts w:asciiTheme="minorHAnsi" w:hAnsiTheme="minorHAnsi" w:cs="Arial"/>
          <w:b/>
          <w:color w:val="26744D"/>
          <w:sz w:val="22"/>
          <w:szCs w:val="22"/>
        </w:rPr>
        <w:t xml:space="preserve"> niższa o 1,1 pkt. niż trzy miesiące temu, ale o 2,9 pkt. wyższa niż rok temu. Wciąż można mówić o kontynuacji pozytywnych nastrojów w sektorze MŚP, bo przez cały rok wartości Barometru były wyższe niż w analogicznych okresach 2016 roku.</w:t>
      </w:r>
      <w:r w:rsidR="007F6A2F" w:rsidRPr="00F85C39">
        <w:rPr>
          <w:rFonts w:asciiTheme="minorHAnsi" w:hAnsiTheme="minorHAnsi" w:cs="Arial"/>
          <w:b/>
          <w:color w:val="26744D"/>
          <w:sz w:val="22"/>
          <w:szCs w:val="22"/>
        </w:rPr>
        <w:t xml:space="preserve"> Co więcej, utrzymują się bardzo optymistyczne prognozy dotyczące inwestycji. Ponad 41% małych i średnich firm (najwięcej od IV kwartału 2015 roku) planuje więcej inwestować.</w:t>
      </w:r>
    </w:p>
    <w:p w:rsidR="005621C4" w:rsidRPr="00F85C39" w:rsidRDefault="00C75CA2" w:rsidP="00E40281">
      <w:pPr>
        <w:spacing w:after="120" w:line="276" w:lineRule="auto"/>
        <w:jc w:val="both"/>
        <w:rPr>
          <w:rFonts w:asciiTheme="minorHAnsi" w:hAnsiTheme="minorHAnsi" w:cs="Arial"/>
          <w:b/>
          <w:color w:val="26744D"/>
          <w:sz w:val="22"/>
          <w:szCs w:val="22"/>
        </w:rPr>
      </w:pPr>
      <w:r w:rsidRPr="00F85C39">
        <w:rPr>
          <w:rFonts w:asciiTheme="minorHAnsi" w:hAnsiTheme="minorHAnsi" w:cs="Arial"/>
          <w:i/>
          <w:sz w:val="22"/>
          <w:szCs w:val="22"/>
        </w:rPr>
        <w:t xml:space="preserve">- </w:t>
      </w:r>
      <w:r w:rsidR="00F975A8" w:rsidRPr="00F85C39">
        <w:rPr>
          <w:rFonts w:asciiTheme="minorHAnsi" w:hAnsiTheme="minorHAnsi" w:cs="Arial"/>
          <w:i/>
          <w:sz w:val="22"/>
          <w:szCs w:val="22"/>
        </w:rPr>
        <w:t xml:space="preserve">Konsumpcja, inwestycje, produkcja przemysłowa i eksport napędzają polską gospodarkę, co widać w ostatnich wskaźnika makroekonomicznych. </w:t>
      </w:r>
      <w:r w:rsidR="00252BE1" w:rsidRPr="00F85C39">
        <w:rPr>
          <w:rFonts w:asciiTheme="minorHAnsi" w:hAnsiTheme="minorHAnsi" w:cs="Arial"/>
          <w:i/>
          <w:sz w:val="22"/>
          <w:szCs w:val="22"/>
        </w:rPr>
        <w:t>Z ostatniego szybkiego szacunku Głównego Urzędu Statystycznego wynika, że PKB w III kwartale br. wzrósł o 4,7</w:t>
      </w:r>
      <w:r w:rsidR="00F975A8" w:rsidRPr="00F85C39">
        <w:rPr>
          <w:rFonts w:asciiTheme="minorHAnsi" w:hAnsiTheme="minorHAnsi" w:cs="Arial"/>
          <w:i/>
          <w:sz w:val="22"/>
          <w:szCs w:val="22"/>
        </w:rPr>
        <w:t xml:space="preserve">% </w:t>
      </w:r>
      <w:proofErr w:type="spellStart"/>
      <w:r w:rsidR="00F975A8" w:rsidRPr="00F85C39">
        <w:rPr>
          <w:rFonts w:asciiTheme="minorHAnsi" w:hAnsiTheme="minorHAnsi" w:cs="Arial"/>
          <w:i/>
          <w:sz w:val="22"/>
          <w:szCs w:val="22"/>
        </w:rPr>
        <w:t>r</w:t>
      </w:r>
      <w:proofErr w:type="spellEnd"/>
      <w:r w:rsidR="00F975A8" w:rsidRPr="00F85C39">
        <w:rPr>
          <w:rFonts w:asciiTheme="minorHAnsi" w:hAnsiTheme="minorHAnsi" w:cs="Arial"/>
          <w:i/>
          <w:sz w:val="22"/>
          <w:szCs w:val="22"/>
        </w:rPr>
        <w:t>/</w:t>
      </w:r>
      <w:proofErr w:type="spellStart"/>
      <w:r w:rsidR="00F975A8" w:rsidRPr="00F85C39">
        <w:rPr>
          <w:rFonts w:asciiTheme="minorHAnsi" w:hAnsiTheme="minorHAnsi" w:cs="Arial"/>
          <w:i/>
          <w:sz w:val="22"/>
          <w:szCs w:val="22"/>
        </w:rPr>
        <w:t>r</w:t>
      </w:r>
      <w:proofErr w:type="spellEnd"/>
      <w:r w:rsidR="00F975A8" w:rsidRPr="00F85C39">
        <w:rPr>
          <w:rFonts w:asciiTheme="minorHAnsi" w:hAnsiTheme="minorHAnsi" w:cs="Arial"/>
          <w:i/>
          <w:sz w:val="22"/>
          <w:szCs w:val="22"/>
        </w:rPr>
        <w:t>, natomiast Ministerstwo Rodziny, Pracy i Polityki Społecznej podało, że w październiku mieliśmy do czynienia z rekordowo niską stopą bezrobocia na poziomie 6,6%. Warto również spojrzeć na wypracowany w ciągu trzech kwartałów tego roku wynik branży leasingowej, która z uwagi na rodzaj prowadzonej działalności, jest niezwykle wrażliwa na zmiany koniunktury gospodarczej. A z danych Związku Polskiego Leasingu wynika, że od stycznia do września</w:t>
      </w:r>
      <w:r w:rsidR="00F85C39" w:rsidRPr="00F85C39">
        <w:rPr>
          <w:rFonts w:asciiTheme="minorHAnsi" w:hAnsiTheme="minorHAnsi" w:cs="Arial"/>
          <w:i/>
          <w:sz w:val="22"/>
          <w:szCs w:val="22"/>
        </w:rPr>
        <w:t xml:space="preserve"> 2017 roku leasingiem sfinansowano</w:t>
      </w:r>
      <w:r w:rsidR="00F975A8" w:rsidRPr="00F85C39">
        <w:rPr>
          <w:rFonts w:asciiTheme="minorHAnsi" w:hAnsiTheme="minorHAnsi" w:cs="Arial"/>
          <w:i/>
          <w:sz w:val="22"/>
          <w:szCs w:val="22"/>
        </w:rPr>
        <w:t xml:space="preserve"> inwestycje o łącznej wartości niemal 48 mld zł, co oznacza wzrost na poziomie blisko 13% </w:t>
      </w:r>
      <w:proofErr w:type="spellStart"/>
      <w:r w:rsidR="00F975A8" w:rsidRPr="00F85C39">
        <w:rPr>
          <w:rFonts w:asciiTheme="minorHAnsi" w:hAnsiTheme="minorHAnsi" w:cs="Arial"/>
          <w:i/>
          <w:sz w:val="22"/>
          <w:szCs w:val="22"/>
        </w:rPr>
        <w:t>r</w:t>
      </w:r>
      <w:proofErr w:type="spellEnd"/>
      <w:r w:rsidR="00F975A8" w:rsidRPr="00F85C39">
        <w:rPr>
          <w:rFonts w:asciiTheme="minorHAnsi" w:hAnsiTheme="minorHAnsi" w:cs="Arial"/>
          <w:i/>
          <w:sz w:val="22"/>
          <w:szCs w:val="22"/>
        </w:rPr>
        <w:t>/r. Z takimi statystykami Polska plasuje się w ścisłej europejskiej czołówce. Z obiektywnymi wskaźnikami korespondują subiektywne prognozy przedsiębiorców. Bo choć kwartał do kwartału widzimy drobne spadki, to jednak w ujęciu rocznym nastroje w sektorze MŚP są lepsze</w:t>
      </w:r>
      <w:r w:rsidR="00E40281" w:rsidRPr="00F85C39">
        <w:rPr>
          <w:rFonts w:asciiTheme="minorHAnsi" w:hAnsiTheme="minorHAnsi" w:cs="Arial"/>
          <w:i/>
          <w:sz w:val="22"/>
          <w:szCs w:val="22"/>
        </w:rPr>
        <w:t xml:space="preserve"> – </w:t>
      </w:r>
      <w:r w:rsidR="00E40281" w:rsidRPr="00F85C39">
        <w:rPr>
          <w:rFonts w:asciiTheme="minorHAnsi" w:hAnsiTheme="minorHAnsi" w:cs="Arial"/>
          <w:sz w:val="22"/>
          <w:szCs w:val="22"/>
        </w:rPr>
        <w:t xml:space="preserve">mówi </w:t>
      </w:r>
      <w:r w:rsidR="00E40281" w:rsidRPr="00F85C39">
        <w:rPr>
          <w:rFonts w:asciiTheme="minorHAnsi" w:hAnsiTheme="minorHAnsi" w:cs="Arial"/>
          <w:b/>
          <w:color w:val="26744D"/>
          <w:sz w:val="22"/>
          <w:szCs w:val="22"/>
        </w:rPr>
        <w:t>Radosław Kuczyński, prezes EFL.</w:t>
      </w:r>
    </w:p>
    <w:p w:rsidR="00CA3015" w:rsidRPr="00F85C39" w:rsidRDefault="00CA3015" w:rsidP="00CA3015">
      <w:pPr>
        <w:spacing w:after="120" w:line="276" w:lineRule="auto"/>
        <w:jc w:val="both"/>
        <w:rPr>
          <w:rFonts w:asciiTheme="minorHAnsi" w:hAnsiTheme="minorHAnsi" w:cs="Arial"/>
          <w:b/>
          <w:color w:val="26744D"/>
          <w:sz w:val="22"/>
          <w:szCs w:val="22"/>
        </w:rPr>
      </w:pPr>
      <w:r w:rsidRPr="00F85C39">
        <w:rPr>
          <w:rFonts w:asciiTheme="minorHAnsi" w:hAnsiTheme="minorHAnsi" w:cs="Arial"/>
          <w:b/>
          <w:color w:val="26744D"/>
          <w:sz w:val="22"/>
          <w:szCs w:val="22"/>
        </w:rPr>
        <w:t xml:space="preserve">2017 zdecydowanie lepszy niż 2016  </w:t>
      </w:r>
    </w:p>
    <w:p w:rsidR="00E40281" w:rsidRPr="00F85C39" w:rsidRDefault="00CA3015" w:rsidP="00CA3015">
      <w:pPr>
        <w:spacing w:after="120" w:line="276" w:lineRule="auto"/>
        <w:jc w:val="both"/>
        <w:rPr>
          <w:rFonts w:asciiTheme="minorHAnsi" w:hAnsiTheme="minorHAnsi" w:cs="Arial"/>
          <w:sz w:val="22"/>
          <w:szCs w:val="22"/>
        </w:rPr>
      </w:pPr>
      <w:r w:rsidRPr="00F85C39">
        <w:rPr>
          <w:rFonts w:asciiTheme="minorHAnsi" w:hAnsiTheme="minorHAnsi" w:cs="Arial"/>
          <w:sz w:val="22"/>
          <w:szCs w:val="22"/>
        </w:rPr>
        <w:t>Odczyt „Barometru EFL” za IV kwartał 2017 roku wyniósł 58,2 pkt. i wciąż znajduje się ponad progiem OR</w:t>
      </w:r>
      <w:r w:rsidR="00206A22" w:rsidRPr="00F85C39">
        <w:rPr>
          <w:rStyle w:val="Odwoanieprzypisudolnego"/>
          <w:rFonts w:asciiTheme="minorHAnsi" w:hAnsiTheme="minorHAnsi" w:cs="Arial"/>
          <w:sz w:val="22"/>
          <w:szCs w:val="22"/>
        </w:rPr>
        <w:footnoteReference w:id="2"/>
      </w:r>
      <w:r w:rsidRPr="00F85C39">
        <w:rPr>
          <w:rFonts w:asciiTheme="minorHAnsi" w:hAnsiTheme="minorHAnsi" w:cs="Arial"/>
          <w:sz w:val="22"/>
          <w:szCs w:val="22"/>
        </w:rPr>
        <w:t>. Zgodnie z przewidywaniami ekspertów EFL pomiędzy III a IV kwartałem br., podobnie jak to miało miejsce rok temu, wartość Barometru spadła (o 1,1 pkt.). Warto jednak podkreślić, że wartość wskaźnika jest wyższa nie tylko niż w IV kwartale ubiegłego roku (55,3 pkt.), ale w porównaniu do wszystkich pomiarów z 2016 roku. To oznacza, że mikro, małe i średnie przedsiębiorstwa, pomimo odrobinę gorszych prognoz, cały czas widzą szanse na rozwój w najbliższych miesiącach.</w:t>
      </w:r>
    </w:p>
    <w:p w:rsidR="00DC55C7" w:rsidRPr="00F85C39" w:rsidRDefault="00DC55C7" w:rsidP="00CA3015">
      <w:pPr>
        <w:spacing w:after="120" w:line="276" w:lineRule="auto"/>
        <w:jc w:val="both"/>
        <w:rPr>
          <w:rFonts w:asciiTheme="minorHAnsi" w:hAnsiTheme="minorHAnsi" w:cs="Arial"/>
          <w:b/>
          <w:color w:val="26744D"/>
          <w:sz w:val="22"/>
          <w:szCs w:val="22"/>
        </w:rPr>
      </w:pPr>
      <w:r w:rsidRPr="00F85C39">
        <w:rPr>
          <w:rFonts w:asciiTheme="minorHAnsi" w:hAnsiTheme="minorHAnsi" w:cs="Arial"/>
          <w:b/>
          <w:color w:val="26744D"/>
          <w:sz w:val="22"/>
          <w:szCs w:val="22"/>
        </w:rPr>
        <w:t>Inwestycje ciągną MŚP w górę</w:t>
      </w:r>
    </w:p>
    <w:p w:rsidR="00823309" w:rsidRPr="00F85C39" w:rsidRDefault="0047271A" w:rsidP="006D2DCF">
      <w:pPr>
        <w:spacing w:after="120" w:line="276" w:lineRule="auto"/>
        <w:jc w:val="both"/>
        <w:rPr>
          <w:rFonts w:asciiTheme="minorHAnsi" w:hAnsiTheme="minorHAnsi" w:cs="Arial"/>
          <w:sz w:val="22"/>
          <w:szCs w:val="22"/>
        </w:rPr>
      </w:pPr>
      <w:r w:rsidRPr="00F85C39">
        <w:rPr>
          <w:rFonts w:asciiTheme="minorHAnsi" w:hAnsiTheme="minorHAnsi" w:cs="Arial"/>
          <w:sz w:val="22"/>
          <w:szCs w:val="22"/>
        </w:rPr>
        <w:t xml:space="preserve">Jeśli rozłożymy „Barometr EFL” </w:t>
      </w:r>
      <w:r w:rsidR="00C75CA2" w:rsidRPr="00F85C39">
        <w:rPr>
          <w:rFonts w:asciiTheme="minorHAnsi" w:hAnsiTheme="minorHAnsi" w:cs="Arial"/>
          <w:sz w:val="22"/>
          <w:szCs w:val="22"/>
        </w:rPr>
        <w:t>z</w:t>
      </w:r>
      <w:r w:rsidRPr="00F85C39">
        <w:rPr>
          <w:rFonts w:asciiTheme="minorHAnsi" w:hAnsiTheme="minorHAnsi" w:cs="Arial"/>
          <w:sz w:val="22"/>
          <w:szCs w:val="22"/>
        </w:rPr>
        <w:t xml:space="preserve">a IV kwartał tego roku na czynniki pierwsze, to wysuwa się kilka ciekawych </w:t>
      </w:r>
      <w:r w:rsidRPr="00F85C39">
        <w:rPr>
          <w:rFonts w:asciiTheme="minorHAnsi" w:hAnsiTheme="minorHAnsi" w:cs="Arial"/>
          <w:sz w:val="22"/>
          <w:szCs w:val="22"/>
        </w:rPr>
        <w:lastRenderedPageBreak/>
        <w:t>wniosków. Po pierwsze, p</w:t>
      </w:r>
      <w:r w:rsidR="00DC55C7" w:rsidRPr="00F85C39">
        <w:rPr>
          <w:rFonts w:asciiTheme="minorHAnsi" w:hAnsiTheme="minorHAnsi" w:cs="Arial"/>
          <w:sz w:val="22"/>
          <w:szCs w:val="22"/>
        </w:rPr>
        <w:t xml:space="preserve">odobnie jak w poprzednich pomiarach wysoka wartość głównego wskaźnika utrzymuje się przede wszystkim dzięki inwestycjom. Aż 41,4% przedsiębiorców przewiduje wzrost inwestycji i jest to najwyższy odsetek w ciągu 2 lat (2016 i 2017). </w:t>
      </w:r>
      <w:r w:rsidRPr="00F85C39">
        <w:rPr>
          <w:rFonts w:asciiTheme="minorHAnsi" w:hAnsiTheme="minorHAnsi" w:cs="Arial"/>
          <w:sz w:val="22"/>
          <w:szCs w:val="22"/>
        </w:rPr>
        <w:t xml:space="preserve">Po drugie, </w:t>
      </w:r>
      <w:r w:rsidR="00DC55C7" w:rsidRPr="00F85C39">
        <w:rPr>
          <w:rFonts w:asciiTheme="minorHAnsi" w:hAnsiTheme="minorHAnsi" w:cs="Arial"/>
          <w:sz w:val="22"/>
          <w:szCs w:val="22"/>
        </w:rPr>
        <w:t xml:space="preserve">na niewielki spadek wskaźnika kw./kw. wpłynął przede wszystkim wzrost liczby pesymistów w </w:t>
      </w:r>
      <w:r w:rsidRPr="00F85C39">
        <w:rPr>
          <w:rFonts w:asciiTheme="minorHAnsi" w:hAnsiTheme="minorHAnsi" w:cs="Arial"/>
          <w:sz w:val="22"/>
          <w:szCs w:val="22"/>
        </w:rPr>
        <w:t>dwóch</w:t>
      </w:r>
      <w:r w:rsidR="00DC55C7" w:rsidRPr="00F85C39">
        <w:rPr>
          <w:rFonts w:asciiTheme="minorHAnsi" w:hAnsiTheme="minorHAnsi" w:cs="Arial"/>
          <w:sz w:val="22"/>
          <w:szCs w:val="22"/>
        </w:rPr>
        <w:t xml:space="preserve"> badanych k</w:t>
      </w:r>
      <w:r w:rsidRPr="00F85C39">
        <w:rPr>
          <w:rFonts w:asciiTheme="minorHAnsi" w:hAnsiTheme="minorHAnsi" w:cs="Arial"/>
          <w:sz w:val="22"/>
          <w:szCs w:val="22"/>
        </w:rPr>
        <w:t xml:space="preserve">ategoriach. Co piąta firma </w:t>
      </w:r>
      <w:r w:rsidR="00DC55C7" w:rsidRPr="00F85C39">
        <w:rPr>
          <w:rFonts w:asciiTheme="minorHAnsi" w:hAnsiTheme="minorHAnsi" w:cs="Arial"/>
          <w:sz w:val="22"/>
          <w:szCs w:val="22"/>
        </w:rPr>
        <w:t>liczy się ze spadkiem inwestycji (</w:t>
      </w:r>
      <w:r w:rsidRPr="00F85C39">
        <w:rPr>
          <w:rFonts w:asciiTheme="minorHAnsi" w:hAnsiTheme="minorHAnsi" w:cs="Arial"/>
          <w:sz w:val="22"/>
          <w:szCs w:val="22"/>
        </w:rPr>
        <w:t xml:space="preserve">19,8% </w:t>
      </w:r>
      <w:proofErr w:type="spellStart"/>
      <w:r w:rsidRPr="00F85C39">
        <w:rPr>
          <w:rFonts w:asciiTheme="minorHAnsi" w:hAnsiTheme="minorHAnsi" w:cs="Arial"/>
          <w:sz w:val="22"/>
          <w:szCs w:val="22"/>
        </w:rPr>
        <w:t>vs</w:t>
      </w:r>
      <w:proofErr w:type="spellEnd"/>
      <w:r w:rsidRPr="00F85C39">
        <w:rPr>
          <w:rFonts w:asciiTheme="minorHAnsi" w:hAnsiTheme="minorHAnsi" w:cs="Arial"/>
          <w:sz w:val="22"/>
          <w:szCs w:val="22"/>
        </w:rPr>
        <w:t xml:space="preserve">. 13,4%), a co szósta ze spadkiem zapotrzebowania na zewnętrzne finansowanie (16,4% </w:t>
      </w:r>
      <w:proofErr w:type="spellStart"/>
      <w:r w:rsidRPr="00F85C39">
        <w:rPr>
          <w:rFonts w:asciiTheme="minorHAnsi" w:hAnsiTheme="minorHAnsi" w:cs="Arial"/>
          <w:sz w:val="22"/>
          <w:szCs w:val="22"/>
        </w:rPr>
        <w:t>vs</w:t>
      </w:r>
      <w:proofErr w:type="spellEnd"/>
      <w:r w:rsidRPr="00F85C39">
        <w:rPr>
          <w:rFonts w:asciiTheme="minorHAnsi" w:hAnsiTheme="minorHAnsi" w:cs="Arial"/>
          <w:sz w:val="22"/>
          <w:szCs w:val="22"/>
        </w:rPr>
        <w:t xml:space="preserve">. 7,2%). Po trzecie, odsetek optymistów w kwestii płynności finansowej pozostaje wciąż nieduży, jednak zrównał się </w:t>
      </w:r>
      <w:r w:rsidR="00F85C39" w:rsidRPr="00F85C39">
        <w:rPr>
          <w:rFonts w:asciiTheme="minorHAnsi" w:hAnsiTheme="minorHAnsi" w:cs="Arial"/>
          <w:sz w:val="22"/>
          <w:szCs w:val="22"/>
        </w:rPr>
        <w:t>z</w:t>
      </w:r>
      <w:r w:rsidRPr="00F85C39">
        <w:rPr>
          <w:rFonts w:asciiTheme="minorHAnsi" w:hAnsiTheme="minorHAnsi" w:cs="Arial"/>
          <w:sz w:val="22"/>
          <w:szCs w:val="22"/>
        </w:rPr>
        <w:t xml:space="preserve"> rekordowym wynikiem z II kwartału 2016 roku i wynosi 26%.</w:t>
      </w:r>
      <w:r w:rsidR="00EB5966" w:rsidRPr="00F85C39">
        <w:rPr>
          <w:rFonts w:asciiTheme="minorHAnsi" w:hAnsiTheme="minorHAnsi" w:cs="Arial"/>
          <w:sz w:val="22"/>
          <w:szCs w:val="22"/>
        </w:rPr>
        <w:t xml:space="preserve"> Również stosunkowo nie</w:t>
      </w:r>
      <w:r w:rsidR="00F85C39" w:rsidRPr="00F85C39">
        <w:rPr>
          <w:rFonts w:asciiTheme="minorHAnsi" w:hAnsiTheme="minorHAnsi" w:cs="Arial"/>
          <w:sz w:val="22"/>
          <w:szCs w:val="22"/>
        </w:rPr>
        <w:t>wielki</w:t>
      </w:r>
      <w:r w:rsidR="00EB5966" w:rsidRPr="00F85C39">
        <w:rPr>
          <w:rFonts w:asciiTheme="minorHAnsi" w:hAnsiTheme="minorHAnsi" w:cs="Arial"/>
          <w:sz w:val="22"/>
          <w:szCs w:val="22"/>
        </w:rPr>
        <w:t xml:space="preserve"> odsetek przedsiębiorców (28,3%) wskazał, że oczekuje wzrostu sprzedaży. Jest to wynik tylko o 1,6 pp. </w:t>
      </w:r>
      <w:r w:rsidR="00C75CA2" w:rsidRPr="00F85C39">
        <w:rPr>
          <w:rFonts w:asciiTheme="minorHAnsi" w:hAnsiTheme="minorHAnsi" w:cs="Arial"/>
          <w:sz w:val="22"/>
          <w:szCs w:val="22"/>
        </w:rPr>
        <w:t>n</w:t>
      </w:r>
      <w:r w:rsidR="00EB5966" w:rsidRPr="00F85C39">
        <w:rPr>
          <w:rFonts w:asciiTheme="minorHAnsi" w:hAnsiTheme="minorHAnsi" w:cs="Arial"/>
          <w:sz w:val="22"/>
          <w:szCs w:val="22"/>
        </w:rPr>
        <w:t>iższy w porównaniu do III kwartału br.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tblPr>
      <w:tblGrid>
        <w:gridCol w:w="9632"/>
      </w:tblGrid>
      <w:tr w:rsidR="00C43A13" w:rsidRPr="00F85C39" w:rsidTr="004F43E7">
        <w:tc>
          <w:tcPr>
            <w:tcW w:w="9632" w:type="dxa"/>
            <w:shd w:val="clear" w:color="auto" w:fill="22744F"/>
          </w:tcPr>
          <w:p w:rsidR="00C43A13" w:rsidRPr="00F85C39" w:rsidRDefault="00C43A13" w:rsidP="0091343D">
            <w:pPr>
              <w:tabs>
                <w:tab w:val="left" w:pos="4248"/>
                <w:tab w:val="left" w:pos="6684"/>
              </w:tabs>
              <w:outlineLvl w:val="0"/>
              <w:rPr>
                <w:rFonts w:asciiTheme="minorHAnsi" w:hAnsiTheme="minorHAnsi" w:cs="Arial"/>
                <w:color w:val="FFFFFF"/>
                <w:sz w:val="20"/>
                <w:szCs w:val="20"/>
              </w:rPr>
            </w:pPr>
            <w:r w:rsidRPr="00F85C39">
              <w:rPr>
                <w:rFonts w:asciiTheme="minorHAnsi" w:hAnsiTheme="minorHAnsi" w:cs="Arial"/>
                <w:color w:val="FFFFFF"/>
                <w:sz w:val="20"/>
                <w:szCs w:val="20"/>
              </w:rPr>
              <w:t>Więcej informacji udziela:</w:t>
            </w:r>
            <w:r w:rsidRPr="00F85C39">
              <w:rPr>
                <w:rFonts w:asciiTheme="minorHAnsi" w:hAnsiTheme="minorHAnsi" w:cs="Arial"/>
                <w:color w:val="FFFFFF"/>
                <w:sz w:val="20"/>
                <w:szCs w:val="20"/>
              </w:rPr>
              <w:tab/>
            </w:r>
            <w:r w:rsidRPr="00F85C39">
              <w:rPr>
                <w:rFonts w:asciiTheme="minorHAnsi" w:hAnsiTheme="minorHAnsi" w:cs="Arial"/>
                <w:color w:val="FFFFFF"/>
                <w:sz w:val="20"/>
                <w:szCs w:val="20"/>
              </w:rPr>
              <w:tab/>
            </w:r>
          </w:p>
        </w:tc>
      </w:tr>
      <w:tr w:rsidR="00C43A13" w:rsidRPr="00F85C39" w:rsidTr="004F43E7">
        <w:trPr>
          <w:trHeight w:val="964"/>
        </w:trPr>
        <w:tc>
          <w:tcPr>
            <w:tcW w:w="9632" w:type="dxa"/>
            <w:shd w:val="clear" w:color="auto" w:fill="auto"/>
            <w:vAlign w:val="center"/>
          </w:tcPr>
          <w:p w:rsidR="00C43A13" w:rsidRPr="00F85C39" w:rsidRDefault="00C43A13" w:rsidP="0091343D">
            <w:pPr>
              <w:outlineLvl w:val="0"/>
              <w:rPr>
                <w:rFonts w:asciiTheme="minorHAnsi" w:hAnsiTheme="minorHAnsi" w:cs="Arial"/>
                <w:sz w:val="20"/>
                <w:szCs w:val="20"/>
              </w:rPr>
            </w:pPr>
            <w:r w:rsidRPr="00F85C39">
              <w:rPr>
                <w:rFonts w:asciiTheme="minorHAnsi" w:hAnsiTheme="minorHAnsi" w:cs="Arial"/>
                <w:b/>
                <w:sz w:val="20"/>
                <w:szCs w:val="20"/>
              </w:rPr>
              <w:t>Maja Lidke</w:t>
            </w:r>
          </w:p>
          <w:p w:rsidR="00C43A13" w:rsidRPr="00F85C39" w:rsidRDefault="00C43A13" w:rsidP="0091343D">
            <w:pPr>
              <w:outlineLvl w:val="0"/>
              <w:rPr>
                <w:rFonts w:asciiTheme="minorHAnsi" w:hAnsiTheme="minorHAnsi" w:cs="Arial"/>
                <w:sz w:val="20"/>
                <w:szCs w:val="20"/>
              </w:rPr>
            </w:pPr>
            <w:r w:rsidRPr="00F85C39">
              <w:rPr>
                <w:rFonts w:asciiTheme="minorHAnsi" w:hAnsiTheme="minorHAnsi" w:cs="Arial"/>
                <w:sz w:val="20"/>
                <w:szCs w:val="20"/>
              </w:rPr>
              <w:t>Europejski Fundusz Leasingowy</w:t>
            </w:r>
          </w:p>
          <w:p w:rsidR="00C43A13" w:rsidRPr="00F85C39" w:rsidRDefault="00C43A13" w:rsidP="0091343D">
            <w:pPr>
              <w:rPr>
                <w:rFonts w:asciiTheme="minorHAnsi" w:hAnsiTheme="minorHAnsi" w:cs="Arial"/>
                <w:sz w:val="20"/>
                <w:szCs w:val="20"/>
              </w:rPr>
            </w:pPr>
            <w:r w:rsidRPr="00F85C39">
              <w:rPr>
                <w:rFonts w:asciiTheme="minorHAnsi" w:hAnsiTheme="minorHAnsi" w:cs="Arial"/>
                <w:sz w:val="20"/>
                <w:szCs w:val="20"/>
              </w:rPr>
              <w:t>Tel.: 603 630 166</w:t>
            </w:r>
          </w:p>
          <w:p w:rsidR="00C43A13" w:rsidRPr="00F85C39" w:rsidRDefault="00C43A13" w:rsidP="0091343D">
            <w:pPr>
              <w:outlineLvl w:val="0"/>
              <w:rPr>
                <w:rFonts w:asciiTheme="minorHAnsi" w:hAnsiTheme="minorHAnsi" w:cs="Arial"/>
                <w:b/>
                <w:sz w:val="20"/>
                <w:szCs w:val="20"/>
                <w:lang w:val="fr-FR"/>
              </w:rPr>
            </w:pPr>
            <w:r w:rsidRPr="00F85C39">
              <w:rPr>
                <w:rFonts w:asciiTheme="minorHAnsi" w:hAnsiTheme="minorHAnsi" w:cs="Arial"/>
                <w:sz w:val="20"/>
                <w:szCs w:val="20"/>
                <w:lang w:val="de-DE"/>
              </w:rPr>
              <w:t>E-</w:t>
            </w:r>
            <w:proofErr w:type="spellStart"/>
            <w:r w:rsidRPr="00F85C39">
              <w:rPr>
                <w:rFonts w:asciiTheme="minorHAnsi" w:hAnsiTheme="minorHAnsi" w:cs="Arial"/>
                <w:sz w:val="20"/>
                <w:szCs w:val="20"/>
                <w:lang w:val="de-DE"/>
              </w:rPr>
              <w:t>mail</w:t>
            </w:r>
            <w:proofErr w:type="spellEnd"/>
            <w:r w:rsidRPr="00F85C39">
              <w:rPr>
                <w:rFonts w:asciiTheme="minorHAnsi" w:hAnsiTheme="minorHAnsi" w:cs="Arial"/>
                <w:sz w:val="20"/>
                <w:szCs w:val="20"/>
                <w:lang w:val="de-DE"/>
              </w:rPr>
              <w:t xml:space="preserve">: </w:t>
            </w:r>
            <w:hyperlink r:id="rId7" w:history="1">
              <w:r w:rsidRPr="00F85C39">
                <w:rPr>
                  <w:rStyle w:val="Hipercze"/>
                  <w:rFonts w:asciiTheme="minorHAnsi" w:hAnsiTheme="minorHAnsi" w:cs="Arial"/>
                  <w:sz w:val="20"/>
                  <w:szCs w:val="20"/>
                  <w:lang w:val="fr-FR"/>
                </w:rPr>
                <w:t>maja.lidke@efl.com.pl</w:t>
              </w:r>
            </w:hyperlink>
          </w:p>
        </w:tc>
      </w:tr>
    </w:tbl>
    <w:p w:rsidR="00C43A13" w:rsidRPr="00F85C39" w:rsidRDefault="00C43A13" w:rsidP="00C43A13">
      <w:pPr>
        <w:spacing w:before="120" w:after="120" w:line="276" w:lineRule="auto"/>
        <w:jc w:val="center"/>
        <w:rPr>
          <w:rFonts w:asciiTheme="minorHAnsi" w:hAnsiTheme="minorHAnsi" w:cs="Arial"/>
          <w:b/>
          <w:sz w:val="18"/>
          <w:szCs w:val="20"/>
          <w:lang w:val="fr-FR"/>
        </w:rPr>
      </w:pPr>
      <w:r w:rsidRPr="00F85C39">
        <w:rPr>
          <w:rFonts w:asciiTheme="minorHAnsi" w:hAnsiTheme="minorHAnsi" w:cs="Arial"/>
          <w:b/>
          <w:sz w:val="18"/>
          <w:szCs w:val="20"/>
          <w:lang w:val="fr-FR"/>
        </w:rPr>
        <w:t>***</w:t>
      </w:r>
    </w:p>
    <w:p w:rsidR="00C43A13" w:rsidRPr="00F85C39" w:rsidRDefault="00C43A13" w:rsidP="00C43A13">
      <w:pPr>
        <w:autoSpaceDE w:val="0"/>
        <w:spacing w:after="120" w:line="276" w:lineRule="auto"/>
        <w:jc w:val="both"/>
        <w:rPr>
          <w:rFonts w:asciiTheme="minorHAnsi" w:hAnsiTheme="minorHAnsi" w:cs="Arial"/>
          <w:sz w:val="18"/>
          <w:szCs w:val="18"/>
        </w:rPr>
      </w:pPr>
      <w:r w:rsidRPr="00F85C39">
        <w:rPr>
          <w:rFonts w:asciiTheme="minorHAnsi" w:hAnsiTheme="minorHAnsi" w:cs="Arial"/>
          <w:b/>
          <w:bCs/>
          <w:sz w:val="18"/>
          <w:szCs w:val="18"/>
        </w:rPr>
        <w:t xml:space="preserve">Europejski Fundusz Leasingowy SA </w:t>
      </w:r>
      <w:r w:rsidRPr="00F85C39">
        <w:rPr>
          <w:rFonts w:asciiTheme="minorHAnsi" w:hAnsiTheme="minorHAnsi" w:cs="Arial"/>
          <w:sz w:val="18"/>
          <w:szCs w:val="18"/>
        </w:rPr>
        <w:t xml:space="preserve">powstał w 1991 roku, jako jedna z pierwszych firm leasingowych w Polsce. Od 2001 roku EFL jest częścią Grupy </w:t>
      </w:r>
      <w:proofErr w:type="spellStart"/>
      <w:r w:rsidRPr="00F85C39">
        <w:rPr>
          <w:rFonts w:asciiTheme="minorHAnsi" w:hAnsiTheme="minorHAnsi" w:cs="Arial"/>
          <w:sz w:val="18"/>
          <w:szCs w:val="18"/>
        </w:rPr>
        <w:t>Crédit</w:t>
      </w:r>
      <w:proofErr w:type="spellEnd"/>
      <w:r w:rsidRPr="00F85C39">
        <w:rPr>
          <w:rFonts w:asciiTheme="minorHAnsi" w:hAnsiTheme="minorHAnsi" w:cs="Arial"/>
          <w:sz w:val="18"/>
          <w:szCs w:val="18"/>
        </w:rPr>
        <w:t xml:space="preserve"> Agricole, co gwarantuje firmie finansową stabilność i bezpieczeństwo oraz pozwala korzystać z wiedzy i doświadczeń instytucji finansowej o międzynarodowym zasięgu. EFL konsekwentnie poszerza zakres rozwiązań dla biznesu. Spółka oferuje szeroki pakiet produktów: leasing, pożyczkę, wynajem długoterminowy, ubezpieczenia i </w:t>
      </w:r>
      <w:proofErr w:type="spellStart"/>
      <w:r w:rsidRPr="00F85C39">
        <w:rPr>
          <w:rFonts w:asciiTheme="minorHAnsi" w:hAnsiTheme="minorHAnsi" w:cs="Arial"/>
          <w:sz w:val="18"/>
          <w:szCs w:val="18"/>
        </w:rPr>
        <w:t>faktoring</w:t>
      </w:r>
      <w:proofErr w:type="spellEnd"/>
      <w:r w:rsidRPr="00F85C39">
        <w:rPr>
          <w:rFonts w:asciiTheme="minorHAnsi" w:hAnsiTheme="minorHAnsi" w:cs="Arial"/>
          <w:sz w:val="18"/>
          <w:szCs w:val="18"/>
        </w:rPr>
        <w:t>. Od 1991 roku współpracuje z najbardziej liczącymi się producentami i dostawcami maszyn, urządzeń, pojazdów oraz innych środków trwa</w:t>
      </w:r>
      <w:r w:rsidR="002860AE" w:rsidRPr="00F85C39">
        <w:rPr>
          <w:rFonts w:asciiTheme="minorHAnsi" w:hAnsiTheme="minorHAnsi" w:cs="Arial"/>
          <w:sz w:val="18"/>
          <w:szCs w:val="18"/>
        </w:rPr>
        <w:t>łych. Firmę wyróżniono m.in. sześ</w:t>
      </w:r>
      <w:r w:rsidRPr="00F85C39">
        <w:rPr>
          <w:rFonts w:asciiTheme="minorHAnsi" w:hAnsiTheme="minorHAnsi" w:cs="Arial"/>
          <w:sz w:val="18"/>
          <w:szCs w:val="18"/>
        </w:rPr>
        <w:t>ciokrotnie tytułem: Fi</w:t>
      </w:r>
      <w:r w:rsidR="002860AE" w:rsidRPr="00F85C39">
        <w:rPr>
          <w:rFonts w:asciiTheme="minorHAnsi" w:hAnsiTheme="minorHAnsi" w:cs="Arial"/>
          <w:sz w:val="18"/>
          <w:szCs w:val="18"/>
        </w:rPr>
        <w:t>rmy Przyjaznej Klientowi i pięci</w:t>
      </w:r>
      <w:r w:rsidRPr="00F85C39">
        <w:rPr>
          <w:rFonts w:asciiTheme="minorHAnsi" w:hAnsiTheme="minorHAnsi" w:cs="Arial"/>
          <w:sz w:val="18"/>
          <w:szCs w:val="18"/>
        </w:rPr>
        <w:t>okrotnie Fin</w:t>
      </w:r>
      <w:r w:rsidR="002860AE" w:rsidRPr="00F85C39">
        <w:rPr>
          <w:rFonts w:asciiTheme="minorHAnsi" w:hAnsiTheme="minorHAnsi" w:cs="Arial"/>
          <w:sz w:val="18"/>
          <w:szCs w:val="18"/>
        </w:rPr>
        <w:t>ansowej Marki Roku. Już ponad 2</w:t>
      </w:r>
      <w:r w:rsidRPr="00F85C39">
        <w:rPr>
          <w:rFonts w:asciiTheme="minorHAnsi" w:hAnsiTheme="minorHAnsi" w:cs="Arial"/>
          <w:sz w:val="18"/>
          <w:szCs w:val="18"/>
        </w:rPr>
        <w:t>9</w:t>
      </w:r>
      <w:r w:rsidR="002860AE" w:rsidRPr="00F85C39">
        <w:rPr>
          <w:rFonts w:asciiTheme="minorHAnsi" w:hAnsiTheme="minorHAnsi" w:cs="Arial"/>
          <w:sz w:val="18"/>
          <w:szCs w:val="18"/>
        </w:rPr>
        <w:t>0</w:t>
      </w:r>
      <w:r w:rsidRPr="00F85C39">
        <w:rPr>
          <w:rFonts w:asciiTheme="minorHAnsi" w:hAnsiTheme="minorHAnsi" w:cs="Arial"/>
          <w:sz w:val="18"/>
          <w:szCs w:val="18"/>
        </w:rPr>
        <w:t xml:space="preserve"> tysięcy klientów wybrało EFL na swojego partnera w biznesie. Więcej na: </w:t>
      </w:r>
      <w:hyperlink r:id="rId8" w:history="1">
        <w:r w:rsidRPr="00F85C39">
          <w:rPr>
            <w:rStyle w:val="Hipercze"/>
            <w:rFonts w:asciiTheme="minorHAnsi" w:hAnsiTheme="minorHAnsi" w:cs="Arial"/>
            <w:sz w:val="18"/>
            <w:szCs w:val="18"/>
          </w:rPr>
          <w:t>www.efl.pl</w:t>
        </w:r>
      </w:hyperlink>
      <w:r w:rsidRPr="00F85C39">
        <w:rPr>
          <w:rStyle w:val="Hipercze"/>
          <w:rFonts w:asciiTheme="minorHAnsi" w:hAnsiTheme="minorHAnsi" w:cs="Arial"/>
          <w:sz w:val="18"/>
          <w:szCs w:val="18"/>
        </w:rPr>
        <w:t>.</w:t>
      </w:r>
    </w:p>
    <w:p w:rsidR="00C43A13" w:rsidRPr="00F85C39" w:rsidRDefault="00C43A13" w:rsidP="00C43A13">
      <w:pPr>
        <w:spacing w:after="120" w:line="276" w:lineRule="auto"/>
        <w:jc w:val="both"/>
        <w:rPr>
          <w:rFonts w:asciiTheme="minorHAnsi" w:hAnsiTheme="minorHAnsi" w:cs="Arial"/>
          <w:sz w:val="18"/>
          <w:szCs w:val="18"/>
        </w:rPr>
      </w:pPr>
      <w:r w:rsidRPr="00F85C39">
        <w:rPr>
          <w:rFonts w:asciiTheme="minorHAnsi" w:hAnsiTheme="minorHAnsi" w:cs="Arial"/>
          <w:b/>
          <w:bCs/>
          <w:color w:val="000000"/>
          <w:sz w:val="18"/>
          <w:szCs w:val="18"/>
        </w:rPr>
        <w:t xml:space="preserve">Grupa </w:t>
      </w:r>
      <w:proofErr w:type="spellStart"/>
      <w:r w:rsidRPr="00F85C39">
        <w:rPr>
          <w:rFonts w:asciiTheme="minorHAnsi" w:hAnsiTheme="minorHAnsi" w:cs="Arial"/>
          <w:b/>
          <w:sz w:val="18"/>
          <w:szCs w:val="18"/>
        </w:rPr>
        <w:t>Crédit</w:t>
      </w:r>
      <w:proofErr w:type="spellEnd"/>
      <w:r w:rsidRPr="00F85C39">
        <w:rPr>
          <w:rFonts w:asciiTheme="minorHAnsi" w:hAnsiTheme="minorHAnsi" w:cs="Arial"/>
          <w:b/>
          <w:bCs/>
          <w:color w:val="000000"/>
          <w:sz w:val="18"/>
          <w:szCs w:val="18"/>
        </w:rPr>
        <w:t xml:space="preserve"> Agricole SA </w:t>
      </w:r>
      <w:r w:rsidRPr="00F85C39">
        <w:rPr>
          <w:rFonts w:asciiTheme="minorHAnsi" w:hAnsiTheme="minorHAnsi" w:cs="Arial"/>
          <w:bCs/>
          <w:color w:val="000000"/>
          <w:sz w:val="18"/>
          <w:szCs w:val="18"/>
        </w:rPr>
        <w:t>debiutowała na polskim rynku finansowym w 2001 roku. Oferuje swoim klientom szeroką gamę rozwiązań finansowych w zakresie usług bankowych, leasingowych, ubezpieczeniowych i </w:t>
      </w:r>
      <w:proofErr w:type="spellStart"/>
      <w:r w:rsidRPr="00F85C39">
        <w:rPr>
          <w:rFonts w:asciiTheme="minorHAnsi" w:hAnsiTheme="minorHAnsi" w:cs="Arial"/>
          <w:bCs/>
          <w:color w:val="000000"/>
          <w:sz w:val="18"/>
          <w:szCs w:val="18"/>
        </w:rPr>
        <w:t>faktoringowych</w:t>
      </w:r>
      <w:proofErr w:type="spellEnd"/>
      <w:r w:rsidRPr="00F85C39">
        <w:rPr>
          <w:rFonts w:asciiTheme="minorHAnsi" w:hAnsiTheme="minorHAnsi" w:cs="Arial"/>
          <w:bCs/>
          <w:color w:val="000000"/>
          <w:sz w:val="18"/>
          <w:szCs w:val="18"/>
        </w:rPr>
        <w:t xml:space="preserve">. W skład grupy wchodzą między innymi </w:t>
      </w:r>
      <w:proofErr w:type="spellStart"/>
      <w:r w:rsidRPr="00F85C39">
        <w:rPr>
          <w:rFonts w:asciiTheme="minorHAnsi" w:hAnsiTheme="minorHAnsi" w:cs="Arial"/>
          <w:sz w:val="18"/>
          <w:szCs w:val="18"/>
        </w:rPr>
        <w:t>Crédit</w:t>
      </w:r>
      <w:proofErr w:type="spellEnd"/>
      <w:r w:rsidRPr="00F85C39">
        <w:rPr>
          <w:rFonts w:asciiTheme="minorHAnsi" w:hAnsiTheme="minorHAnsi" w:cs="Arial"/>
          <w:bCs/>
          <w:color w:val="000000"/>
          <w:sz w:val="18"/>
          <w:szCs w:val="18"/>
        </w:rPr>
        <w:t xml:space="preserve"> Agricole Bank Polska (dawny Lukas Bank), Grupa Europejskiego Funduszu Leasingowego (EFL, </w:t>
      </w:r>
      <w:proofErr w:type="spellStart"/>
      <w:r w:rsidRPr="00F85C39">
        <w:rPr>
          <w:rFonts w:asciiTheme="minorHAnsi" w:hAnsiTheme="minorHAnsi" w:cs="Arial"/>
          <w:bCs/>
          <w:color w:val="000000"/>
          <w:sz w:val="18"/>
          <w:szCs w:val="18"/>
        </w:rPr>
        <w:t>Carefleet</w:t>
      </w:r>
      <w:proofErr w:type="spellEnd"/>
      <w:r w:rsidRPr="00F85C39">
        <w:rPr>
          <w:rFonts w:asciiTheme="minorHAnsi" w:hAnsiTheme="minorHAnsi" w:cs="Arial"/>
          <w:bCs/>
          <w:color w:val="000000"/>
          <w:sz w:val="18"/>
          <w:szCs w:val="18"/>
        </w:rPr>
        <w:t xml:space="preserve">, EFL Finance, EFL Service, </w:t>
      </w:r>
      <w:proofErr w:type="spellStart"/>
      <w:r w:rsidRPr="00F85C39">
        <w:rPr>
          <w:rFonts w:asciiTheme="minorHAnsi" w:hAnsiTheme="minorHAnsi" w:cs="Arial"/>
          <w:bCs/>
          <w:color w:val="000000"/>
          <w:sz w:val="18"/>
          <w:szCs w:val="18"/>
        </w:rPr>
        <w:t>Eurofactor</w:t>
      </w:r>
      <w:proofErr w:type="spellEnd"/>
      <w:r w:rsidRPr="00F85C39">
        <w:rPr>
          <w:rFonts w:asciiTheme="minorHAnsi" w:hAnsiTheme="minorHAnsi" w:cs="Arial"/>
          <w:bCs/>
          <w:color w:val="000000"/>
          <w:sz w:val="18"/>
          <w:szCs w:val="18"/>
        </w:rPr>
        <w:t xml:space="preserve"> Polska SA), a także </w:t>
      </w:r>
      <w:proofErr w:type="spellStart"/>
      <w:r w:rsidRPr="00F85C39">
        <w:rPr>
          <w:rFonts w:asciiTheme="minorHAnsi" w:hAnsiTheme="minorHAnsi" w:cs="Arial"/>
          <w:sz w:val="18"/>
          <w:szCs w:val="18"/>
        </w:rPr>
        <w:t>Crédit</w:t>
      </w:r>
      <w:proofErr w:type="spellEnd"/>
      <w:r w:rsidRPr="00F85C39">
        <w:rPr>
          <w:rFonts w:asciiTheme="minorHAnsi" w:hAnsiTheme="minorHAnsi" w:cs="Arial"/>
          <w:bCs/>
          <w:color w:val="000000"/>
          <w:sz w:val="18"/>
          <w:szCs w:val="18"/>
        </w:rPr>
        <w:t xml:space="preserve"> Agricole Ubezpieczenia na Życie SA Więcej o Grupie CA Polska na </w:t>
      </w:r>
      <w:hyperlink r:id="rId9" w:history="1">
        <w:r w:rsidRPr="00F85C39">
          <w:rPr>
            <w:rStyle w:val="Hipercze"/>
            <w:rFonts w:asciiTheme="minorHAnsi" w:hAnsiTheme="minorHAnsi" w:cs="Arial"/>
            <w:bCs/>
            <w:sz w:val="18"/>
            <w:szCs w:val="18"/>
          </w:rPr>
          <w:t>www.ca-polska.com</w:t>
        </w:r>
      </w:hyperlink>
      <w:r w:rsidRPr="00F85C39">
        <w:rPr>
          <w:rStyle w:val="Hipercze"/>
          <w:rFonts w:asciiTheme="minorHAnsi" w:hAnsiTheme="minorHAnsi" w:cs="Arial"/>
          <w:bCs/>
          <w:sz w:val="18"/>
          <w:szCs w:val="18"/>
        </w:rPr>
        <w:t>.</w:t>
      </w:r>
    </w:p>
    <w:p w:rsidR="00C43A13" w:rsidRPr="00C43A13" w:rsidRDefault="00C43A13" w:rsidP="00C43A13">
      <w:pPr>
        <w:spacing w:line="276" w:lineRule="auto"/>
        <w:rPr>
          <w:rFonts w:ascii="Arial" w:hAnsi="Arial" w:cs="Arial"/>
          <w:sz w:val="20"/>
          <w:szCs w:val="22"/>
        </w:rPr>
      </w:pPr>
    </w:p>
    <w:sectPr w:rsidR="00C43A13" w:rsidRPr="00C43A13" w:rsidSect="00E56807">
      <w:headerReference w:type="default" r:id="rId10"/>
      <w:footnotePr>
        <w:pos w:val="beneathText"/>
      </w:footnotePr>
      <w:pgSz w:w="11905" w:h="16837"/>
      <w:pgMar w:top="1701" w:right="1134" w:bottom="1417" w:left="1134" w:header="397"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850" w:rsidRDefault="00631850">
      <w:r>
        <w:separator/>
      </w:r>
    </w:p>
  </w:endnote>
  <w:endnote w:type="continuationSeparator" w:id="0">
    <w:p w:rsidR="00631850" w:rsidRDefault="0063185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Lucida Grande CE">
    <w:charset w:val="58"/>
    <w:family w:val="auto"/>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850" w:rsidRDefault="00631850">
      <w:r>
        <w:separator/>
      </w:r>
    </w:p>
  </w:footnote>
  <w:footnote w:type="continuationSeparator" w:id="0">
    <w:p w:rsidR="00631850" w:rsidRDefault="00631850">
      <w:r>
        <w:continuationSeparator/>
      </w:r>
    </w:p>
  </w:footnote>
  <w:footnote w:id="1">
    <w:p w:rsidR="00206A22" w:rsidRPr="00F85C39" w:rsidRDefault="00206A22" w:rsidP="00206A22">
      <w:pPr>
        <w:pStyle w:val="Tekstprzypisudolnego"/>
        <w:spacing w:after="120"/>
        <w:jc w:val="both"/>
        <w:rPr>
          <w:rFonts w:asciiTheme="minorHAnsi" w:hAnsiTheme="minorHAnsi" w:cs="Arial"/>
          <w:sz w:val="18"/>
          <w:szCs w:val="18"/>
        </w:rPr>
      </w:pPr>
      <w:r w:rsidRPr="00F85C39">
        <w:rPr>
          <w:rStyle w:val="Odwoanieprzypisudolnego"/>
          <w:rFonts w:asciiTheme="minorHAnsi" w:hAnsiTheme="minorHAnsi" w:cs="Arial"/>
          <w:b/>
          <w:sz w:val="18"/>
          <w:szCs w:val="18"/>
        </w:rPr>
        <w:footnoteRef/>
      </w:r>
      <w:r w:rsidRPr="00F85C39">
        <w:rPr>
          <w:rFonts w:asciiTheme="minorHAnsi" w:hAnsiTheme="minorHAnsi" w:cs="Arial"/>
          <w:b/>
          <w:sz w:val="18"/>
          <w:szCs w:val="18"/>
        </w:rPr>
        <w:t xml:space="preserve"> Barometr EFL</w:t>
      </w:r>
      <w:r w:rsidRPr="00F85C39">
        <w:rPr>
          <w:rFonts w:asciiTheme="minorHAnsi" w:hAnsiTheme="minorHAnsi" w:cs="Arial"/>
          <w:sz w:val="18"/>
          <w:szCs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w:t>
      </w:r>
      <w:proofErr w:type="spellStart"/>
      <w:r w:rsidRPr="00F85C39">
        <w:rPr>
          <w:rFonts w:asciiTheme="minorHAnsi" w:hAnsiTheme="minorHAnsi" w:cs="Arial"/>
          <w:sz w:val="18"/>
          <w:szCs w:val="18"/>
        </w:rPr>
        <w:t>finansowa</w:t>
      </w:r>
      <w:proofErr w:type="spellEnd"/>
      <w:r w:rsidRPr="00F85C39">
        <w:rPr>
          <w:rFonts w:asciiTheme="minorHAnsi" w:hAnsiTheme="minorHAnsi" w:cs="Arial"/>
          <w:sz w:val="18"/>
          <w:szCs w:val="18"/>
        </w:rPr>
        <w:t xml:space="preserve"> firm MŚP daje </w:t>
      </w:r>
      <w:proofErr w:type="spellStart"/>
      <w:r w:rsidRPr="00F85C39">
        <w:rPr>
          <w:rFonts w:asciiTheme="minorHAnsi" w:hAnsiTheme="minorHAnsi" w:cs="Arial"/>
          <w:sz w:val="18"/>
          <w:szCs w:val="18"/>
        </w:rPr>
        <w:t>punkt</w:t>
      </w:r>
      <w:proofErr w:type="spellEnd"/>
      <w:r w:rsidRPr="00F85C39">
        <w:rPr>
          <w:rFonts w:asciiTheme="minorHAnsi" w:hAnsiTheme="minorHAnsi" w:cs="Arial"/>
          <w:sz w:val="18"/>
          <w:szCs w:val="18"/>
        </w:rPr>
        <w:t xml:space="preserve"> odniesienia do wnioskowania o zakładanym kierunku zmian, które sprzyjają wzrostowi lub działają hamująco na rozwój firm. Badanie przygotowywane jest przez </w:t>
      </w:r>
      <w:proofErr w:type="spellStart"/>
      <w:r w:rsidRPr="00F85C39">
        <w:rPr>
          <w:rFonts w:asciiTheme="minorHAnsi" w:hAnsiTheme="minorHAnsi" w:cs="Arial"/>
          <w:sz w:val="18"/>
          <w:szCs w:val="18"/>
        </w:rPr>
        <w:t>Ecorys</w:t>
      </w:r>
      <w:proofErr w:type="spellEnd"/>
      <w:r w:rsidRPr="00F85C39">
        <w:rPr>
          <w:rFonts w:asciiTheme="minorHAnsi" w:hAnsiTheme="minorHAnsi" w:cs="Arial"/>
          <w:sz w:val="18"/>
          <w:szCs w:val="18"/>
        </w:rPr>
        <w:t xml:space="preserve"> na zlecenie Europejskiego Funduszu Leasingowego SA., a jego wyniki są publikowane co kwartał. Jego uczestnicy to mikro, małe i średnie firmy terenu całej Polski. W badaniu wzięła udział reprezentatywna </w:t>
      </w:r>
      <w:proofErr w:type="spellStart"/>
      <w:r w:rsidRPr="00F85C39">
        <w:rPr>
          <w:rFonts w:asciiTheme="minorHAnsi" w:hAnsiTheme="minorHAnsi" w:cs="Arial"/>
          <w:sz w:val="18"/>
          <w:szCs w:val="18"/>
        </w:rPr>
        <w:t>grupa</w:t>
      </w:r>
      <w:proofErr w:type="spellEnd"/>
      <w:r w:rsidRPr="00F85C39">
        <w:rPr>
          <w:rFonts w:asciiTheme="minorHAnsi" w:hAnsiTheme="minorHAnsi" w:cs="Arial"/>
          <w:sz w:val="18"/>
          <w:szCs w:val="18"/>
        </w:rPr>
        <w:t xml:space="preserve"> 600 mikro, małych i średnich firm. Aktualna edycja badania odbyła się w dniach 6-13 listopada 2017 r.</w:t>
      </w:r>
    </w:p>
  </w:footnote>
  <w:footnote w:id="2">
    <w:p w:rsidR="00206A22" w:rsidRPr="00F85C39" w:rsidRDefault="00206A22" w:rsidP="00206A22">
      <w:pPr>
        <w:pStyle w:val="Tekstprzypisudolnego"/>
        <w:spacing w:after="120"/>
        <w:jc w:val="both"/>
        <w:rPr>
          <w:rFonts w:asciiTheme="minorHAnsi" w:hAnsiTheme="minorHAnsi" w:cs="Arial"/>
          <w:sz w:val="18"/>
          <w:szCs w:val="18"/>
        </w:rPr>
      </w:pPr>
      <w:r w:rsidRPr="00F85C39">
        <w:rPr>
          <w:rStyle w:val="Odwoanieprzypisudolnego"/>
          <w:rFonts w:asciiTheme="minorHAnsi" w:hAnsiTheme="minorHAnsi" w:cs="Arial"/>
          <w:b/>
          <w:sz w:val="18"/>
          <w:szCs w:val="18"/>
        </w:rPr>
        <w:footnoteRef/>
      </w:r>
      <w:r w:rsidRPr="00F85C39">
        <w:rPr>
          <w:rFonts w:asciiTheme="minorHAnsi" w:hAnsiTheme="minorHAnsi" w:cs="Arial"/>
          <w:b/>
          <w:sz w:val="18"/>
          <w:szCs w:val="18"/>
        </w:rPr>
        <w:t xml:space="preserve"> Próg OR</w:t>
      </w:r>
      <w:r w:rsidRPr="00F85C39">
        <w:rPr>
          <w:rFonts w:asciiTheme="minorHAnsi" w:hAnsiTheme="minorHAnsi" w:cs="Arial"/>
          <w:sz w:val="18"/>
          <w:szCs w:val="18"/>
        </w:rPr>
        <w:t xml:space="preserve"> jest podstawową miarą analityczną zastosowaną do wyników badania, który stanowi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BF" w:rsidRDefault="00C74A4C" w:rsidP="000707BA">
    <w:pPr>
      <w:pStyle w:val="Nagwek"/>
      <w:tabs>
        <w:tab w:val="left" w:pos="1080"/>
      </w:tabs>
    </w:pPr>
    <w:r>
      <w:rPr>
        <w:noProof/>
      </w:rPr>
      <w:drawing>
        <wp:anchor distT="0" distB="0" distL="114300" distR="114300" simplePos="0" relativeHeight="251658752" behindDoc="1" locked="0" layoutInCell="1" allowOverlap="1">
          <wp:simplePos x="0" y="0"/>
          <wp:positionH relativeFrom="column">
            <wp:posOffset>-720090</wp:posOffset>
          </wp:positionH>
          <wp:positionV relativeFrom="paragraph">
            <wp:posOffset>-250825</wp:posOffset>
          </wp:positionV>
          <wp:extent cx="7559675" cy="10689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papierfirmowy.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0689590"/>
                  </a:xfrm>
                  <a:prstGeom prst="rect">
                    <a:avLst/>
                  </a:prstGeom>
                </pic:spPr>
              </pic:pic>
            </a:graphicData>
          </a:graphic>
        </wp:anchor>
      </w:drawing>
    </w:r>
    <w:r w:rsidR="006A7DBF">
      <w:tab/>
    </w:r>
  </w:p>
  <w:p w:rsidR="006A7DBF" w:rsidRDefault="006A7DBF">
    <w:pPr>
      <w:pStyle w:val="Tekstpodstawowy"/>
    </w:pPr>
  </w:p>
  <w:p w:rsidR="006A7DBF" w:rsidRDefault="006A7DBF">
    <w:pPr>
      <w:pStyle w:val="Tekstpodstawow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nsid w:val="096A505C"/>
    <w:multiLevelType w:val="hybridMultilevel"/>
    <w:tmpl w:val="FC2EF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32EA4"/>
    <w:multiLevelType w:val="hybridMultilevel"/>
    <w:tmpl w:val="C542E9DE"/>
    <w:lvl w:ilvl="0" w:tplc="7C961D5C">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5">
    <w:nsid w:val="0B4D30DD"/>
    <w:multiLevelType w:val="hybridMultilevel"/>
    <w:tmpl w:val="7C041BB4"/>
    <w:lvl w:ilvl="0" w:tplc="0415000B">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6">
    <w:nsid w:val="13A420E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StarSymbol" w:hAnsi="StarSymbol"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nsid w:val="1A0A1DE9"/>
    <w:multiLevelType w:val="multilevel"/>
    <w:tmpl w:val="6B60DBE4"/>
    <w:lvl w:ilvl="0">
      <w:start w:val="1"/>
      <w:numFmt w:val="decimal"/>
      <w:lvlText w:val="%1."/>
      <w:lvlJc w:val="left"/>
      <w:pPr>
        <w:ind w:left="352" w:hanging="360"/>
      </w:pPr>
      <w:rPr>
        <w:rFonts w:hint="default"/>
      </w:rPr>
    </w:lvl>
    <w:lvl w:ilvl="1">
      <w:start w:val="1"/>
      <w:numFmt w:val="decimal"/>
      <w:isLgl/>
      <w:lvlText w:val="%1.%2."/>
      <w:lvlJc w:val="left"/>
      <w:pPr>
        <w:ind w:left="712" w:hanging="720"/>
      </w:pPr>
      <w:rPr>
        <w:rFonts w:hint="default"/>
      </w:rPr>
    </w:lvl>
    <w:lvl w:ilvl="2">
      <w:start w:val="1"/>
      <w:numFmt w:val="decimal"/>
      <w:isLgl/>
      <w:lvlText w:val="%1.%2.%3."/>
      <w:lvlJc w:val="left"/>
      <w:pPr>
        <w:ind w:left="712" w:hanging="720"/>
      </w:pPr>
      <w:rPr>
        <w:rFonts w:hint="default"/>
      </w:rPr>
    </w:lvl>
    <w:lvl w:ilvl="3">
      <w:start w:val="1"/>
      <w:numFmt w:val="decimal"/>
      <w:isLgl/>
      <w:lvlText w:val="%1.%2.%3.%4."/>
      <w:lvlJc w:val="left"/>
      <w:pPr>
        <w:ind w:left="1072" w:hanging="1080"/>
      </w:pPr>
      <w:rPr>
        <w:rFonts w:hint="default"/>
      </w:rPr>
    </w:lvl>
    <w:lvl w:ilvl="4">
      <w:start w:val="1"/>
      <w:numFmt w:val="decimal"/>
      <w:isLgl/>
      <w:lvlText w:val="%1.%2.%3.%4.%5."/>
      <w:lvlJc w:val="left"/>
      <w:pPr>
        <w:ind w:left="1072" w:hanging="1080"/>
      </w:pPr>
      <w:rPr>
        <w:rFonts w:hint="default"/>
      </w:rPr>
    </w:lvl>
    <w:lvl w:ilvl="5">
      <w:start w:val="1"/>
      <w:numFmt w:val="decimal"/>
      <w:isLgl/>
      <w:lvlText w:val="%1.%2.%3.%4.%5.%6."/>
      <w:lvlJc w:val="left"/>
      <w:pPr>
        <w:ind w:left="1432" w:hanging="1440"/>
      </w:pPr>
      <w:rPr>
        <w:rFonts w:hint="default"/>
      </w:rPr>
    </w:lvl>
    <w:lvl w:ilvl="6">
      <w:start w:val="1"/>
      <w:numFmt w:val="decimal"/>
      <w:isLgl/>
      <w:lvlText w:val="%1.%2.%3.%4.%5.%6.%7."/>
      <w:lvlJc w:val="left"/>
      <w:pPr>
        <w:ind w:left="1432" w:hanging="1440"/>
      </w:pPr>
      <w:rPr>
        <w:rFonts w:hint="default"/>
      </w:rPr>
    </w:lvl>
    <w:lvl w:ilvl="7">
      <w:start w:val="1"/>
      <w:numFmt w:val="decimal"/>
      <w:isLgl/>
      <w:lvlText w:val="%1.%2.%3.%4.%5.%6.%7.%8."/>
      <w:lvlJc w:val="left"/>
      <w:pPr>
        <w:ind w:left="1792" w:hanging="1800"/>
      </w:pPr>
      <w:rPr>
        <w:rFonts w:hint="default"/>
      </w:rPr>
    </w:lvl>
    <w:lvl w:ilvl="8">
      <w:start w:val="1"/>
      <w:numFmt w:val="decimal"/>
      <w:isLgl/>
      <w:lvlText w:val="%1.%2.%3.%4.%5.%6.%7.%8.%9."/>
      <w:lvlJc w:val="left"/>
      <w:pPr>
        <w:ind w:left="2152" w:hanging="2160"/>
      </w:pPr>
      <w:rPr>
        <w:rFonts w:hint="default"/>
      </w:rPr>
    </w:lvl>
  </w:abstractNum>
  <w:abstractNum w:abstractNumId="8">
    <w:nsid w:val="1B634FCD"/>
    <w:multiLevelType w:val="hybridMultilevel"/>
    <w:tmpl w:val="52C85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4E1C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24D1740"/>
    <w:multiLevelType w:val="multilevel"/>
    <w:tmpl w:val="00000001"/>
    <w:lvl w:ilvl="0">
      <w:start w:val="1"/>
      <w:numFmt w:val="bullet"/>
      <w:lvlText w:val="●"/>
      <w:lvlJc w:val="left"/>
      <w:pPr>
        <w:tabs>
          <w:tab w:val="num" w:pos="709"/>
        </w:tabs>
        <w:ind w:left="709" w:hanging="360"/>
      </w:pPr>
      <w:rPr>
        <w:rFonts w:ascii="StarSymbol" w:hAnsi="StarSymbol" w:cs="StarSymbol" w:hint="default"/>
        <w:sz w:val="18"/>
        <w:szCs w:val="18"/>
      </w:rPr>
    </w:lvl>
    <w:lvl w:ilvl="1">
      <w:start w:val="1"/>
      <w:numFmt w:val="bullet"/>
      <w:lvlText w:val="➢"/>
      <w:lvlJc w:val="left"/>
      <w:pPr>
        <w:tabs>
          <w:tab w:val="num" w:pos="1429"/>
        </w:tabs>
        <w:ind w:left="1429" w:hanging="360"/>
      </w:pPr>
      <w:rPr>
        <w:rFonts w:ascii="StarSymbol" w:hAnsi="StarSymbol" w:cs="StarSymbol" w:hint="default"/>
        <w:sz w:val="18"/>
        <w:szCs w:val="18"/>
      </w:rPr>
    </w:lvl>
    <w:lvl w:ilvl="2">
      <w:start w:val="1"/>
      <w:numFmt w:val="bullet"/>
      <w:lvlText w:val="■"/>
      <w:lvlJc w:val="left"/>
      <w:pPr>
        <w:tabs>
          <w:tab w:val="num" w:pos="2149"/>
        </w:tabs>
        <w:ind w:left="2149" w:hanging="360"/>
      </w:pPr>
      <w:rPr>
        <w:rFonts w:ascii="StarSymbol" w:hAnsi="StarSymbol" w:cs="StarSymbol" w:hint="default"/>
        <w:sz w:val="18"/>
        <w:szCs w:val="18"/>
      </w:rPr>
    </w:lvl>
    <w:lvl w:ilvl="3">
      <w:start w:val="1"/>
      <w:numFmt w:val="bullet"/>
      <w:lvlText w:val="●"/>
      <w:lvlJc w:val="left"/>
      <w:pPr>
        <w:tabs>
          <w:tab w:val="num" w:pos="2869"/>
        </w:tabs>
        <w:ind w:left="2869" w:hanging="360"/>
      </w:pPr>
      <w:rPr>
        <w:rFonts w:ascii="StarSymbol" w:hAnsi="StarSymbol" w:cs="StarSymbol" w:hint="default"/>
        <w:sz w:val="18"/>
        <w:szCs w:val="18"/>
      </w:rPr>
    </w:lvl>
    <w:lvl w:ilvl="4">
      <w:start w:val="1"/>
      <w:numFmt w:val="bullet"/>
      <w:lvlText w:val=""/>
      <w:lvlJc w:val="left"/>
      <w:pPr>
        <w:tabs>
          <w:tab w:val="num" w:pos="3589"/>
        </w:tabs>
        <w:ind w:left="3589" w:hanging="360"/>
      </w:pPr>
      <w:rPr>
        <w:rFonts w:ascii="Wingdings 2" w:hAnsi="Wingdings 2" w:cs="StarSymbol" w:hint="default"/>
        <w:sz w:val="18"/>
        <w:szCs w:val="18"/>
      </w:rPr>
    </w:lvl>
    <w:lvl w:ilvl="5">
      <w:start w:val="1"/>
      <w:numFmt w:val="bullet"/>
      <w:lvlText w:val="■"/>
      <w:lvlJc w:val="left"/>
      <w:pPr>
        <w:tabs>
          <w:tab w:val="num" w:pos="4309"/>
        </w:tabs>
        <w:ind w:left="4309" w:hanging="360"/>
      </w:pPr>
      <w:rPr>
        <w:rFonts w:ascii="StarSymbol" w:hAnsi="StarSymbol" w:cs="StarSymbol" w:hint="default"/>
        <w:sz w:val="18"/>
        <w:szCs w:val="18"/>
      </w:rPr>
    </w:lvl>
    <w:lvl w:ilvl="6">
      <w:start w:val="1"/>
      <w:numFmt w:val="bullet"/>
      <w:lvlText w:val="●"/>
      <w:lvlJc w:val="left"/>
      <w:pPr>
        <w:tabs>
          <w:tab w:val="num" w:pos="5029"/>
        </w:tabs>
        <w:ind w:left="5029" w:hanging="360"/>
      </w:pPr>
      <w:rPr>
        <w:rFonts w:ascii="StarSymbol" w:hAnsi="StarSymbol" w:cs="StarSymbol" w:hint="default"/>
        <w:sz w:val="18"/>
        <w:szCs w:val="18"/>
      </w:rPr>
    </w:lvl>
    <w:lvl w:ilvl="7">
      <w:start w:val="1"/>
      <w:numFmt w:val="bullet"/>
      <w:lvlText w:val=""/>
      <w:lvlJc w:val="left"/>
      <w:pPr>
        <w:tabs>
          <w:tab w:val="num" w:pos="5749"/>
        </w:tabs>
        <w:ind w:left="5749" w:hanging="360"/>
      </w:pPr>
      <w:rPr>
        <w:rFonts w:ascii="Wingdings 2" w:hAnsi="Wingdings 2" w:cs="StarSymbol" w:hint="default"/>
        <w:sz w:val="18"/>
        <w:szCs w:val="18"/>
      </w:rPr>
    </w:lvl>
    <w:lvl w:ilvl="8">
      <w:start w:val="1"/>
      <w:numFmt w:val="bullet"/>
      <w:lvlText w:val="■"/>
      <w:lvlJc w:val="left"/>
      <w:pPr>
        <w:tabs>
          <w:tab w:val="num" w:pos="6469"/>
        </w:tabs>
        <w:ind w:left="6469" w:hanging="360"/>
      </w:pPr>
      <w:rPr>
        <w:rFonts w:ascii="StarSymbol" w:hAnsi="StarSymbol" w:cs="StarSymbol" w:hint="default"/>
        <w:sz w:val="18"/>
        <w:szCs w:val="18"/>
      </w:rPr>
    </w:lvl>
  </w:abstractNum>
  <w:abstractNum w:abstractNumId="11">
    <w:nsid w:val="345861A1"/>
    <w:multiLevelType w:val="hybridMultilevel"/>
    <w:tmpl w:val="36A2622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0126AD"/>
    <w:multiLevelType w:val="hybridMultilevel"/>
    <w:tmpl w:val="BFB868C2"/>
    <w:lvl w:ilvl="0" w:tplc="0415000B">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3">
    <w:nsid w:val="3B450262"/>
    <w:multiLevelType w:val="hybridMultilevel"/>
    <w:tmpl w:val="A66CEC4A"/>
    <w:lvl w:ilvl="0" w:tplc="203AA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0D7995"/>
    <w:multiLevelType w:val="hybridMultilevel"/>
    <w:tmpl w:val="5688FC9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DF80A02"/>
    <w:multiLevelType w:val="hybridMultilevel"/>
    <w:tmpl w:val="22BE1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C94649"/>
    <w:multiLevelType w:val="hybridMultilevel"/>
    <w:tmpl w:val="265268E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8BE7506"/>
    <w:multiLevelType w:val="hybridMultilevel"/>
    <w:tmpl w:val="93E412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92363E"/>
    <w:multiLevelType w:val="hybridMultilevel"/>
    <w:tmpl w:val="2FBEDB8A"/>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9">
    <w:nsid w:val="508B38FF"/>
    <w:multiLevelType w:val="hybridMultilevel"/>
    <w:tmpl w:val="7C542C70"/>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20">
    <w:nsid w:val="517B10D6"/>
    <w:multiLevelType w:val="hybridMultilevel"/>
    <w:tmpl w:val="6C3CB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CA6D2C"/>
    <w:multiLevelType w:val="hybridMultilevel"/>
    <w:tmpl w:val="FD40030E"/>
    <w:lvl w:ilvl="0" w:tplc="75D85920">
      <w:start w:val="1"/>
      <w:numFmt w:val="bullet"/>
      <w:lvlText w:val="-"/>
      <w:lvlJc w:val="left"/>
      <w:pPr>
        <w:ind w:left="1432" w:hanging="360"/>
      </w:pPr>
      <w:rPr>
        <w:rFonts w:ascii="Arial" w:hAnsi="Aria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2">
    <w:nsid w:val="5932169F"/>
    <w:multiLevelType w:val="hybridMultilevel"/>
    <w:tmpl w:val="9DCE8C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7E0584C"/>
    <w:multiLevelType w:val="hybridMultilevel"/>
    <w:tmpl w:val="2FA06AE4"/>
    <w:lvl w:ilvl="0" w:tplc="7AF21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162D36"/>
    <w:multiLevelType w:val="hybridMultilevel"/>
    <w:tmpl w:val="5A468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C864B3"/>
    <w:multiLevelType w:val="hybridMultilevel"/>
    <w:tmpl w:val="DB1C408A"/>
    <w:lvl w:ilvl="0" w:tplc="454603CA">
      <w:start w:val="1"/>
      <w:numFmt w:val="decimal"/>
      <w:lvlText w:val="%1."/>
      <w:lvlJc w:val="left"/>
      <w:pPr>
        <w:ind w:left="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B43B29"/>
    <w:multiLevelType w:val="hybridMultilevel"/>
    <w:tmpl w:val="D9366ED4"/>
    <w:lvl w:ilvl="0" w:tplc="DF1CF04A">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7">
    <w:nsid w:val="7627108D"/>
    <w:multiLevelType w:val="hybridMultilevel"/>
    <w:tmpl w:val="472AA2D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7DAF680F"/>
    <w:multiLevelType w:val="hybridMultilevel"/>
    <w:tmpl w:val="9E4EA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8"/>
  </w:num>
  <w:num w:numId="6">
    <w:abstractNumId w:val="10"/>
  </w:num>
  <w:num w:numId="7">
    <w:abstractNumId w:val="15"/>
  </w:num>
  <w:num w:numId="8">
    <w:abstractNumId w:val="8"/>
  </w:num>
  <w:num w:numId="9">
    <w:abstractNumId w:val="19"/>
  </w:num>
  <w:num w:numId="10">
    <w:abstractNumId w:val="28"/>
  </w:num>
  <w:num w:numId="11">
    <w:abstractNumId w:val="6"/>
  </w:num>
  <w:num w:numId="12">
    <w:abstractNumId w:val="9"/>
  </w:num>
  <w:num w:numId="13">
    <w:abstractNumId w:val="12"/>
  </w:num>
  <w:num w:numId="14">
    <w:abstractNumId w:val="24"/>
  </w:num>
  <w:num w:numId="15">
    <w:abstractNumId w:val="5"/>
  </w:num>
  <w:num w:numId="16">
    <w:abstractNumId w:val="21"/>
  </w:num>
  <w:num w:numId="17">
    <w:abstractNumId w:val="11"/>
  </w:num>
  <w:num w:numId="18">
    <w:abstractNumId w:val="3"/>
  </w:num>
  <w:num w:numId="19">
    <w:abstractNumId w:val="16"/>
  </w:num>
  <w:num w:numId="20">
    <w:abstractNumId w:val="23"/>
  </w:num>
  <w:num w:numId="21">
    <w:abstractNumId w:val="4"/>
  </w:num>
  <w:num w:numId="22">
    <w:abstractNumId w:val="20"/>
  </w:num>
  <w:num w:numId="23">
    <w:abstractNumId w:val="26"/>
  </w:num>
  <w:num w:numId="24">
    <w:abstractNumId w:val="2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04862"/>
    <w:rsid w:val="000065EF"/>
    <w:rsid w:val="00021A28"/>
    <w:rsid w:val="00033343"/>
    <w:rsid w:val="00042045"/>
    <w:rsid w:val="00044485"/>
    <w:rsid w:val="0006033D"/>
    <w:rsid w:val="00063ED3"/>
    <w:rsid w:val="000707BA"/>
    <w:rsid w:val="0007509B"/>
    <w:rsid w:val="00092E68"/>
    <w:rsid w:val="000A3A17"/>
    <w:rsid w:val="000A4965"/>
    <w:rsid w:val="000A5660"/>
    <w:rsid w:val="000B22CB"/>
    <w:rsid w:val="000C3976"/>
    <w:rsid w:val="000D3F0C"/>
    <w:rsid w:val="000F3AE9"/>
    <w:rsid w:val="001109CF"/>
    <w:rsid w:val="00113729"/>
    <w:rsid w:val="00121739"/>
    <w:rsid w:val="001266C2"/>
    <w:rsid w:val="001313D2"/>
    <w:rsid w:val="00140D2F"/>
    <w:rsid w:val="0015190E"/>
    <w:rsid w:val="001558F7"/>
    <w:rsid w:val="0015639F"/>
    <w:rsid w:val="00162DAD"/>
    <w:rsid w:val="0017407F"/>
    <w:rsid w:val="001812E1"/>
    <w:rsid w:val="001A05BC"/>
    <w:rsid w:val="001A5763"/>
    <w:rsid w:val="001B7DEF"/>
    <w:rsid w:val="001B7F98"/>
    <w:rsid w:val="001C0BB9"/>
    <w:rsid w:val="001D1BEC"/>
    <w:rsid w:val="001D3D78"/>
    <w:rsid w:val="001D3DE9"/>
    <w:rsid w:val="001D51FA"/>
    <w:rsid w:val="001D7B76"/>
    <w:rsid w:val="001E1E82"/>
    <w:rsid w:val="001E7DE8"/>
    <w:rsid w:val="001F04C9"/>
    <w:rsid w:val="001F31D6"/>
    <w:rsid w:val="001F55A0"/>
    <w:rsid w:val="00206A22"/>
    <w:rsid w:val="00214C3B"/>
    <w:rsid w:val="00215E32"/>
    <w:rsid w:val="00223D26"/>
    <w:rsid w:val="00230D9F"/>
    <w:rsid w:val="00232472"/>
    <w:rsid w:val="00245C78"/>
    <w:rsid w:val="00252BE1"/>
    <w:rsid w:val="002620B0"/>
    <w:rsid w:val="002658AF"/>
    <w:rsid w:val="00282AF3"/>
    <w:rsid w:val="002860AE"/>
    <w:rsid w:val="00293A6F"/>
    <w:rsid w:val="002A246C"/>
    <w:rsid w:val="002B5938"/>
    <w:rsid w:val="002C37A0"/>
    <w:rsid w:val="002E1C3A"/>
    <w:rsid w:val="002E6814"/>
    <w:rsid w:val="002E6DC6"/>
    <w:rsid w:val="0030313C"/>
    <w:rsid w:val="00323B3F"/>
    <w:rsid w:val="0032449C"/>
    <w:rsid w:val="00327859"/>
    <w:rsid w:val="00336C5F"/>
    <w:rsid w:val="00337D05"/>
    <w:rsid w:val="00350F49"/>
    <w:rsid w:val="00353576"/>
    <w:rsid w:val="00354BB5"/>
    <w:rsid w:val="00365812"/>
    <w:rsid w:val="00377F62"/>
    <w:rsid w:val="00382E4A"/>
    <w:rsid w:val="00384FC8"/>
    <w:rsid w:val="00392C9E"/>
    <w:rsid w:val="003A79B3"/>
    <w:rsid w:val="003B3D93"/>
    <w:rsid w:val="003C3771"/>
    <w:rsid w:val="003C5F1C"/>
    <w:rsid w:val="003C69F8"/>
    <w:rsid w:val="003F6F78"/>
    <w:rsid w:val="00411E5E"/>
    <w:rsid w:val="00420189"/>
    <w:rsid w:val="00424C3B"/>
    <w:rsid w:val="00426C42"/>
    <w:rsid w:val="00432ABD"/>
    <w:rsid w:val="00435B36"/>
    <w:rsid w:val="0045060D"/>
    <w:rsid w:val="004509B2"/>
    <w:rsid w:val="00451B9A"/>
    <w:rsid w:val="00453B67"/>
    <w:rsid w:val="0046173F"/>
    <w:rsid w:val="0047271A"/>
    <w:rsid w:val="004A0A43"/>
    <w:rsid w:val="004B6F30"/>
    <w:rsid w:val="004D7EA8"/>
    <w:rsid w:val="004E562F"/>
    <w:rsid w:val="004E7C17"/>
    <w:rsid w:val="004F0692"/>
    <w:rsid w:val="004F304D"/>
    <w:rsid w:val="004F43E7"/>
    <w:rsid w:val="004F7336"/>
    <w:rsid w:val="0050373E"/>
    <w:rsid w:val="00504E83"/>
    <w:rsid w:val="00507C83"/>
    <w:rsid w:val="00512413"/>
    <w:rsid w:val="005250D3"/>
    <w:rsid w:val="00530F56"/>
    <w:rsid w:val="00532F8A"/>
    <w:rsid w:val="00534908"/>
    <w:rsid w:val="005404FB"/>
    <w:rsid w:val="00540F11"/>
    <w:rsid w:val="005424DB"/>
    <w:rsid w:val="00544E2F"/>
    <w:rsid w:val="0054543E"/>
    <w:rsid w:val="005621C4"/>
    <w:rsid w:val="00577E56"/>
    <w:rsid w:val="005802B5"/>
    <w:rsid w:val="00581FCA"/>
    <w:rsid w:val="00582113"/>
    <w:rsid w:val="0058398B"/>
    <w:rsid w:val="00585DBB"/>
    <w:rsid w:val="005A1950"/>
    <w:rsid w:val="005A4AE0"/>
    <w:rsid w:val="005A6E0A"/>
    <w:rsid w:val="005A78B8"/>
    <w:rsid w:val="005B20A7"/>
    <w:rsid w:val="005C37A4"/>
    <w:rsid w:val="005C6382"/>
    <w:rsid w:val="005D0988"/>
    <w:rsid w:val="005D4223"/>
    <w:rsid w:val="005E070B"/>
    <w:rsid w:val="005E1FFF"/>
    <w:rsid w:val="005E4DFD"/>
    <w:rsid w:val="00605594"/>
    <w:rsid w:val="00605CBC"/>
    <w:rsid w:val="006164D5"/>
    <w:rsid w:val="00617656"/>
    <w:rsid w:val="00631850"/>
    <w:rsid w:val="00633377"/>
    <w:rsid w:val="006453D1"/>
    <w:rsid w:val="00645D12"/>
    <w:rsid w:val="00692A47"/>
    <w:rsid w:val="006950DF"/>
    <w:rsid w:val="006A7DBF"/>
    <w:rsid w:val="006B03B6"/>
    <w:rsid w:val="006B11D5"/>
    <w:rsid w:val="006B2BA7"/>
    <w:rsid w:val="006B30F8"/>
    <w:rsid w:val="006B6C6E"/>
    <w:rsid w:val="006C6CAE"/>
    <w:rsid w:val="006D2DCF"/>
    <w:rsid w:val="006E56F4"/>
    <w:rsid w:val="00704B50"/>
    <w:rsid w:val="00717058"/>
    <w:rsid w:val="00725F23"/>
    <w:rsid w:val="007273A0"/>
    <w:rsid w:val="00730590"/>
    <w:rsid w:val="00735055"/>
    <w:rsid w:val="00736BF9"/>
    <w:rsid w:val="00736F60"/>
    <w:rsid w:val="00740C80"/>
    <w:rsid w:val="007472E1"/>
    <w:rsid w:val="007528E3"/>
    <w:rsid w:val="007539D7"/>
    <w:rsid w:val="00754683"/>
    <w:rsid w:val="00754CFA"/>
    <w:rsid w:val="00772C2B"/>
    <w:rsid w:val="007730EB"/>
    <w:rsid w:val="00783A8D"/>
    <w:rsid w:val="0078509A"/>
    <w:rsid w:val="007903B5"/>
    <w:rsid w:val="00793D5A"/>
    <w:rsid w:val="00797D79"/>
    <w:rsid w:val="007A3373"/>
    <w:rsid w:val="007A5CFC"/>
    <w:rsid w:val="007B4EE0"/>
    <w:rsid w:val="007C4686"/>
    <w:rsid w:val="007D0756"/>
    <w:rsid w:val="007F6A2F"/>
    <w:rsid w:val="0080012A"/>
    <w:rsid w:val="00802743"/>
    <w:rsid w:val="00803B5C"/>
    <w:rsid w:val="00807443"/>
    <w:rsid w:val="00811F7B"/>
    <w:rsid w:val="00812202"/>
    <w:rsid w:val="00813343"/>
    <w:rsid w:val="00823309"/>
    <w:rsid w:val="00823D36"/>
    <w:rsid w:val="008336E6"/>
    <w:rsid w:val="008534EF"/>
    <w:rsid w:val="00870E48"/>
    <w:rsid w:val="008713B4"/>
    <w:rsid w:val="00873852"/>
    <w:rsid w:val="00874E31"/>
    <w:rsid w:val="00875579"/>
    <w:rsid w:val="008818CA"/>
    <w:rsid w:val="008822EE"/>
    <w:rsid w:val="00891A9D"/>
    <w:rsid w:val="00891D7A"/>
    <w:rsid w:val="008956BD"/>
    <w:rsid w:val="008B37FA"/>
    <w:rsid w:val="008C4924"/>
    <w:rsid w:val="008C69AD"/>
    <w:rsid w:val="008C6FFA"/>
    <w:rsid w:val="008D017F"/>
    <w:rsid w:val="008F68CE"/>
    <w:rsid w:val="009072F0"/>
    <w:rsid w:val="009108ED"/>
    <w:rsid w:val="009127DC"/>
    <w:rsid w:val="009164ED"/>
    <w:rsid w:val="009168E8"/>
    <w:rsid w:val="0092209D"/>
    <w:rsid w:val="00930E38"/>
    <w:rsid w:val="009324D7"/>
    <w:rsid w:val="0097519B"/>
    <w:rsid w:val="009839AE"/>
    <w:rsid w:val="00996A1A"/>
    <w:rsid w:val="009A4812"/>
    <w:rsid w:val="009A5159"/>
    <w:rsid w:val="009A7D0B"/>
    <w:rsid w:val="009B428F"/>
    <w:rsid w:val="009C5126"/>
    <w:rsid w:val="009D00C7"/>
    <w:rsid w:val="009D7449"/>
    <w:rsid w:val="009E0AF7"/>
    <w:rsid w:val="009F0260"/>
    <w:rsid w:val="009F0F65"/>
    <w:rsid w:val="00A0710C"/>
    <w:rsid w:val="00A07CAA"/>
    <w:rsid w:val="00A130DF"/>
    <w:rsid w:val="00A202FF"/>
    <w:rsid w:val="00A4107D"/>
    <w:rsid w:val="00A56690"/>
    <w:rsid w:val="00A62098"/>
    <w:rsid w:val="00A71A1D"/>
    <w:rsid w:val="00A803C2"/>
    <w:rsid w:val="00A81618"/>
    <w:rsid w:val="00AA56BF"/>
    <w:rsid w:val="00AA7754"/>
    <w:rsid w:val="00AB1735"/>
    <w:rsid w:val="00AB39CA"/>
    <w:rsid w:val="00AB4A1A"/>
    <w:rsid w:val="00AC73ED"/>
    <w:rsid w:val="00AC7DBC"/>
    <w:rsid w:val="00AD4FC9"/>
    <w:rsid w:val="00AE425F"/>
    <w:rsid w:val="00AE5BBB"/>
    <w:rsid w:val="00AF305A"/>
    <w:rsid w:val="00AF7471"/>
    <w:rsid w:val="00B04862"/>
    <w:rsid w:val="00B10F23"/>
    <w:rsid w:val="00B144EF"/>
    <w:rsid w:val="00B25587"/>
    <w:rsid w:val="00B4003C"/>
    <w:rsid w:val="00B55D9A"/>
    <w:rsid w:val="00B67427"/>
    <w:rsid w:val="00B67F62"/>
    <w:rsid w:val="00B73000"/>
    <w:rsid w:val="00B80A79"/>
    <w:rsid w:val="00B918B6"/>
    <w:rsid w:val="00BA74DF"/>
    <w:rsid w:val="00BB416D"/>
    <w:rsid w:val="00BB5272"/>
    <w:rsid w:val="00BC55C7"/>
    <w:rsid w:val="00BC589D"/>
    <w:rsid w:val="00BC6DA7"/>
    <w:rsid w:val="00BE0E3B"/>
    <w:rsid w:val="00BE1C8F"/>
    <w:rsid w:val="00BE2E2A"/>
    <w:rsid w:val="00BE7304"/>
    <w:rsid w:val="00C13E28"/>
    <w:rsid w:val="00C22130"/>
    <w:rsid w:val="00C3782D"/>
    <w:rsid w:val="00C41BAE"/>
    <w:rsid w:val="00C43A13"/>
    <w:rsid w:val="00C45200"/>
    <w:rsid w:val="00C528EA"/>
    <w:rsid w:val="00C60CFE"/>
    <w:rsid w:val="00C63312"/>
    <w:rsid w:val="00C70ADE"/>
    <w:rsid w:val="00C74A4C"/>
    <w:rsid w:val="00C74FDC"/>
    <w:rsid w:val="00C75CA2"/>
    <w:rsid w:val="00C76826"/>
    <w:rsid w:val="00C8014A"/>
    <w:rsid w:val="00CA3015"/>
    <w:rsid w:val="00CA399C"/>
    <w:rsid w:val="00CA6421"/>
    <w:rsid w:val="00CB4802"/>
    <w:rsid w:val="00CC606A"/>
    <w:rsid w:val="00CC7347"/>
    <w:rsid w:val="00CD109F"/>
    <w:rsid w:val="00CD180D"/>
    <w:rsid w:val="00CD59C1"/>
    <w:rsid w:val="00CD75B2"/>
    <w:rsid w:val="00CD7ABB"/>
    <w:rsid w:val="00CF2741"/>
    <w:rsid w:val="00CF42D6"/>
    <w:rsid w:val="00D01D89"/>
    <w:rsid w:val="00D073B0"/>
    <w:rsid w:val="00D0797B"/>
    <w:rsid w:val="00D10E6F"/>
    <w:rsid w:val="00D21BBB"/>
    <w:rsid w:val="00D26A68"/>
    <w:rsid w:val="00D27240"/>
    <w:rsid w:val="00D27F19"/>
    <w:rsid w:val="00D33B94"/>
    <w:rsid w:val="00D35F9B"/>
    <w:rsid w:val="00D366DF"/>
    <w:rsid w:val="00D42F02"/>
    <w:rsid w:val="00D635FE"/>
    <w:rsid w:val="00D64318"/>
    <w:rsid w:val="00D73A71"/>
    <w:rsid w:val="00D75BEA"/>
    <w:rsid w:val="00D869BB"/>
    <w:rsid w:val="00DC55C7"/>
    <w:rsid w:val="00DD0636"/>
    <w:rsid w:val="00DF70CB"/>
    <w:rsid w:val="00E0080B"/>
    <w:rsid w:val="00E00A19"/>
    <w:rsid w:val="00E126AE"/>
    <w:rsid w:val="00E15DE9"/>
    <w:rsid w:val="00E219C1"/>
    <w:rsid w:val="00E224FF"/>
    <w:rsid w:val="00E231F9"/>
    <w:rsid w:val="00E26DB6"/>
    <w:rsid w:val="00E349AA"/>
    <w:rsid w:val="00E40281"/>
    <w:rsid w:val="00E4028A"/>
    <w:rsid w:val="00E45122"/>
    <w:rsid w:val="00E516BD"/>
    <w:rsid w:val="00E56807"/>
    <w:rsid w:val="00E63920"/>
    <w:rsid w:val="00E73743"/>
    <w:rsid w:val="00E76396"/>
    <w:rsid w:val="00E77B06"/>
    <w:rsid w:val="00E97341"/>
    <w:rsid w:val="00EB5966"/>
    <w:rsid w:val="00ED0719"/>
    <w:rsid w:val="00F07E84"/>
    <w:rsid w:val="00F112BA"/>
    <w:rsid w:val="00F20E9E"/>
    <w:rsid w:val="00F21E5D"/>
    <w:rsid w:val="00F30E5C"/>
    <w:rsid w:val="00F575F2"/>
    <w:rsid w:val="00F84572"/>
    <w:rsid w:val="00F85C39"/>
    <w:rsid w:val="00F975A8"/>
    <w:rsid w:val="00FA09D3"/>
    <w:rsid w:val="00FC12E9"/>
    <w:rsid w:val="00FD547F"/>
    <w:rsid w:val="00FF4C7D"/>
    <w:rsid w:val="00FF6C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CFA"/>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ces">
    <w:name w:val="Puces"/>
    <w:rsid w:val="00754CFA"/>
    <w:rPr>
      <w:rFonts w:ascii="StarSymbol" w:eastAsia="StarSymbol" w:hAnsi="StarSymbol" w:cs="StarSymbol"/>
      <w:sz w:val="18"/>
      <w:szCs w:val="18"/>
    </w:rPr>
  </w:style>
  <w:style w:type="paragraph" w:styleId="Nagwek">
    <w:name w:val="header"/>
    <w:basedOn w:val="Normalny"/>
    <w:next w:val="Tekstpodstawowy"/>
    <w:semiHidden/>
    <w:rsid w:val="00754CFA"/>
    <w:pPr>
      <w:keepNext/>
      <w:spacing w:before="240" w:after="120"/>
    </w:pPr>
    <w:rPr>
      <w:rFonts w:ascii="Arial" w:hAnsi="Arial" w:cs="Tahoma"/>
      <w:sz w:val="28"/>
      <w:szCs w:val="28"/>
    </w:rPr>
  </w:style>
  <w:style w:type="paragraph" w:styleId="Tekstpodstawowy">
    <w:name w:val="Body Text"/>
    <w:basedOn w:val="Normalny"/>
    <w:semiHidden/>
    <w:rsid w:val="00754CFA"/>
    <w:pPr>
      <w:spacing w:after="120"/>
    </w:pPr>
  </w:style>
  <w:style w:type="paragraph" w:styleId="Lista">
    <w:name w:val="List"/>
    <w:basedOn w:val="Tekstpodstawowy"/>
    <w:semiHidden/>
    <w:rsid w:val="00754CFA"/>
    <w:rPr>
      <w:rFonts w:cs="Tahoma"/>
    </w:rPr>
  </w:style>
  <w:style w:type="paragraph" w:customStyle="1" w:styleId="Lgende">
    <w:name w:val="Légende"/>
    <w:basedOn w:val="Normalny"/>
    <w:rsid w:val="00754CFA"/>
    <w:pPr>
      <w:suppressLineNumbers/>
      <w:spacing w:before="120" w:after="120"/>
    </w:pPr>
    <w:rPr>
      <w:rFonts w:cs="Tahoma"/>
      <w:i/>
      <w:iCs/>
    </w:rPr>
  </w:style>
  <w:style w:type="paragraph" w:customStyle="1" w:styleId="Rpertoire">
    <w:name w:val="Répertoire"/>
    <w:basedOn w:val="Normalny"/>
    <w:rsid w:val="00754CFA"/>
    <w:pPr>
      <w:suppressLineNumbers/>
    </w:pPr>
    <w:rPr>
      <w:rFonts w:cs="Tahoma"/>
    </w:rPr>
  </w:style>
  <w:style w:type="paragraph" w:styleId="Stopka">
    <w:name w:val="footer"/>
    <w:basedOn w:val="Normalny"/>
    <w:link w:val="StopkaZnak"/>
    <w:uiPriority w:val="99"/>
    <w:unhideWhenUsed/>
    <w:rsid w:val="00B04862"/>
    <w:pPr>
      <w:tabs>
        <w:tab w:val="center" w:pos="4536"/>
        <w:tab w:val="right" w:pos="9072"/>
      </w:tabs>
    </w:pPr>
  </w:style>
  <w:style w:type="character" w:customStyle="1" w:styleId="StopkaZnak">
    <w:name w:val="Stopka Znak"/>
    <w:basedOn w:val="Domylnaczcionkaakapitu"/>
    <w:link w:val="Stopka"/>
    <w:uiPriority w:val="99"/>
    <w:rsid w:val="00B04862"/>
    <w:rPr>
      <w:rFonts w:eastAsia="Lucida Sans Unicode"/>
      <w:kern w:val="1"/>
      <w:sz w:val="24"/>
      <w:szCs w:val="24"/>
    </w:rPr>
  </w:style>
  <w:style w:type="paragraph" w:styleId="Akapitzlist">
    <w:name w:val="List Paragraph"/>
    <w:basedOn w:val="Normalny"/>
    <w:uiPriority w:val="34"/>
    <w:qFormat/>
    <w:rsid w:val="00735055"/>
    <w:pPr>
      <w:ind w:left="720"/>
      <w:contextualSpacing/>
    </w:pPr>
  </w:style>
  <w:style w:type="paragraph" w:styleId="Tekstprzypisukocowego">
    <w:name w:val="endnote text"/>
    <w:basedOn w:val="Normalny"/>
    <w:link w:val="TekstprzypisukocowegoZnak"/>
    <w:uiPriority w:val="99"/>
    <w:semiHidden/>
    <w:unhideWhenUsed/>
    <w:rsid w:val="00113729"/>
    <w:rPr>
      <w:sz w:val="20"/>
      <w:szCs w:val="20"/>
    </w:rPr>
  </w:style>
  <w:style w:type="character" w:customStyle="1" w:styleId="TekstprzypisukocowegoZnak">
    <w:name w:val="Tekst przypisu końcowego Znak"/>
    <w:basedOn w:val="Domylnaczcionkaakapitu"/>
    <w:link w:val="Tekstprzypisukocowego"/>
    <w:uiPriority w:val="99"/>
    <w:semiHidden/>
    <w:rsid w:val="00113729"/>
    <w:rPr>
      <w:rFonts w:eastAsia="Lucida Sans Unicode"/>
      <w:kern w:val="1"/>
    </w:rPr>
  </w:style>
  <w:style w:type="character" w:styleId="Odwoanieprzypisukocowego">
    <w:name w:val="endnote reference"/>
    <w:basedOn w:val="Domylnaczcionkaakapitu"/>
    <w:uiPriority w:val="99"/>
    <w:semiHidden/>
    <w:unhideWhenUsed/>
    <w:rsid w:val="00113729"/>
    <w:rPr>
      <w:vertAlign w:val="superscript"/>
    </w:rPr>
  </w:style>
  <w:style w:type="paragraph" w:styleId="Tekstdymka">
    <w:name w:val="Balloon Text"/>
    <w:basedOn w:val="Normalny"/>
    <w:link w:val="TekstdymkaZnak"/>
    <w:uiPriority w:val="99"/>
    <w:semiHidden/>
    <w:unhideWhenUsed/>
    <w:rsid w:val="00C74A4C"/>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74A4C"/>
    <w:rPr>
      <w:rFonts w:ascii="Lucida Grande CE" w:eastAsia="Lucida Sans Unicode" w:hAnsi="Lucida Grande CE"/>
      <w:kern w:val="1"/>
      <w:sz w:val="18"/>
      <w:szCs w:val="18"/>
    </w:rPr>
  </w:style>
  <w:style w:type="character" w:styleId="Hipercze">
    <w:name w:val="Hyperlink"/>
    <w:unhideWhenUsed/>
    <w:rsid w:val="00C43A13"/>
    <w:rPr>
      <w:color w:val="0000FF"/>
      <w:u w:val="single"/>
    </w:rPr>
  </w:style>
  <w:style w:type="paragraph" w:styleId="Tekstprzypisudolnego">
    <w:name w:val="footnote text"/>
    <w:basedOn w:val="Normalny"/>
    <w:link w:val="TekstprzypisudolnegoZnak"/>
    <w:uiPriority w:val="99"/>
    <w:semiHidden/>
    <w:unhideWhenUsed/>
    <w:rsid w:val="00206A22"/>
    <w:rPr>
      <w:sz w:val="20"/>
      <w:szCs w:val="20"/>
    </w:rPr>
  </w:style>
  <w:style w:type="character" w:customStyle="1" w:styleId="TekstprzypisudolnegoZnak">
    <w:name w:val="Tekst przypisu dolnego Znak"/>
    <w:basedOn w:val="Domylnaczcionkaakapitu"/>
    <w:link w:val="Tekstprzypisudolnego"/>
    <w:uiPriority w:val="99"/>
    <w:semiHidden/>
    <w:rsid w:val="00206A22"/>
    <w:rPr>
      <w:rFonts w:eastAsia="Lucida Sans Unicode"/>
      <w:kern w:val="1"/>
    </w:rPr>
  </w:style>
  <w:style w:type="character" w:styleId="Odwoanieprzypisudolnego">
    <w:name w:val="footnote reference"/>
    <w:basedOn w:val="Domylnaczcionkaakapitu"/>
    <w:uiPriority w:val="99"/>
    <w:semiHidden/>
    <w:unhideWhenUsed/>
    <w:rsid w:val="00206A22"/>
    <w:rPr>
      <w:vertAlign w:val="superscript"/>
    </w:rPr>
  </w:style>
</w:styles>
</file>

<file path=word/webSettings.xml><?xml version="1.0" encoding="utf-8"?>
<w:webSettings xmlns:r="http://schemas.openxmlformats.org/officeDocument/2006/relationships" xmlns:w="http://schemas.openxmlformats.org/wordprocessingml/2006/main">
  <w:divs>
    <w:div w:id="1282489880">
      <w:bodyDiv w:val="1"/>
      <w:marLeft w:val="0"/>
      <w:marRight w:val="0"/>
      <w:marTop w:val="0"/>
      <w:marBottom w:val="0"/>
      <w:divBdr>
        <w:top w:val="none" w:sz="0" w:space="0" w:color="auto"/>
        <w:left w:val="none" w:sz="0" w:space="0" w:color="auto"/>
        <w:bottom w:val="none" w:sz="0" w:space="0" w:color="auto"/>
        <w:right w:val="none" w:sz="0" w:space="0" w:color="auto"/>
      </w:divBdr>
    </w:div>
    <w:div w:id="1334600628">
      <w:bodyDiv w:val="1"/>
      <w:marLeft w:val="0"/>
      <w:marRight w:val="0"/>
      <w:marTop w:val="0"/>
      <w:marBottom w:val="0"/>
      <w:divBdr>
        <w:top w:val="none" w:sz="0" w:space="0" w:color="auto"/>
        <w:left w:val="none" w:sz="0" w:space="0" w:color="auto"/>
        <w:bottom w:val="none" w:sz="0" w:space="0" w:color="auto"/>
        <w:right w:val="none" w:sz="0" w:space="0" w:color="auto"/>
      </w:divBdr>
    </w:div>
    <w:div w:id="1663436014">
      <w:bodyDiv w:val="1"/>
      <w:marLeft w:val="0"/>
      <w:marRight w:val="0"/>
      <w:marTop w:val="0"/>
      <w:marBottom w:val="0"/>
      <w:divBdr>
        <w:top w:val="none" w:sz="0" w:space="0" w:color="auto"/>
        <w:left w:val="none" w:sz="0" w:space="0" w:color="auto"/>
        <w:bottom w:val="none" w:sz="0" w:space="0" w:color="auto"/>
        <w:right w:val="none" w:sz="0" w:space="0" w:color="auto"/>
      </w:divBdr>
    </w:div>
    <w:div w:id="1768230348">
      <w:bodyDiv w:val="1"/>
      <w:marLeft w:val="0"/>
      <w:marRight w:val="0"/>
      <w:marTop w:val="0"/>
      <w:marBottom w:val="0"/>
      <w:divBdr>
        <w:top w:val="none" w:sz="0" w:space="0" w:color="auto"/>
        <w:left w:val="none" w:sz="0" w:space="0" w:color="auto"/>
        <w:bottom w:val="none" w:sz="0" w:space="0" w:color="auto"/>
        <w:right w:val="none" w:sz="0" w:space="0" w:color="auto"/>
      </w:divBdr>
    </w:div>
    <w:div w:id="20794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pl" TargetMode="External"/><Relationship Id="rId3" Type="http://schemas.openxmlformats.org/officeDocument/2006/relationships/settings" Target="settings.xml"/><Relationship Id="rId7" Type="http://schemas.openxmlformats.org/officeDocument/2006/relationships/hyperlink" Target="mailto:maja.lidke@efl.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olsk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717</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TF-construction, Tomal, Fassa, Sp.j.</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Paulinka</dc:creator>
  <cp:lastModifiedBy>Użytkownik systemu Windows</cp:lastModifiedBy>
  <cp:revision>19</cp:revision>
  <cp:lastPrinted>2014-02-12T12:34:00Z</cp:lastPrinted>
  <dcterms:created xsi:type="dcterms:W3CDTF">2017-11-06T08:31:00Z</dcterms:created>
  <dcterms:modified xsi:type="dcterms:W3CDTF">2017-11-21T07:08:00Z</dcterms:modified>
</cp:coreProperties>
</file>