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CFA" w:rsidRPr="0092209D" w:rsidRDefault="00C43A13" w:rsidP="00C43A13">
      <w:pPr>
        <w:spacing w:line="276" w:lineRule="auto"/>
        <w:rPr>
          <w:rFonts w:ascii="Arial" w:hAnsi="Arial" w:cs="Arial"/>
          <w:sz w:val="20"/>
          <w:szCs w:val="22"/>
        </w:rPr>
      </w:pPr>
      <w:r w:rsidRPr="0092209D">
        <w:rPr>
          <w:rFonts w:ascii="Arial" w:hAnsi="Arial" w:cs="Arial"/>
          <w:sz w:val="20"/>
          <w:szCs w:val="22"/>
        </w:rPr>
        <w:t>Informacja prasowa</w:t>
      </w:r>
    </w:p>
    <w:p w:rsidR="00C43A13" w:rsidRPr="0092209D" w:rsidRDefault="00C43A13" w:rsidP="00C43A13">
      <w:pPr>
        <w:spacing w:after="120" w:line="276" w:lineRule="auto"/>
        <w:rPr>
          <w:rFonts w:ascii="Arial" w:hAnsi="Arial" w:cs="Arial"/>
          <w:sz w:val="20"/>
          <w:szCs w:val="22"/>
        </w:rPr>
      </w:pPr>
      <w:r w:rsidRPr="0092209D">
        <w:rPr>
          <w:rFonts w:ascii="Arial" w:hAnsi="Arial" w:cs="Arial"/>
          <w:sz w:val="20"/>
          <w:szCs w:val="22"/>
        </w:rPr>
        <w:t xml:space="preserve">Wrocław, </w:t>
      </w:r>
      <w:r w:rsidR="00213AF4">
        <w:rPr>
          <w:rFonts w:ascii="Arial" w:hAnsi="Arial" w:cs="Arial"/>
          <w:sz w:val="20"/>
          <w:szCs w:val="22"/>
        </w:rPr>
        <w:t xml:space="preserve">4 grudnia </w:t>
      </w:r>
      <w:r w:rsidRPr="0092209D">
        <w:rPr>
          <w:rFonts w:ascii="Arial" w:hAnsi="Arial" w:cs="Arial"/>
          <w:sz w:val="20"/>
          <w:szCs w:val="22"/>
        </w:rPr>
        <w:t>2017</w:t>
      </w:r>
    </w:p>
    <w:p w:rsidR="00C43A13" w:rsidRDefault="008534EF" w:rsidP="00364401">
      <w:pPr>
        <w:spacing w:before="360" w:line="276" w:lineRule="auto"/>
        <w:rPr>
          <w:rFonts w:ascii="Arial" w:hAnsi="Arial" w:cs="Arial"/>
          <w:b/>
          <w:color w:val="26744D"/>
          <w:sz w:val="28"/>
          <w:szCs w:val="22"/>
        </w:rPr>
      </w:pPr>
      <w:r>
        <w:rPr>
          <w:rFonts w:ascii="Arial" w:hAnsi="Arial" w:cs="Arial"/>
          <w:b/>
          <w:color w:val="26744D"/>
          <w:sz w:val="28"/>
          <w:szCs w:val="22"/>
        </w:rPr>
        <w:t xml:space="preserve">Barometr EFL: </w:t>
      </w:r>
      <w:r w:rsidR="00213AF4">
        <w:rPr>
          <w:rFonts w:ascii="Arial" w:hAnsi="Arial" w:cs="Arial"/>
          <w:b/>
          <w:color w:val="26744D"/>
          <w:sz w:val="28"/>
          <w:szCs w:val="22"/>
        </w:rPr>
        <w:t>tak dobrej sytuacji w budowlance nie było od ponad 2 lat</w:t>
      </w:r>
    </w:p>
    <w:p w:rsidR="00364401" w:rsidRPr="00364401" w:rsidRDefault="00364401" w:rsidP="00364401">
      <w:pPr>
        <w:spacing w:after="360" w:line="276" w:lineRule="auto"/>
        <w:rPr>
          <w:rFonts w:ascii="Arial" w:hAnsi="Arial" w:cs="Arial"/>
          <w:b/>
          <w:color w:val="595959" w:themeColor="text1" w:themeTint="A6"/>
          <w:szCs w:val="22"/>
        </w:rPr>
      </w:pPr>
      <w:r w:rsidRPr="00364401">
        <w:rPr>
          <w:rFonts w:ascii="Arial" w:hAnsi="Arial" w:cs="Arial"/>
          <w:b/>
          <w:color w:val="595959" w:themeColor="text1" w:themeTint="A6"/>
          <w:szCs w:val="22"/>
        </w:rPr>
        <w:t>Więcej inwestować planuje 2 na 3 przedsiębiorców</w:t>
      </w:r>
    </w:p>
    <w:p w:rsidR="00277FAA" w:rsidRDefault="00213AF4" w:rsidP="00E40281">
      <w:pPr>
        <w:spacing w:after="120" w:line="276" w:lineRule="auto"/>
        <w:jc w:val="both"/>
        <w:rPr>
          <w:rFonts w:ascii="Arial" w:hAnsi="Arial" w:cs="Arial"/>
          <w:b/>
          <w:color w:val="26744D"/>
          <w:sz w:val="20"/>
          <w:szCs w:val="22"/>
        </w:rPr>
      </w:pPr>
      <w:r>
        <w:rPr>
          <w:rFonts w:ascii="Arial" w:hAnsi="Arial" w:cs="Arial"/>
          <w:b/>
          <w:color w:val="26744D"/>
          <w:sz w:val="20"/>
          <w:szCs w:val="22"/>
        </w:rPr>
        <w:t>Odczyt „Barometru EFL”</w:t>
      </w:r>
      <w:r>
        <w:rPr>
          <w:rStyle w:val="Odwoanieprzypisudolnego"/>
          <w:rFonts w:ascii="Arial" w:hAnsi="Arial" w:cs="Arial"/>
          <w:b/>
          <w:color w:val="26744D"/>
          <w:sz w:val="20"/>
          <w:szCs w:val="22"/>
        </w:rPr>
        <w:footnoteReference w:id="1"/>
      </w:r>
      <w:r>
        <w:rPr>
          <w:rFonts w:ascii="Arial" w:hAnsi="Arial" w:cs="Arial"/>
          <w:b/>
          <w:color w:val="26744D"/>
          <w:sz w:val="20"/>
          <w:szCs w:val="22"/>
        </w:rPr>
        <w:t xml:space="preserve"> </w:t>
      </w:r>
      <w:r w:rsidRPr="00213AF4">
        <w:rPr>
          <w:rFonts w:ascii="Arial" w:hAnsi="Arial" w:cs="Arial"/>
          <w:b/>
          <w:color w:val="26744D"/>
          <w:sz w:val="20"/>
          <w:szCs w:val="22"/>
        </w:rPr>
        <w:t xml:space="preserve">dla </w:t>
      </w:r>
      <w:r>
        <w:rPr>
          <w:rFonts w:ascii="Arial" w:hAnsi="Arial" w:cs="Arial"/>
          <w:b/>
          <w:color w:val="26744D"/>
          <w:sz w:val="20"/>
          <w:szCs w:val="22"/>
        </w:rPr>
        <w:t xml:space="preserve">budownictwa </w:t>
      </w:r>
      <w:r w:rsidRPr="00213AF4">
        <w:rPr>
          <w:rFonts w:ascii="Arial" w:hAnsi="Arial" w:cs="Arial"/>
          <w:b/>
          <w:color w:val="26744D"/>
          <w:sz w:val="20"/>
          <w:szCs w:val="22"/>
        </w:rPr>
        <w:t xml:space="preserve">na </w:t>
      </w:r>
      <w:r>
        <w:rPr>
          <w:rFonts w:ascii="Arial" w:hAnsi="Arial" w:cs="Arial"/>
          <w:b/>
          <w:color w:val="26744D"/>
          <w:sz w:val="20"/>
          <w:szCs w:val="22"/>
        </w:rPr>
        <w:t>IV</w:t>
      </w:r>
      <w:r w:rsidRPr="00213AF4">
        <w:rPr>
          <w:rFonts w:ascii="Arial" w:hAnsi="Arial" w:cs="Arial"/>
          <w:b/>
          <w:color w:val="26744D"/>
          <w:sz w:val="20"/>
          <w:szCs w:val="22"/>
        </w:rPr>
        <w:t xml:space="preserve"> kwartał tego roku </w:t>
      </w:r>
      <w:r>
        <w:rPr>
          <w:rFonts w:ascii="Arial" w:hAnsi="Arial" w:cs="Arial"/>
          <w:b/>
          <w:color w:val="26744D"/>
          <w:sz w:val="20"/>
          <w:szCs w:val="22"/>
        </w:rPr>
        <w:t xml:space="preserve">był najwyższy wśród sześciu badanych branż i </w:t>
      </w:r>
      <w:r w:rsidRPr="00213AF4">
        <w:rPr>
          <w:rFonts w:ascii="Arial" w:hAnsi="Arial" w:cs="Arial"/>
          <w:b/>
          <w:color w:val="26744D"/>
          <w:sz w:val="20"/>
          <w:szCs w:val="22"/>
        </w:rPr>
        <w:t xml:space="preserve">wyniósł </w:t>
      </w:r>
      <w:r>
        <w:rPr>
          <w:rFonts w:ascii="Arial" w:hAnsi="Arial" w:cs="Arial"/>
          <w:b/>
          <w:color w:val="26744D"/>
          <w:sz w:val="20"/>
          <w:szCs w:val="22"/>
        </w:rPr>
        <w:t xml:space="preserve">rekordowe 66,7 pkt. </w:t>
      </w:r>
      <w:r w:rsidRPr="00213AF4">
        <w:rPr>
          <w:rFonts w:ascii="Arial" w:hAnsi="Arial" w:cs="Arial"/>
          <w:b/>
          <w:color w:val="26744D"/>
          <w:sz w:val="20"/>
          <w:szCs w:val="22"/>
        </w:rPr>
        <w:t>Firmy budowlane</w:t>
      </w:r>
      <w:r>
        <w:rPr>
          <w:rFonts w:ascii="Arial" w:hAnsi="Arial" w:cs="Arial"/>
          <w:b/>
          <w:color w:val="26744D"/>
          <w:sz w:val="20"/>
          <w:szCs w:val="22"/>
        </w:rPr>
        <w:t xml:space="preserve"> nie tylko oceniły swoją sytuację zdecydowanie lepiej niż w poprzednim kwartale (+7,7 pkt.), ale </w:t>
      </w:r>
      <w:r w:rsidRPr="00213AF4">
        <w:rPr>
          <w:rFonts w:ascii="Arial" w:hAnsi="Arial" w:cs="Arial"/>
          <w:b/>
          <w:color w:val="26744D"/>
          <w:sz w:val="20"/>
          <w:szCs w:val="22"/>
        </w:rPr>
        <w:t>jest to najwyższy</w:t>
      </w:r>
      <w:r w:rsidR="00277FAA">
        <w:rPr>
          <w:rFonts w:ascii="Arial" w:hAnsi="Arial" w:cs="Arial"/>
          <w:b/>
          <w:color w:val="26744D"/>
          <w:sz w:val="20"/>
          <w:szCs w:val="22"/>
        </w:rPr>
        <w:t xml:space="preserve"> wynik</w:t>
      </w:r>
      <w:r w:rsidRPr="00213AF4">
        <w:rPr>
          <w:rFonts w:ascii="Arial" w:hAnsi="Arial" w:cs="Arial"/>
          <w:b/>
          <w:color w:val="26744D"/>
          <w:sz w:val="20"/>
          <w:szCs w:val="22"/>
        </w:rPr>
        <w:t xml:space="preserve"> tej branży od początku pomiaru Barometru</w:t>
      </w:r>
      <w:r w:rsidR="00277FAA" w:rsidRPr="00213AF4">
        <w:rPr>
          <w:rFonts w:ascii="Arial" w:hAnsi="Arial" w:cs="Arial"/>
          <w:b/>
          <w:color w:val="26744D"/>
          <w:sz w:val="20"/>
          <w:szCs w:val="22"/>
        </w:rPr>
        <w:t xml:space="preserve"> (ex-aequo z wynikie</w:t>
      </w:r>
      <w:bookmarkStart w:id="0" w:name="_GoBack"/>
      <w:bookmarkEnd w:id="0"/>
      <w:r w:rsidR="00277FAA" w:rsidRPr="00213AF4">
        <w:rPr>
          <w:rFonts w:ascii="Arial" w:hAnsi="Arial" w:cs="Arial"/>
          <w:b/>
          <w:color w:val="26744D"/>
          <w:sz w:val="20"/>
          <w:szCs w:val="22"/>
        </w:rPr>
        <w:t>m za III kw</w:t>
      </w:r>
      <w:r w:rsidR="00277FAA">
        <w:rPr>
          <w:rFonts w:ascii="Arial" w:hAnsi="Arial" w:cs="Arial"/>
          <w:b/>
          <w:color w:val="26744D"/>
          <w:sz w:val="20"/>
          <w:szCs w:val="22"/>
        </w:rPr>
        <w:t>artał</w:t>
      </w:r>
      <w:r w:rsidR="00277FAA" w:rsidRPr="00213AF4">
        <w:rPr>
          <w:rFonts w:ascii="Arial" w:hAnsi="Arial" w:cs="Arial"/>
          <w:b/>
          <w:color w:val="26744D"/>
          <w:sz w:val="20"/>
          <w:szCs w:val="22"/>
        </w:rPr>
        <w:t xml:space="preserve"> 2015</w:t>
      </w:r>
      <w:r w:rsidR="00277FAA">
        <w:rPr>
          <w:rFonts w:ascii="Arial" w:hAnsi="Arial" w:cs="Arial"/>
          <w:b/>
          <w:color w:val="26744D"/>
          <w:sz w:val="20"/>
          <w:szCs w:val="22"/>
        </w:rPr>
        <w:t xml:space="preserve">). Tak wysoka wartość wskaźnika wynika przede wszystkim z </w:t>
      </w:r>
      <w:r w:rsidRPr="00213AF4">
        <w:rPr>
          <w:rFonts w:ascii="Arial" w:hAnsi="Arial" w:cs="Arial"/>
          <w:b/>
          <w:color w:val="26744D"/>
          <w:sz w:val="20"/>
          <w:szCs w:val="22"/>
        </w:rPr>
        <w:t xml:space="preserve">optymizmu dotyczącego planowanych inwestycji. </w:t>
      </w:r>
      <w:r w:rsidR="00277FAA">
        <w:rPr>
          <w:rFonts w:ascii="Arial" w:hAnsi="Arial" w:cs="Arial"/>
          <w:b/>
          <w:color w:val="26744D"/>
          <w:sz w:val="20"/>
          <w:szCs w:val="22"/>
        </w:rPr>
        <w:t>Ich wzrostu</w:t>
      </w:r>
      <w:r w:rsidRPr="00213AF4">
        <w:rPr>
          <w:rFonts w:ascii="Arial" w:hAnsi="Arial" w:cs="Arial"/>
          <w:b/>
          <w:color w:val="26744D"/>
          <w:sz w:val="20"/>
          <w:szCs w:val="22"/>
        </w:rPr>
        <w:t xml:space="preserve"> spodziewa się </w:t>
      </w:r>
      <w:r w:rsidR="00277FAA">
        <w:rPr>
          <w:rFonts w:ascii="Arial" w:hAnsi="Arial" w:cs="Arial"/>
          <w:b/>
          <w:color w:val="26744D"/>
          <w:sz w:val="20"/>
          <w:szCs w:val="22"/>
        </w:rPr>
        <w:t>aż 63% firm budowlanych.</w:t>
      </w:r>
    </w:p>
    <w:p w:rsidR="00C42446" w:rsidRDefault="00684612" w:rsidP="00C42446">
      <w:pPr>
        <w:spacing w:after="120" w:line="276" w:lineRule="auto"/>
        <w:jc w:val="both"/>
        <w:rPr>
          <w:rFonts w:ascii="Arial" w:hAnsi="Arial" w:cs="Arial"/>
          <w:b/>
          <w:color w:val="26744D"/>
          <w:sz w:val="20"/>
          <w:szCs w:val="22"/>
        </w:rPr>
      </w:pPr>
      <w:r w:rsidRPr="00684612">
        <w:rPr>
          <w:rFonts w:ascii="Arial" w:hAnsi="Arial" w:cs="Arial"/>
          <w:i/>
          <w:sz w:val="20"/>
          <w:szCs w:val="22"/>
        </w:rPr>
        <w:t xml:space="preserve">- Spoglądając na tegoroczne pomiary dla branży budowlanej możemy dostrzec wyraźną poprawę nastrojów w porównaniu do ubiegłego roku. Wyniki II, III i IV kwartału należą do najwyższych w historii naszego badania, czyli od początku 2015 roku. Co więcej, do tej pory nie mieliśmy do czynienia z tak wysokim odsetkiem przedsiębiorców planujących inwestycje. </w:t>
      </w:r>
      <w:r w:rsidR="00C42446">
        <w:rPr>
          <w:rFonts w:ascii="Arial" w:hAnsi="Arial" w:cs="Arial"/>
          <w:i/>
          <w:sz w:val="20"/>
          <w:szCs w:val="22"/>
        </w:rPr>
        <w:t xml:space="preserve">Potwierdzają to obiektywne dane makroekonomiczne. Jak podał Główny Urząd Statystyczny, </w:t>
      </w:r>
      <w:r w:rsidR="00C42446" w:rsidRPr="00C42446">
        <w:rPr>
          <w:rFonts w:ascii="Arial" w:hAnsi="Arial" w:cs="Arial"/>
          <w:i/>
          <w:sz w:val="20"/>
          <w:szCs w:val="22"/>
        </w:rPr>
        <w:t xml:space="preserve">produkcja budowlano-montażowa </w:t>
      </w:r>
      <w:r w:rsidR="00C42446">
        <w:rPr>
          <w:rFonts w:ascii="Arial" w:hAnsi="Arial" w:cs="Arial"/>
          <w:i/>
          <w:sz w:val="20"/>
          <w:szCs w:val="22"/>
        </w:rPr>
        <w:t>wzrosła w październiku br. o ponad</w:t>
      </w:r>
      <w:r w:rsidR="00C42446" w:rsidRPr="00C42446">
        <w:rPr>
          <w:rFonts w:ascii="Arial" w:hAnsi="Arial" w:cs="Arial"/>
          <w:i/>
          <w:sz w:val="20"/>
          <w:szCs w:val="22"/>
        </w:rPr>
        <w:t xml:space="preserve"> 20%</w:t>
      </w:r>
      <w:r w:rsidR="00C42446">
        <w:rPr>
          <w:rFonts w:ascii="Arial" w:hAnsi="Arial" w:cs="Arial"/>
          <w:i/>
          <w:sz w:val="20"/>
          <w:szCs w:val="22"/>
        </w:rPr>
        <w:t xml:space="preserve"> r/r, a biorąc pod uwagę okres styczeń–październik, </w:t>
      </w:r>
      <w:r w:rsidR="00C42446" w:rsidRPr="00C42446">
        <w:rPr>
          <w:rFonts w:ascii="Arial" w:hAnsi="Arial" w:cs="Arial"/>
          <w:i/>
          <w:sz w:val="20"/>
          <w:szCs w:val="22"/>
        </w:rPr>
        <w:t>o</w:t>
      </w:r>
      <w:r w:rsidR="00C42446">
        <w:rPr>
          <w:rFonts w:ascii="Arial" w:hAnsi="Arial" w:cs="Arial"/>
          <w:i/>
          <w:sz w:val="20"/>
          <w:szCs w:val="22"/>
        </w:rPr>
        <w:t xml:space="preserve"> niemal 13</w:t>
      </w:r>
      <w:r w:rsidR="00C42446" w:rsidRPr="00C42446">
        <w:rPr>
          <w:rFonts w:ascii="Arial" w:hAnsi="Arial" w:cs="Arial"/>
          <w:i/>
          <w:sz w:val="20"/>
          <w:szCs w:val="22"/>
        </w:rPr>
        <w:t xml:space="preserve">% </w:t>
      </w:r>
      <w:r w:rsidR="00C42446">
        <w:rPr>
          <w:rFonts w:ascii="Arial" w:hAnsi="Arial" w:cs="Arial"/>
          <w:i/>
          <w:sz w:val="20"/>
          <w:szCs w:val="22"/>
        </w:rPr>
        <w:t xml:space="preserve">r/r. Rok temu w tym momencie mówiliśmy o spadkach. </w:t>
      </w:r>
      <w:r w:rsidR="00C42446" w:rsidRPr="00684612">
        <w:rPr>
          <w:rFonts w:ascii="Arial" w:hAnsi="Arial" w:cs="Arial"/>
          <w:i/>
          <w:sz w:val="20"/>
          <w:szCs w:val="22"/>
        </w:rPr>
        <w:t xml:space="preserve">To zapowiada bardzo </w:t>
      </w:r>
      <w:r w:rsidR="00C42446">
        <w:rPr>
          <w:rFonts w:ascii="Arial" w:hAnsi="Arial" w:cs="Arial"/>
          <w:i/>
          <w:sz w:val="20"/>
          <w:szCs w:val="22"/>
        </w:rPr>
        <w:t xml:space="preserve">dobre kolejne miesiące w branży </w:t>
      </w:r>
      <w:r w:rsidR="00C42446">
        <w:rPr>
          <w:rFonts w:ascii="Arial" w:hAnsi="Arial" w:cs="Arial"/>
          <w:i/>
          <w:sz w:val="20"/>
          <w:szCs w:val="20"/>
        </w:rPr>
        <w:t xml:space="preserve">– </w:t>
      </w:r>
      <w:r w:rsidR="00C42446" w:rsidRPr="00E40281">
        <w:rPr>
          <w:rFonts w:ascii="Arial" w:hAnsi="Arial" w:cs="Arial"/>
          <w:sz w:val="20"/>
          <w:szCs w:val="20"/>
        </w:rPr>
        <w:t xml:space="preserve">mówi </w:t>
      </w:r>
      <w:r w:rsidR="00C42446" w:rsidRPr="00E40281">
        <w:rPr>
          <w:rFonts w:ascii="Arial" w:hAnsi="Arial" w:cs="Arial"/>
          <w:b/>
          <w:color w:val="26744D"/>
          <w:sz w:val="20"/>
          <w:szCs w:val="22"/>
        </w:rPr>
        <w:t>Radosław Kuczyński, prezes EFL.</w:t>
      </w:r>
    </w:p>
    <w:p w:rsidR="0003482E" w:rsidRPr="0003482E" w:rsidRDefault="0003482E" w:rsidP="0003482E">
      <w:pPr>
        <w:spacing w:after="120" w:line="276" w:lineRule="auto"/>
        <w:jc w:val="both"/>
        <w:rPr>
          <w:rFonts w:ascii="Arial" w:hAnsi="Arial" w:cs="Arial"/>
          <w:b/>
          <w:color w:val="26744D"/>
          <w:sz w:val="20"/>
          <w:szCs w:val="22"/>
        </w:rPr>
      </w:pPr>
      <w:r w:rsidRPr="0003482E">
        <w:rPr>
          <w:rFonts w:ascii="Arial" w:hAnsi="Arial" w:cs="Arial"/>
          <w:b/>
          <w:color w:val="26744D"/>
          <w:sz w:val="20"/>
          <w:szCs w:val="22"/>
        </w:rPr>
        <w:t>Budownictwo z drugim najlepszym wynikiem branżowym w historii</w:t>
      </w:r>
    </w:p>
    <w:p w:rsidR="0003482E" w:rsidRDefault="0003482E" w:rsidP="0003482E">
      <w:pPr>
        <w:spacing w:after="120" w:line="276" w:lineRule="auto"/>
        <w:jc w:val="both"/>
        <w:rPr>
          <w:rFonts w:ascii="Arial" w:hAnsi="Arial" w:cs="Arial"/>
          <w:sz w:val="20"/>
          <w:szCs w:val="22"/>
        </w:rPr>
      </w:pPr>
      <w:r w:rsidRPr="0003482E">
        <w:rPr>
          <w:rFonts w:ascii="Arial" w:hAnsi="Arial" w:cs="Arial"/>
          <w:sz w:val="20"/>
          <w:szCs w:val="22"/>
        </w:rPr>
        <w:t>W I</w:t>
      </w:r>
      <w:r>
        <w:rPr>
          <w:rFonts w:ascii="Arial" w:hAnsi="Arial" w:cs="Arial"/>
          <w:sz w:val="20"/>
          <w:szCs w:val="22"/>
        </w:rPr>
        <w:t>V</w:t>
      </w:r>
      <w:r w:rsidRPr="0003482E">
        <w:rPr>
          <w:rFonts w:ascii="Arial" w:hAnsi="Arial" w:cs="Arial"/>
          <w:sz w:val="20"/>
          <w:szCs w:val="22"/>
        </w:rPr>
        <w:t xml:space="preserve"> kwartale br. subindeks „Barometru EFL” dla branży budowlanej wyniósł </w:t>
      </w:r>
      <w:r>
        <w:rPr>
          <w:rFonts w:ascii="Arial" w:hAnsi="Arial" w:cs="Arial"/>
          <w:sz w:val="20"/>
          <w:szCs w:val="22"/>
        </w:rPr>
        <w:t>66,7</w:t>
      </w:r>
      <w:r w:rsidRPr="0003482E">
        <w:rPr>
          <w:rFonts w:ascii="Arial" w:hAnsi="Arial" w:cs="Arial"/>
          <w:sz w:val="20"/>
          <w:szCs w:val="22"/>
        </w:rPr>
        <w:t xml:space="preserve"> pkt. Jest to wynik </w:t>
      </w:r>
      <w:r>
        <w:rPr>
          <w:rFonts w:ascii="Arial" w:hAnsi="Arial" w:cs="Arial"/>
          <w:sz w:val="20"/>
          <w:szCs w:val="22"/>
        </w:rPr>
        <w:t xml:space="preserve">zdecydowanie </w:t>
      </w:r>
      <w:r w:rsidRPr="0003482E">
        <w:rPr>
          <w:rFonts w:ascii="Arial" w:hAnsi="Arial" w:cs="Arial"/>
          <w:sz w:val="20"/>
          <w:szCs w:val="22"/>
        </w:rPr>
        <w:t>lepszy</w:t>
      </w:r>
      <w:r>
        <w:rPr>
          <w:rFonts w:ascii="Arial" w:hAnsi="Arial" w:cs="Arial"/>
          <w:sz w:val="20"/>
          <w:szCs w:val="22"/>
        </w:rPr>
        <w:t xml:space="preserve"> niż w poprzednim kwartale (+7,7 pkt.) i rok temu (+10,9 </w:t>
      </w:r>
      <w:r w:rsidRPr="0003482E">
        <w:rPr>
          <w:rFonts w:ascii="Arial" w:hAnsi="Arial" w:cs="Arial"/>
          <w:sz w:val="20"/>
          <w:szCs w:val="22"/>
        </w:rPr>
        <w:t xml:space="preserve">pkt.). </w:t>
      </w:r>
      <w:r>
        <w:rPr>
          <w:rFonts w:ascii="Arial" w:hAnsi="Arial" w:cs="Arial"/>
          <w:sz w:val="20"/>
          <w:szCs w:val="22"/>
        </w:rPr>
        <w:t>Powodów do optymizmu jest jednak więcej. Biorąc pod uwagę tylko pomiar</w:t>
      </w:r>
      <w:r w:rsidR="005044DF">
        <w:rPr>
          <w:rFonts w:ascii="Arial" w:hAnsi="Arial" w:cs="Arial"/>
          <w:sz w:val="20"/>
          <w:szCs w:val="22"/>
        </w:rPr>
        <w:t>y</w:t>
      </w:r>
      <w:r>
        <w:rPr>
          <w:rFonts w:ascii="Arial" w:hAnsi="Arial" w:cs="Arial"/>
          <w:sz w:val="20"/>
          <w:szCs w:val="22"/>
        </w:rPr>
        <w:t xml:space="preserve"> dla branży budowlanej, ostatni tegoroczny wynik jest najlepszym w całej historii badania – </w:t>
      </w:r>
      <w:r w:rsidRPr="0003482E">
        <w:rPr>
          <w:rFonts w:ascii="Arial" w:hAnsi="Arial" w:cs="Arial"/>
          <w:sz w:val="20"/>
          <w:szCs w:val="22"/>
        </w:rPr>
        <w:t>ex-aequo z wynikiem za III kwartał 2015</w:t>
      </w:r>
      <w:r>
        <w:rPr>
          <w:rFonts w:ascii="Arial" w:hAnsi="Arial" w:cs="Arial"/>
          <w:sz w:val="20"/>
          <w:szCs w:val="22"/>
        </w:rPr>
        <w:t xml:space="preserve">. Ponadto, budownictwo może uznać cały 2017 rok za bardzo, gdyż trzy subindeksy (za II, III i IV kwartał) należą do najwyższych w ciągu trzech lat. Warto też spojrzeć na nastroje firm budowlanych w porównaniu do wyników pozostałych pięciu badanych branż (handel, </w:t>
      </w:r>
      <w:proofErr w:type="spellStart"/>
      <w:r>
        <w:rPr>
          <w:rFonts w:ascii="Arial" w:hAnsi="Arial" w:cs="Arial"/>
          <w:sz w:val="20"/>
          <w:szCs w:val="22"/>
        </w:rPr>
        <w:t>HoReCa</w:t>
      </w:r>
      <w:proofErr w:type="spellEnd"/>
      <w:r>
        <w:rPr>
          <w:rFonts w:ascii="Arial" w:hAnsi="Arial" w:cs="Arial"/>
          <w:sz w:val="20"/>
          <w:szCs w:val="22"/>
        </w:rPr>
        <w:t>, produkcja, transport i łączność, usługi. P</w:t>
      </w:r>
      <w:r>
        <w:rPr>
          <w:rFonts w:ascii="Arial" w:hAnsi="Arial" w:cs="Arial"/>
          <w:sz w:val="20"/>
          <w:szCs w:val="22"/>
        </w:rPr>
        <w:t xml:space="preserve">omiar </w:t>
      </w:r>
      <w:r>
        <w:rPr>
          <w:rFonts w:ascii="Arial" w:hAnsi="Arial" w:cs="Arial"/>
          <w:sz w:val="20"/>
          <w:szCs w:val="22"/>
        </w:rPr>
        <w:t>dla budowlanki n</w:t>
      </w:r>
      <w:r>
        <w:rPr>
          <w:rFonts w:ascii="Arial" w:hAnsi="Arial" w:cs="Arial"/>
          <w:sz w:val="20"/>
          <w:szCs w:val="22"/>
        </w:rPr>
        <w:t>a IV kwartał</w:t>
      </w:r>
      <w:r>
        <w:rPr>
          <w:rFonts w:ascii="Arial" w:hAnsi="Arial" w:cs="Arial"/>
          <w:sz w:val="20"/>
          <w:szCs w:val="22"/>
        </w:rPr>
        <w:t xml:space="preserve">  tego roku jest drugim najwyższym wynikiem branżowym od początku realizacji badania. Pierwszy należy do firm produkcyjnych na II kwartał</w:t>
      </w:r>
      <w:r w:rsidR="005044DF">
        <w:rPr>
          <w:rFonts w:ascii="Arial" w:hAnsi="Arial" w:cs="Arial"/>
          <w:sz w:val="20"/>
          <w:szCs w:val="22"/>
        </w:rPr>
        <w:t xml:space="preserve"> 2017</w:t>
      </w:r>
      <w:r>
        <w:rPr>
          <w:rFonts w:ascii="Arial" w:hAnsi="Arial" w:cs="Arial"/>
          <w:sz w:val="20"/>
          <w:szCs w:val="22"/>
        </w:rPr>
        <w:t xml:space="preserve"> roku – 69 pkt.</w:t>
      </w:r>
    </w:p>
    <w:p w:rsidR="0003482E" w:rsidRPr="0036163B" w:rsidRDefault="0036163B" w:rsidP="0003482E">
      <w:pPr>
        <w:spacing w:after="120" w:line="276" w:lineRule="auto"/>
        <w:jc w:val="both"/>
        <w:rPr>
          <w:rFonts w:ascii="Arial" w:hAnsi="Arial" w:cs="Arial"/>
          <w:b/>
          <w:color w:val="26744D"/>
          <w:sz w:val="20"/>
          <w:szCs w:val="22"/>
        </w:rPr>
      </w:pPr>
      <w:r w:rsidRPr="0036163B">
        <w:rPr>
          <w:rFonts w:ascii="Arial" w:hAnsi="Arial" w:cs="Arial"/>
          <w:b/>
          <w:color w:val="26744D"/>
          <w:sz w:val="20"/>
          <w:szCs w:val="22"/>
        </w:rPr>
        <w:t>Jeszcze nigdy tak wielu nie planowało tak wiele... inwestycji</w:t>
      </w:r>
    </w:p>
    <w:p w:rsidR="00213AF4" w:rsidRDefault="0036163B" w:rsidP="00E40281">
      <w:pPr>
        <w:spacing w:after="120" w:line="276" w:lineRule="auto"/>
        <w:jc w:val="both"/>
        <w:rPr>
          <w:rFonts w:ascii="Arial" w:hAnsi="Arial" w:cs="Arial"/>
          <w:b/>
          <w:color w:val="26744D"/>
          <w:sz w:val="20"/>
          <w:szCs w:val="22"/>
        </w:rPr>
      </w:pPr>
      <w:r>
        <w:rPr>
          <w:rFonts w:ascii="Arial" w:hAnsi="Arial" w:cs="Arial"/>
          <w:sz w:val="20"/>
          <w:szCs w:val="22"/>
        </w:rPr>
        <w:t>Rekordowo optymistyczne</w:t>
      </w:r>
      <w:r w:rsidR="0003482E" w:rsidRPr="0003482E">
        <w:rPr>
          <w:rFonts w:ascii="Arial" w:hAnsi="Arial" w:cs="Arial"/>
          <w:sz w:val="20"/>
          <w:szCs w:val="22"/>
        </w:rPr>
        <w:t xml:space="preserve"> nastroj</w:t>
      </w:r>
      <w:r>
        <w:rPr>
          <w:rFonts w:ascii="Arial" w:hAnsi="Arial" w:cs="Arial"/>
          <w:sz w:val="20"/>
          <w:szCs w:val="22"/>
        </w:rPr>
        <w:t>e</w:t>
      </w:r>
      <w:r w:rsidR="0003482E" w:rsidRPr="0003482E">
        <w:rPr>
          <w:rFonts w:ascii="Arial" w:hAnsi="Arial" w:cs="Arial"/>
          <w:sz w:val="20"/>
          <w:szCs w:val="22"/>
        </w:rPr>
        <w:t xml:space="preserve"> w budownictwie wynika</w:t>
      </w:r>
      <w:r>
        <w:rPr>
          <w:rFonts w:ascii="Arial" w:hAnsi="Arial" w:cs="Arial"/>
          <w:sz w:val="20"/>
          <w:szCs w:val="22"/>
        </w:rPr>
        <w:t>ją</w:t>
      </w:r>
      <w:r w:rsidR="0003482E" w:rsidRPr="0003482E">
        <w:rPr>
          <w:rFonts w:ascii="Arial" w:hAnsi="Arial" w:cs="Arial"/>
          <w:sz w:val="20"/>
          <w:szCs w:val="22"/>
        </w:rPr>
        <w:t xml:space="preserve"> głównie z pozytywnych prognoz dotyczących inwestycji</w:t>
      </w:r>
      <w:r>
        <w:rPr>
          <w:rFonts w:ascii="Arial" w:hAnsi="Arial" w:cs="Arial"/>
          <w:sz w:val="20"/>
          <w:szCs w:val="22"/>
        </w:rPr>
        <w:t>. Pod koniec tego roku aż 63%</w:t>
      </w:r>
      <w:r w:rsidR="0003482E" w:rsidRPr="0003482E">
        <w:rPr>
          <w:rFonts w:ascii="Arial" w:hAnsi="Arial" w:cs="Arial"/>
          <w:sz w:val="20"/>
          <w:szCs w:val="22"/>
        </w:rPr>
        <w:t xml:space="preserve"> firm z branży spodziewa się więcej inwestować. To</w:t>
      </w:r>
      <w:r>
        <w:rPr>
          <w:rFonts w:ascii="Arial" w:hAnsi="Arial" w:cs="Arial"/>
          <w:sz w:val="20"/>
          <w:szCs w:val="22"/>
        </w:rPr>
        <w:t xml:space="preserve"> zdecydowanie lepszy wynik niż kwartał wcześniej (34,8%) oraz trzy razy lepszy niż rok temu (20%). </w:t>
      </w:r>
      <w:r w:rsidR="0003482E" w:rsidRPr="0003482E">
        <w:rPr>
          <w:rFonts w:ascii="Arial" w:hAnsi="Arial" w:cs="Arial"/>
          <w:sz w:val="20"/>
          <w:szCs w:val="22"/>
        </w:rPr>
        <w:t>Przedstawiciele branży budowalnej sygnalizują również większy wzrost zamówień</w:t>
      </w:r>
      <w:r>
        <w:rPr>
          <w:rFonts w:ascii="Arial" w:hAnsi="Arial" w:cs="Arial"/>
          <w:sz w:val="20"/>
          <w:szCs w:val="22"/>
        </w:rPr>
        <w:t xml:space="preserve"> w porównaniu do analogicznego okresu 2016 roku – 33,8% vs. 15%. Warto spojrzeć też na płynność finansową firm budowlanych. Lepszej </w:t>
      </w:r>
      <w:r w:rsidR="0003482E" w:rsidRPr="0003482E">
        <w:rPr>
          <w:rFonts w:ascii="Arial" w:hAnsi="Arial" w:cs="Arial"/>
          <w:sz w:val="20"/>
          <w:szCs w:val="22"/>
        </w:rPr>
        <w:t xml:space="preserve">spodziewa się </w:t>
      </w:r>
      <w:r>
        <w:rPr>
          <w:rFonts w:ascii="Arial" w:hAnsi="Arial" w:cs="Arial"/>
          <w:sz w:val="20"/>
          <w:szCs w:val="22"/>
        </w:rPr>
        <w:t>niemal jedna trzecia zapytanych (31,3%), podczas gdy rok temu tylko 11,3%.</w:t>
      </w:r>
    </w:p>
    <w:p w:rsidR="00213AF4" w:rsidRPr="00CA3015" w:rsidRDefault="00213AF4" w:rsidP="00213AF4">
      <w:pPr>
        <w:spacing w:after="120" w:line="276" w:lineRule="auto"/>
        <w:jc w:val="both"/>
        <w:rPr>
          <w:rFonts w:ascii="Arial" w:hAnsi="Arial" w:cs="Arial"/>
          <w:b/>
          <w:color w:val="26744D"/>
          <w:sz w:val="20"/>
          <w:szCs w:val="22"/>
        </w:rPr>
      </w:pPr>
      <w:r>
        <w:rPr>
          <w:rFonts w:ascii="Arial" w:hAnsi="Arial" w:cs="Arial"/>
          <w:b/>
          <w:color w:val="26744D"/>
          <w:sz w:val="20"/>
          <w:szCs w:val="22"/>
        </w:rPr>
        <w:t>2017 zdecydowanie lepszy</w:t>
      </w:r>
      <w:r w:rsidR="005044DF">
        <w:rPr>
          <w:rFonts w:ascii="Arial" w:hAnsi="Arial" w:cs="Arial"/>
          <w:b/>
          <w:color w:val="26744D"/>
          <w:sz w:val="20"/>
          <w:szCs w:val="22"/>
        </w:rPr>
        <w:t xml:space="preserve"> dla całego sektora MŚP</w:t>
      </w:r>
      <w:r>
        <w:rPr>
          <w:rFonts w:ascii="Arial" w:hAnsi="Arial" w:cs="Arial"/>
          <w:b/>
          <w:color w:val="26744D"/>
          <w:sz w:val="20"/>
          <w:szCs w:val="22"/>
        </w:rPr>
        <w:t xml:space="preserve"> niż 2016 </w:t>
      </w:r>
      <w:r w:rsidRPr="00CA3015">
        <w:rPr>
          <w:rFonts w:ascii="Arial" w:hAnsi="Arial" w:cs="Arial"/>
          <w:b/>
          <w:color w:val="26744D"/>
          <w:sz w:val="20"/>
          <w:szCs w:val="22"/>
        </w:rPr>
        <w:t xml:space="preserve"> </w:t>
      </w:r>
    </w:p>
    <w:p w:rsidR="00213AF4" w:rsidRDefault="00213AF4" w:rsidP="00213AF4">
      <w:pPr>
        <w:spacing w:after="120" w:line="276" w:lineRule="auto"/>
        <w:jc w:val="both"/>
        <w:rPr>
          <w:rFonts w:ascii="Arial" w:hAnsi="Arial" w:cs="Arial"/>
          <w:sz w:val="20"/>
          <w:szCs w:val="22"/>
        </w:rPr>
      </w:pPr>
      <w:r>
        <w:rPr>
          <w:rFonts w:ascii="Arial" w:hAnsi="Arial" w:cs="Arial"/>
          <w:sz w:val="20"/>
          <w:szCs w:val="22"/>
        </w:rPr>
        <w:t>Główny o</w:t>
      </w:r>
      <w:r>
        <w:rPr>
          <w:rFonts w:ascii="Arial" w:hAnsi="Arial" w:cs="Arial"/>
          <w:sz w:val="20"/>
          <w:szCs w:val="22"/>
        </w:rPr>
        <w:t xml:space="preserve">dczyt „Barometru EFL” za </w:t>
      </w:r>
      <w:r w:rsidRPr="00CA3015">
        <w:rPr>
          <w:rFonts w:ascii="Arial" w:hAnsi="Arial" w:cs="Arial"/>
          <w:sz w:val="20"/>
          <w:szCs w:val="22"/>
        </w:rPr>
        <w:t>I</w:t>
      </w:r>
      <w:r>
        <w:rPr>
          <w:rFonts w:ascii="Arial" w:hAnsi="Arial" w:cs="Arial"/>
          <w:sz w:val="20"/>
          <w:szCs w:val="22"/>
        </w:rPr>
        <w:t>V kwartał 2017 roku wyniósł 58,2</w:t>
      </w:r>
      <w:r w:rsidRPr="00CA3015">
        <w:rPr>
          <w:rFonts w:ascii="Arial" w:hAnsi="Arial" w:cs="Arial"/>
          <w:sz w:val="20"/>
          <w:szCs w:val="22"/>
        </w:rPr>
        <w:t xml:space="preserve"> pkt. i wciąż znajduje się ponad progiem OR</w:t>
      </w:r>
      <w:r>
        <w:rPr>
          <w:rStyle w:val="Odwoanieprzypisudolnego"/>
          <w:rFonts w:ascii="Arial" w:hAnsi="Arial" w:cs="Arial"/>
          <w:sz w:val="20"/>
          <w:szCs w:val="22"/>
        </w:rPr>
        <w:footnoteReference w:id="2"/>
      </w:r>
      <w:r w:rsidRPr="00CA3015">
        <w:rPr>
          <w:rFonts w:ascii="Arial" w:hAnsi="Arial" w:cs="Arial"/>
          <w:sz w:val="20"/>
          <w:szCs w:val="22"/>
        </w:rPr>
        <w:t>. Zgodnie z przewidywaniami ekspertów EFL pomiędzy I</w:t>
      </w:r>
      <w:r>
        <w:rPr>
          <w:rFonts w:ascii="Arial" w:hAnsi="Arial" w:cs="Arial"/>
          <w:sz w:val="20"/>
          <w:szCs w:val="22"/>
        </w:rPr>
        <w:t>II a IV</w:t>
      </w:r>
      <w:r w:rsidRPr="00CA3015">
        <w:rPr>
          <w:rFonts w:ascii="Arial" w:hAnsi="Arial" w:cs="Arial"/>
          <w:sz w:val="20"/>
          <w:szCs w:val="22"/>
        </w:rPr>
        <w:t xml:space="preserve"> kwartałem br., podobnie jak to miało miejsce </w:t>
      </w:r>
      <w:r w:rsidRPr="00CA3015">
        <w:rPr>
          <w:rFonts w:ascii="Arial" w:hAnsi="Arial" w:cs="Arial"/>
          <w:sz w:val="20"/>
          <w:szCs w:val="22"/>
        </w:rPr>
        <w:lastRenderedPageBreak/>
        <w:t xml:space="preserve">rok temu, wartość Barometru spadła </w:t>
      </w:r>
      <w:r>
        <w:rPr>
          <w:rFonts w:ascii="Arial" w:hAnsi="Arial" w:cs="Arial"/>
          <w:sz w:val="20"/>
          <w:szCs w:val="22"/>
        </w:rPr>
        <w:t>(o 1,1 pkt.)</w:t>
      </w:r>
      <w:r w:rsidRPr="00CA3015">
        <w:rPr>
          <w:rFonts w:ascii="Arial" w:hAnsi="Arial" w:cs="Arial"/>
          <w:sz w:val="20"/>
          <w:szCs w:val="22"/>
        </w:rPr>
        <w:t xml:space="preserve">. </w:t>
      </w:r>
      <w:r>
        <w:rPr>
          <w:rFonts w:ascii="Arial" w:hAnsi="Arial" w:cs="Arial"/>
          <w:sz w:val="20"/>
          <w:szCs w:val="22"/>
        </w:rPr>
        <w:t xml:space="preserve">Warto jednak podkreślić, że </w:t>
      </w:r>
      <w:r w:rsidRPr="00CA3015">
        <w:rPr>
          <w:rFonts w:ascii="Arial" w:hAnsi="Arial" w:cs="Arial"/>
          <w:sz w:val="20"/>
          <w:szCs w:val="22"/>
        </w:rPr>
        <w:t>wartość wskaźnika</w:t>
      </w:r>
      <w:r>
        <w:rPr>
          <w:rFonts w:ascii="Arial" w:hAnsi="Arial" w:cs="Arial"/>
          <w:sz w:val="20"/>
          <w:szCs w:val="22"/>
        </w:rPr>
        <w:t xml:space="preserve"> jest wyższa nie tylko niż w IV kwartale ubiegłego roku (55,3 </w:t>
      </w:r>
      <w:r w:rsidRPr="00CA3015">
        <w:rPr>
          <w:rFonts w:ascii="Arial" w:hAnsi="Arial" w:cs="Arial"/>
          <w:sz w:val="20"/>
          <w:szCs w:val="22"/>
        </w:rPr>
        <w:t xml:space="preserve">pkt.), ale w porównaniu do wszystkich pomiarów z 2016 roku. To oznacza, że mikro, małe i średnie przedsiębiorstwa, pomimo odrobinę gorszych prognoz, </w:t>
      </w:r>
      <w:r>
        <w:rPr>
          <w:rFonts w:ascii="Arial" w:hAnsi="Arial" w:cs="Arial"/>
          <w:sz w:val="20"/>
          <w:szCs w:val="22"/>
        </w:rPr>
        <w:t xml:space="preserve">cały czas </w:t>
      </w:r>
      <w:r w:rsidRPr="00CA3015">
        <w:rPr>
          <w:rFonts w:ascii="Arial" w:hAnsi="Arial" w:cs="Arial"/>
          <w:sz w:val="20"/>
          <w:szCs w:val="22"/>
        </w:rPr>
        <w:t>widzą szanse na rozwój w najbliższych miesiącach.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C43A13" w:rsidRPr="00C75CA2" w:rsidTr="004F43E7">
        <w:tc>
          <w:tcPr>
            <w:tcW w:w="9632" w:type="dxa"/>
            <w:shd w:val="clear" w:color="auto" w:fill="22744F"/>
          </w:tcPr>
          <w:p w:rsidR="00C43A13" w:rsidRPr="00C75CA2" w:rsidRDefault="00C43A13" w:rsidP="0091343D">
            <w:pPr>
              <w:tabs>
                <w:tab w:val="left" w:pos="4248"/>
                <w:tab w:val="left" w:pos="6684"/>
              </w:tabs>
              <w:outlineLvl w:val="0"/>
              <w:rPr>
                <w:rFonts w:ascii="Arial" w:hAnsi="Arial" w:cs="Arial"/>
                <w:color w:val="FFFFFF"/>
                <w:sz w:val="20"/>
                <w:szCs w:val="20"/>
              </w:rPr>
            </w:pPr>
            <w:r w:rsidRPr="00C75CA2">
              <w:rPr>
                <w:rFonts w:ascii="Arial" w:hAnsi="Arial" w:cs="Arial"/>
                <w:color w:val="FFFFFF"/>
                <w:sz w:val="20"/>
                <w:szCs w:val="20"/>
              </w:rPr>
              <w:t>Więcej informacji udziela:</w:t>
            </w:r>
            <w:r w:rsidRPr="00C75CA2">
              <w:rPr>
                <w:rFonts w:ascii="Arial" w:hAnsi="Arial" w:cs="Arial"/>
                <w:color w:val="FFFFFF"/>
                <w:sz w:val="20"/>
                <w:szCs w:val="20"/>
              </w:rPr>
              <w:tab/>
            </w:r>
            <w:r w:rsidRPr="00C75CA2">
              <w:rPr>
                <w:rFonts w:ascii="Arial" w:hAnsi="Arial" w:cs="Arial"/>
                <w:color w:val="FFFFFF"/>
                <w:sz w:val="20"/>
                <w:szCs w:val="20"/>
              </w:rPr>
              <w:tab/>
            </w:r>
          </w:p>
        </w:tc>
      </w:tr>
      <w:tr w:rsidR="00C43A13" w:rsidRPr="00C75CA2" w:rsidTr="004F43E7">
        <w:trPr>
          <w:trHeight w:val="964"/>
        </w:trPr>
        <w:tc>
          <w:tcPr>
            <w:tcW w:w="9632" w:type="dxa"/>
            <w:shd w:val="clear" w:color="auto" w:fill="auto"/>
            <w:vAlign w:val="center"/>
          </w:tcPr>
          <w:p w:rsidR="00C43A13" w:rsidRPr="00C75CA2" w:rsidRDefault="00C43A13" w:rsidP="0091343D">
            <w:pPr>
              <w:outlineLvl w:val="0"/>
              <w:rPr>
                <w:rFonts w:ascii="Arial" w:hAnsi="Arial" w:cs="Arial"/>
                <w:sz w:val="20"/>
                <w:szCs w:val="20"/>
              </w:rPr>
            </w:pPr>
            <w:r w:rsidRPr="00C75CA2">
              <w:rPr>
                <w:rFonts w:ascii="Arial" w:hAnsi="Arial" w:cs="Arial"/>
                <w:b/>
                <w:sz w:val="20"/>
                <w:szCs w:val="20"/>
              </w:rPr>
              <w:t xml:space="preserve">Maja </w:t>
            </w:r>
            <w:proofErr w:type="spellStart"/>
            <w:r w:rsidRPr="00C75CA2">
              <w:rPr>
                <w:rFonts w:ascii="Arial" w:hAnsi="Arial" w:cs="Arial"/>
                <w:b/>
                <w:sz w:val="20"/>
                <w:szCs w:val="20"/>
              </w:rPr>
              <w:t>Lidke</w:t>
            </w:r>
            <w:proofErr w:type="spellEnd"/>
          </w:p>
          <w:p w:rsidR="00C43A13" w:rsidRPr="00C75CA2" w:rsidRDefault="00C43A13" w:rsidP="0091343D">
            <w:pPr>
              <w:outlineLvl w:val="0"/>
              <w:rPr>
                <w:rFonts w:ascii="Arial" w:hAnsi="Arial" w:cs="Arial"/>
                <w:sz w:val="20"/>
                <w:szCs w:val="20"/>
              </w:rPr>
            </w:pPr>
            <w:r w:rsidRPr="00C75CA2">
              <w:rPr>
                <w:rFonts w:ascii="Arial" w:hAnsi="Arial" w:cs="Arial"/>
                <w:sz w:val="20"/>
                <w:szCs w:val="20"/>
              </w:rPr>
              <w:t>Europejski Fundusz Leasingowy</w:t>
            </w:r>
          </w:p>
          <w:p w:rsidR="00C43A13" w:rsidRPr="00C75CA2" w:rsidRDefault="00C43A13" w:rsidP="0091343D">
            <w:pPr>
              <w:rPr>
                <w:rFonts w:ascii="Arial" w:hAnsi="Arial" w:cs="Arial"/>
                <w:sz w:val="20"/>
                <w:szCs w:val="20"/>
              </w:rPr>
            </w:pPr>
            <w:r w:rsidRPr="00C75CA2">
              <w:rPr>
                <w:rFonts w:ascii="Arial" w:hAnsi="Arial" w:cs="Arial"/>
                <w:sz w:val="20"/>
                <w:szCs w:val="20"/>
              </w:rPr>
              <w:t>Tel.: 603 630 166</w:t>
            </w:r>
          </w:p>
          <w:p w:rsidR="00C43A13" w:rsidRPr="00C75CA2" w:rsidRDefault="00C43A13" w:rsidP="0091343D">
            <w:pPr>
              <w:outlineLvl w:val="0"/>
              <w:rPr>
                <w:rFonts w:ascii="Arial" w:hAnsi="Arial" w:cs="Arial"/>
                <w:b/>
                <w:sz w:val="20"/>
                <w:szCs w:val="20"/>
                <w:lang w:val="fr-FR"/>
              </w:rPr>
            </w:pPr>
            <w:proofErr w:type="spellStart"/>
            <w:r w:rsidRPr="00C75CA2">
              <w:rPr>
                <w:rFonts w:ascii="Arial" w:hAnsi="Arial" w:cs="Arial"/>
                <w:sz w:val="20"/>
                <w:szCs w:val="20"/>
                <w:lang w:val="de-DE"/>
              </w:rPr>
              <w:t>E-mail</w:t>
            </w:r>
            <w:proofErr w:type="spellEnd"/>
            <w:r w:rsidRPr="00C75CA2">
              <w:rPr>
                <w:rFonts w:ascii="Arial" w:hAnsi="Arial" w:cs="Arial"/>
                <w:sz w:val="20"/>
                <w:szCs w:val="20"/>
                <w:lang w:val="de-DE"/>
              </w:rPr>
              <w:t xml:space="preserve">: </w:t>
            </w:r>
            <w:hyperlink r:id="rId7" w:history="1">
              <w:r w:rsidRPr="00C75CA2">
                <w:rPr>
                  <w:rStyle w:val="Hipercze"/>
                  <w:rFonts w:ascii="Arial" w:hAnsi="Arial" w:cs="Arial"/>
                  <w:sz w:val="20"/>
                  <w:szCs w:val="20"/>
                  <w:lang w:val="fr-FR"/>
                </w:rPr>
                <w:t>maja.lidke@efl.com.pl</w:t>
              </w:r>
            </w:hyperlink>
          </w:p>
        </w:tc>
      </w:tr>
    </w:tbl>
    <w:p w:rsidR="00C43A13" w:rsidRPr="00206A22" w:rsidRDefault="00C43A13" w:rsidP="00C43A13">
      <w:pPr>
        <w:spacing w:before="120" w:after="120" w:line="276" w:lineRule="auto"/>
        <w:jc w:val="center"/>
        <w:rPr>
          <w:rFonts w:ascii="Arial" w:hAnsi="Arial" w:cs="Arial"/>
          <w:b/>
          <w:sz w:val="18"/>
          <w:szCs w:val="20"/>
          <w:lang w:val="fr-FR"/>
        </w:rPr>
      </w:pPr>
      <w:r w:rsidRPr="00206A22">
        <w:rPr>
          <w:rFonts w:ascii="Arial" w:hAnsi="Arial" w:cs="Arial"/>
          <w:b/>
          <w:sz w:val="18"/>
          <w:szCs w:val="20"/>
          <w:lang w:val="fr-FR"/>
        </w:rPr>
        <w:t>***</w:t>
      </w:r>
    </w:p>
    <w:p w:rsidR="00C43A13" w:rsidRPr="00206A22" w:rsidRDefault="00C43A13" w:rsidP="00C43A13">
      <w:pPr>
        <w:autoSpaceDE w:val="0"/>
        <w:spacing w:after="120" w:line="276" w:lineRule="auto"/>
        <w:jc w:val="both"/>
        <w:rPr>
          <w:rFonts w:ascii="Arial" w:hAnsi="Arial" w:cs="Arial"/>
          <w:sz w:val="18"/>
          <w:szCs w:val="20"/>
        </w:rPr>
      </w:pPr>
      <w:r w:rsidRPr="00206A22">
        <w:rPr>
          <w:rFonts w:ascii="Arial" w:hAnsi="Arial" w:cs="Arial"/>
          <w:b/>
          <w:bCs/>
          <w:sz w:val="18"/>
          <w:szCs w:val="20"/>
        </w:rPr>
        <w:t xml:space="preserve">Europejski Fundusz Leasingowy SA </w:t>
      </w:r>
      <w:r w:rsidRPr="00206A22">
        <w:rPr>
          <w:rFonts w:ascii="Arial" w:hAnsi="Arial" w:cs="Arial"/>
          <w:sz w:val="18"/>
          <w:szCs w:val="20"/>
        </w:rPr>
        <w:t xml:space="preserve">powstał w 1991 roku, jako jedna z pierwszych firm leasingowych w Polsce. Od 2001 roku EFL jest częścią Grupy </w:t>
      </w:r>
      <w:proofErr w:type="spellStart"/>
      <w:r w:rsidRPr="00206A22">
        <w:rPr>
          <w:rFonts w:ascii="Arial" w:hAnsi="Arial" w:cs="Arial"/>
          <w:sz w:val="18"/>
          <w:szCs w:val="20"/>
        </w:rPr>
        <w:t>Crédit</w:t>
      </w:r>
      <w:proofErr w:type="spellEnd"/>
      <w:r w:rsidRPr="00206A22">
        <w:rPr>
          <w:rFonts w:ascii="Arial" w:hAnsi="Arial" w:cs="Arial"/>
          <w:sz w:val="18"/>
          <w:szCs w:val="20"/>
        </w:rPr>
        <w:t xml:space="preserve"> </w:t>
      </w:r>
      <w:proofErr w:type="spellStart"/>
      <w:r w:rsidRPr="00206A22">
        <w:rPr>
          <w:rFonts w:ascii="Arial" w:hAnsi="Arial" w:cs="Arial"/>
          <w:sz w:val="18"/>
          <w:szCs w:val="20"/>
        </w:rPr>
        <w:t>Agricole</w:t>
      </w:r>
      <w:proofErr w:type="spellEnd"/>
      <w:r w:rsidRPr="00206A22">
        <w:rPr>
          <w:rFonts w:ascii="Arial" w:hAnsi="Arial" w:cs="Arial"/>
          <w:sz w:val="18"/>
          <w:szCs w:val="20"/>
        </w:rPr>
        <w:t>, co gwarantuje firmie finansową stabilność i bezpieczeństwo oraz pozwala korzystać z wiedzy i doświadczeń instytucji finansowej o międzynarodowym zasięgu. EFL konsekwentnie poszerza zakres rozwiązań dla biznesu. Spółka oferuje szeroki pakiet produktów: leasing, pożyczkę, wynajem długoterminowy, ubezpieczenia i faktoring. Od 1991 roku współpracuje z najbardziej liczącymi się producentami i dostawcami maszyn, urządzeń, pojazdów oraz innych środków trwa</w:t>
      </w:r>
      <w:r w:rsidR="002860AE" w:rsidRPr="00206A22">
        <w:rPr>
          <w:rFonts w:ascii="Arial" w:hAnsi="Arial" w:cs="Arial"/>
          <w:sz w:val="18"/>
          <w:szCs w:val="20"/>
        </w:rPr>
        <w:t>łych. Firmę wyróżniono m.in. sześ</w:t>
      </w:r>
      <w:r w:rsidRPr="00206A22">
        <w:rPr>
          <w:rFonts w:ascii="Arial" w:hAnsi="Arial" w:cs="Arial"/>
          <w:sz w:val="18"/>
          <w:szCs w:val="20"/>
        </w:rPr>
        <w:t>ciokrotnie tytułem: Fi</w:t>
      </w:r>
      <w:r w:rsidR="002860AE" w:rsidRPr="00206A22">
        <w:rPr>
          <w:rFonts w:ascii="Arial" w:hAnsi="Arial" w:cs="Arial"/>
          <w:sz w:val="18"/>
          <w:szCs w:val="20"/>
        </w:rPr>
        <w:t>rmy Przyjaznej Klientowi i pięci</w:t>
      </w:r>
      <w:r w:rsidRPr="00206A22">
        <w:rPr>
          <w:rFonts w:ascii="Arial" w:hAnsi="Arial" w:cs="Arial"/>
          <w:sz w:val="18"/>
          <w:szCs w:val="20"/>
        </w:rPr>
        <w:t>okrotnie Fin</w:t>
      </w:r>
      <w:r w:rsidR="002860AE" w:rsidRPr="00206A22">
        <w:rPr>
          <w:rFonts w:ascii="Arial" w:hAnsi="Arial" w:cs="Arial"/>
          <w:sz w:val="18"/>
          <w:szCs w:val="20"/>
        </w:rPr>
        <w:t>ansowej Marki Roku. Już ponad 2</w:t>
      </w:r>
      <w:r w:rsidRPr="00206A22">
        <w:rPr>
          <w:rFonts w:ascii="Arial" w:hAnsi="Arial" w:cs="Arial"/>
          <w:sz w:val="18"/>
          <w:szCs w:val="20"/>
        </w:rPr>
        <w:t>9</w:t>
      </w:r>
      <w:r w:rsidR="002860AE" w:rsidRPr="00206A22">
        <w:rPr>
          <w:rFonts w:ascii="Arial" w:hAnsi="Arial" w:cs="Arial"/>
          <w:sz w:val="18"/>
          <w:szCs w:val="20"/>
        </w:rPr>
        <w:t>0</w:t>
      </w:r>
      <w:r w:rsidRPr="00206A22">
        <w:rPr>
          <w:rFonts w:ascii="Arial" w:hAnsi="Arial" w:cs="Arial"/>
          <w:sz w:val="18"/>
          <w:szCs w:val="20"/>
        </w:rPr>
        <w:t xml:space="preserve"> tysięcy klientów wybrało EFL na swojego partnera w biznesie. Więcej na: </w:t>
      </w:r>
      <w:hyperlink r:id="rId8" w:history="1">
        <w:r w:rsidRPr="00206A22">
          <w:rPr>
            <w:rStyle w:val="Hipercze"/>
            <w:rFonts w:ascii="Arial" w:hAnsi="Arial" w:cs="Arial"/>
            <w:sz w:val="18"/>
            <w:szCs w:val="20"/>
          </w:rPr>
          <w:t>www.efl.pl</w:t>
        </w:r>
      </w:hyperlink>
      <w:r w:rsidRPr="00206A22">
        <w:rPr>
          <w:rStyle w:val="Hipercze"/>
          <w:rFonts w:ascii="Arial" w:hAnsi="Arial" w:cs="Arial"/>
          <w:sz w:val="18"/>
          <w:szCs w:val="20"/>
        </w:rPr>
        <w:t>.</w:t>
      </w:r>
    </w:p>
    <w:p w:rsidR="00C43A13" w:rsidRPr="00206A22" w:rsidRDefault="00C43A13" w:rsidP="00C43A13">
      <w:pPr>
        <w:spacing w:after="120" w:line="276" w:lineRule="auto"/>
        <w:jc w:val="both"/>
        <w:rPr>
          <w:rFonts w:ascii="Arial" w:hAnsi="Arial" w:cs="Arial"/>
          <w:sz w:val="18"/>
          <w:szCs w:val="20"/>
        </w:rPr>
      </w:pPr>
      <w:r w:rsidRPr="00206A22">
        <w:rPr>
          <w:rFonts w:ascii="Arial" w:hAnsi="Arial" w:cs="Arial"/>
          <w:b/>
          <w:bCs/>
          <w:color w:val="000000"/>
          <w:sz w:val="18"/>
          <w:szCs w:val="20"/>
        </w:rPr>
        <w:t xml:space="preserve">Grupa </w:t>
      </w:r>
      <w:proofErr w:type="spellStart"/>
      <w:r w:rsidRPr="00206A22">
        <w:rPr>
          <w:rFonts w:ascii="Arial" w:hAnsi="Arial" w:cs="Arial"/>
          <w:b/>
          <w:sz w:val="18"/>
          <w:szCs w:val="20"/>
        </w:rPr>
        <w:t>Crédit</w:t>
      </w:r>
      <w:proofErr w:type="spellEnd"/>
      <w:r w:rsidRPr="00206A22">
        <w:rPr>
          <w:rFonts w:ascii="Arial" w:hAnsi="Arial" w:cs="Arial"/>
          <w:b/>
          <w:bCs/>
          <w:color w:val="000000"/>
          <w:sz w:val="18"/>
          <w:szCs w:val="20"/>
        </w:rPr>
        <w:t xml:space="preserve"> </w:t>
      </w:r>
      <w:proofErr w:type="spellStart"/>
      <w:r w:rsidRPr="00206A22">
        <w:rPr>
          <w:rFonts w:ascii="Arial" w:hAnsi="Arial" w:cs="Arial"/>
          <w:b/>
          <w:bCs/>
          <w:color w:val="000000"/>
          <w:sz w:val="18"/>
          <w:szCs w:val="20"/>
        </w:rPr>
        <w:t>Agricole</w:t>
      </w:r>
      <w:proofErr w:type="spellEnd"/>
      <w:r w:rsidRPr="00206A22">
        <w:rPr>
          <w:rFonts w:ascii="Arial" w:hAnsi="Arial" w:cs="Arial"/>
          <w:b/>
          <w:bCs/>
          <w:color w:val="000000"/>
          <w:sz w:val="18"/>
          <w:szCs w:val="20"/>
        </w:rPr>
        <w:t xml:space="preserve"> SA </w:t>
      </w:r>
      <w:r w:rsidRPr="00206A22">
        <w:rPr>
          <w:rFonts w:ascii="Arial" w:hAnsi="Arial" w:cs="Arial"/>
          <w:bCs/>
          <w:color w:val="000000"/>
          <w:sz w:val="18"/>
          <w:szCs w:val="20"/>
        </w:rPr>
        <w:t xml:space="preserve">debiutowała na polskim rynku finansowym w 2001 roku. Oferuje swoim klientom szeroką gamę rozwiązań finansowych w zakresie usług bankowych, leasingowych, ubezpieczeniowych i faktoringowych. W skład grupy wchodzą między innymi </w:t>
      </w:r>
      <w:proofErr w:type="spellStart"/>
      <w:r w:rsidRPr="00206A22">
        <w:rPr>
          <w:rFonts w:ascii="Arial" w:hAnsi="Arial" w:cs="Arial"/>
          <w:sz w:val="18"/>
          <w:szCs w:val="20"/>
        </w:rPr>
        <w:t>Crédit</w:t>
      </w:r>
      <w:proofErr w:type="spellEnd"/>
      <w:r w:rsidRPr="00206A22">
        <w:rPr>
          <w:rFonts w:ascii="Arial" w:hAnsi="Arial" w:cs="Arial"/>
          <w:bCs/>
          <w:color w:val="000000"/>
          <w:sz w:val="18"/>
          <w:szCs w:val="20"/>
        </w:rPr>
        <w:t xml:space="preserve"> </w:t>
      </w:r>
      <w:proofErr w:type="spellStart"/>
      <w:r w:rsidRPr="00206A22">
        <w:rPr>
          <w:rFonts w:ascii="Arial" w:hAnsi="Arial" w:cs="Arial"/>
          <w:bCs/>
          <w:color w:val="000000"/>
          <w:sz w:val="18"/>
          <w:szCs w:val="20"/>
        </w:rPr>
        <w:t>Agricole</w:t>
      </w:r>
      <w:proofErr w:type="spellEnd"/>
      <w:r w:rsidRPr="00206A22">
        <w:rPr>
          <w:rFonts w:ascii="Arial" w:hAnsi="Arial" w:cs="Arial"/>
          <w:bCs/>
          <w:color w:val="000000"/>
          <w:sz w:val="18"/>
          <w:szCs w:val="20"/>
        </w:rPr>
        <w:t xml:space="preserve"> Bank Polska (dawny Lukas Bank), Grupa Europejskiego Funduszu Leasingowego (EFL, </w:t>
      </w:r>
      <w:proofErr w:type="spellStart"/>
      <w:r w:rsidRPr="00206A22">
        <w:rPr>
          <w:rFonts w:ascii="Arial" w:hAnsi="Arial" w:cs="Arial"/>
          <w:bCs/>
          <w:color w:val="000000"/>
          <w:sz w:val="18"/>
          <w:szCs w:val="20"/>
        </w:rPr>
        <w:t>Carefleet</w:t>
      </w:r>
      <w:proofErr w:type="spellEnd"/>
      <w:r w:rsidRPr="00206A22">
        <w:rPr>
          <w:rFonts w:ascii="Arial" w:hAnsi="Arial" w:cs="Arial"/>
          <w:bCs/>
          <w:color w:val="000000"/>
          <w:sz w:val="18"/>
          <w:szCs w:val="20"/>
        </w:rPr>
        <w:t xml:space="preserve">, EFL Finance, EFL Service, Eurofactor Polska SA), a także </w:t>
      </w:r>
      <w:proofErr w:type="spellStart"/>
      <w:r w:rsidRPr="00206A22">
        <w:rPr>
          <w:rFonts w:ascii="Arial" w:hAnsi="Arial" w:cs="Arial"/>
          <w:sz w:val="18"/>
          <w:szCs w:val="20"/>
        </w:rPr>
        <w:t>Crédit</w:t>
      </w:r>
      <w:proofErr w:type="spellEnd"/>
      <w:r w:rsidRPr="00206A22">
        <w:rPr>
          <w:rFonts w:ascii="Arial" w:hAnsi="Arial" w:cs="Arial"/>
          <w:bCs/>
          <w:color w:val="000000"/>
          <w:sz w:val="18"/>
          <w:szCs w:val="20"/>
        </w:rPr>
        <w:t xml:space="preserve"> </w:t>
      </w:r>
      <w:proofErr w:type="spellStart"/>
      <w:r w:rsidRPr="00206A22">
        <w:rPr>
          <w:rFonts w:ascii="Arial" w:hAnsi="Arial" w:cs="Arial"/>
          <w:bCs/>
          <w:color w:val="000000"/>
          <w:sz w:val="18"/>
          <w:szCs w:val="20"/>
        </w:rPr>
        <w:t>Agricole</w:t>
      </w:r>
      <w:proofErr w:type="spellEnd"/>
      <w:r w:rsidRPr="00206A22">
        <w:rPr>
          <w:rFonts w:ascii="Arial" w:hAnsi="Arial" w:cs="Arial"/>
          <w:bCs/>
          <w:color w:val="000000"/>
          <w:sz w:val="18"/>
          <w:szCs w:val="20"/>
        </w:rPr>
        <w:t xml:space="preserve"> Ubezpieczenia na Życie SA Więcej o Grupie CA Polska na </w:t>
      </w:r>
      <w:hyperlink r:id="rId9" w:history="1">
        <w:r w:rsidRPr="00206A22">
          <w:rPr>
            <w:rStyle w:val="Hipercze"/>
            <w:rFonts w:ascii="Arial" w:hAnsi="Arial" w:cs="Arial"/>
            <w:bCs/>
            <w:sz w:val="18"/>
            <w:szCs w:val="20"/>
          </w:rPr>
          <w:t>www.ca-polska.com</w:t>
        </w:r>
      </w:hyperlink>
      <w:r w:rsidRPr="00206A22">
        <w:rPr>
          <w:rStyle w:val="Hipercze"/>
          <w:rFonts w:ascii="Arial" w:hAnsi="Arial" w:cs="Arial"/>
          <w:bCs/>
          <w:sz w:val="18"/>
          <w:szCs w:val="20"/>
        </w:rPr>
        <w:t>.</w:t>
      </w:r>
    </w:p>
    <w:p w:rsidR="00C43A13" w:rsidRPr="00C43A13" w:rsidRDefault="00C43A13" w:rsidP="00C43A13">
      <w:pPr>
        <w:spacing w:line="276" w:lineRule="auto"/>
        <w:rPr>
          <w:rFonts w:ascii="Arial" w:hAnsi="Arial" w:cs="Arial"/>
          <w:sz w:val="20"/>
          <w:szCs w:val="22"/>
        </w:rPr>
      </w:pPr>
    </w:p>
    <w:sectPr w:rsidR="00C43A13" w:rsidRPr="00C43A13" w:rsidSect="00E56807">
      <w:headerReference w:type="default" r:id="rId10"/>
      <w:footnotePr>
        <w:pos w:val="beneathText"/>
      </w:footnotePr>
      <w:pgSz w:w="11905" w:h="16837"/>
      <w:pgMar w:top="1701" w:right="1134" w:bottom="1417" w:left="1134" w:header="397" w:footer="11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CF" w:rsidRDefault="001834CF">
      <w:r>
        <w:separator/>
      </w:r>
    </w:p>
  </w:endnote>
  <w:endnote w:type="continuationSeparator" w:id="0">
    <w:p w:rsidR="001834CF" w:rsidRDefault="0018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CF" w:rsidRDefault="001834CF">
      <w:r>
        <w:separator/>
      </w:r>
    </w:p>
  </w:footnote>
  <w:footnote w:type="continuationSeparator" w:id="0">
    <w:p w:rsidR="001834CF" w:rsidRDefault="001834CF">
      <w:r>
        <w:continuationSeparator/>
      </w:r>
    </w:p>
  </w:footnote>
  <w:footnote w:id="1">
    <w:p w:rsidR="00213AF4" w:rsidRPr="00206A22" w:rsidRDefault="00213AF4" w:rsidP="00213AF4">
      <w:pPr>
        <w:pStyle w:val="Tekstprzypisudolnego"/>
        <w:spacing w:after="120"/>
        <w:jc w:val="both"/>
        <w:rPr>
          <w:rFonts w:ascii="Arial" w:hAnsi="Arial" w:cs="Arial"/>
        </w:rPr>
      </w:pPr>
      <w:r w:rsidRPr="00206A22">
        <w:rPr>
          <w:rStyle w:val="Odwoanieprzypisudolnego"/>
          <w:rFonts w:ascii="Arial" w:hAnsi="Arial" w:cs="Arial"/>
          <w:b/>
          <w:sz w:val="16"/>
        </w:rPr>
        <w:footnoteRef/>
      </w:r>
      <w:r w:rsidRPr="00206A22">
        <w:rPr>
          <w:rFonts w:ascii="Arial" w:hAnsi="Arial" w:cs="Arial"/>
          <w:b/>
          <w:sz w:val="16"/>
        </w:rPr>
        <w:t xml:space="preserve"> Barometr EFL</w:t>
      </w:r>
      <w:r w:rsidRPr="00206A22">
        <w:rPr>
          <w:rFonts w:ascii="Arial" w:hAnsi="Arial" w:cs="Arial"/>
          <w:sz w:val="16"/>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w:t>
      </w:r>
      <w:proofErr w:type="spellStart"/>
      <w:r w:rsidRPr="00206A22">
        <w:rPr>
          <w:rFonts w:ascii="Arial" w:hAnsi="Arial" w:cs="Arial"/>
          <w:sz w:val="16"/>
        </w:rPr>
        <w:t>Ecorys</w:t>
      </w:r>
      <w:proofErr w:type="spellEnd"/>
      <w:r w:rsidRPr="00206A22">
        <w:rPr>
          <w:rFonts w:ascii="Arial" w:hAnsi="Arial" w:cs="Arial"/>
          <w:sz w:val="16"/>
        </w:rPr>
        <w:t xml:space="preserve">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 dniach 6-13 listopada 2017 r.</w:t>
      </w:r>
    </w:p>
  </w:footnote>
  <w:footnote w:id="2">
    <w:p w:rsidR="00213AF4" w:rsidRPr="00206A22" w:rsidRDefault="00213AF4" w:rsidP="00213AF4">
      <w:pPr>
        <w:pStyle w:val="Tekstprzypisudolnego"/>
        <w:spacing w:after="120"/>
        <w:jc w:val="both"/>
        <w:rPr>
          <w:rFonts w:ascii="Arial" w:hAnsi="Arial" w:cs="Arial"/>
        </w:rPr>
      </w:pPr>
      <w:r w:rsidRPr="00206A22">
        <w:rPr>
          <w:rStyle w:val="Odwoanieprzypisudolnego"/>
          <w:rFonts w:ascii="Arial" w:hAnsi="Arial" w:cs="Arial"/>
          <w:b/>
          <w:sz w:val="16"/>
        </w:rPr>
        <w:footnoteRef/>
      </w:r>
      <w:r w:rsidRPr="00206A22">
        <w:rPr>
          <w:rFonts w:ascii="Arial" w:hAnsi="Arial" w:cs="Arial"/>
          <w:b/>
          <w:sz w:val="16"/>
        </w:rPr>
        <w:t xml:space="preserve"> Próg OR</w:t>
      </w:r>
      <w:r w:rsidRPr="00206A22">
        <w:rPr>
          <w:rFonts w:ascii="Arial" w:hAnsi="Arial" w:cs="Arial"/>
          <w:sz w:val="16"/>
        </w:rPr>
        <w:t xml:space="preserve"> jest podstawową miarą analityczną zastosowaną do wyników badania, który stanowi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BF" w:rsidRDefault="00C74A4C" w:rsidP="000707BA">
    <w:pPr>
      <w:pStyle w:val="Nagwek"/>
      <w:tabs>
        <w:tab w:val="left" w:pos="1080"/>
      </w:tabs>
    </w:pPr>
    <w:r>
      <w:rPr>
        <w:noProof/>
      </w:rPr>
      <w:drawing>
        <wp:anchor distT="0" distB="0" distL="114300" distR="114300" simplePos="0" relativeHeight="251658752" behindDoc="1" locked="0" layoutInCell="1" allowOverlap="1">
          <wp:simplePos x="0" y="0"/>
          <wp:positionH relativeFrom="column">
            <wp:posOffset>-720090</wp:posOffset>
          </wp:positionH>
          <wp:positionV relativeFrom="paragraph">
            <wp:posOffset>-250825</wp:posOffset>
          </wp:positionV>
          <wp:extent cx="7559675" cy="10689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papierfirmow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anchor>
      </w:drawing>
    </w:r>
    <w:r w:rsidR="006A7DBF">
      <w:tab/>
    </w:r>
  </w:p>
  <w:p w:rsidR="006A7DBF" w:rsidRDefault="006A7DBF">
    <w:pPr>
      <w:pStyle w:val="Tekstpodstawowy"/>
    </w:pPr>
  </w:p>
  <w:p w:rsidR="006A7DBF" w:rsidRDefault="006A7DBF">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96A505C"/>
    <w:multiLevelType w:val="hybridMultilevel"/>
    <w:tmpl w:val="FC2EF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32EA4"/>
    <w:multiLevelType w:val="hybridMultilevel"/>
    <w:tmpl w:val="C542E9DE"/>
    <w:lvl w:ilvl="0" w:tplc="7C961D5C">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5" w15:restartNumberingAfterBreak="0">
    <w:nsid w:val="0B4D30DD"/>
    <w:multiLevelType w:val="hybridMultilevel"/>
    <w:tmpl w:val="7C041BB4"/>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6" w15:restartNumberingAfterBreak="0">
    <w:nsid w:val="13A420E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1A0A1DE9"/>
    <w:multiLevelType w:val="multilevel"/>
    <w:tmpl w:val="6B60DBE4"/>
    <w:lvl w:ilvl="0">
      <w:start w:val="1"/>
      <w:numFmt w:val="decimal"/>
      <w:lvlText w:val="%1."/>
      <w:lvlJc w:val="left"/>
      <w:pPr>
        <w:ind w:left="352" w:hanging="360"/>
      </w:pPr>
      <w:rPr>
        <w:rFonts w:hint="default"/>
      </w:rPr>
    </w:lvl>
    <w:lvl w:ilvl="1">
      <w:start w:val="1"/>
      <w:numFmt w:val="decimal"/>
      <w:isLgl/>
      <w:lvlText w:val="%1.%2."/>
      <w:lvlJc w:val="left"/>
      <w:pPr>
        <w:ind w:left="712" w:hanging="720"/>
      </w:pPr>
      <w:rPr>
        <w:rFonts w:hint="default"/>
      </w:rPr>
    </w:lvl>
    <w:lvl w:ilvl="2">
      <w:start w:val="1"/>
      <w:numFmt w:val="decimal"/>
      <w:isLgl/>
      <w:lvlText w:val="%1.%2.%3."/>
      <w:lvlJc w:val="left"/>
      <w:pPr>
        <w:ind w:left="712" w:hanging="720"/>
      </w:pPr>
      <w:rPr>
        <w:rFonts w:hint="default"/>
      </w:rPr>
    </w:lvl>
    <w:lvl w:ilvl="3">
      <w:start w:val="1"/>
      <w:numFmt w:val="decimal"/>
      <w:isLgl/>
      <w:lvlText w:val="%1.%2.%3.%4."/>
      <w:lvlJc w:val="left"/>
      <w:pPr>
        <w:ind w:left="1072" w:hanging="1080"/>
      </w:pPr>
      <w:rPr>
        <w:rFonts w:hint="default"/>
      </w:rPr>
    </w:lvl>
    <w:lvl w:ilvl="4">
      <w:start w:val="1"/>
      <w:numFmt w:val="decimal"/>
      <w:isLgl/>
      <w:lvlText w:val="%1.%2.%3.%4.%5."/>
      <w:lvlJc w:val="left"/>
      <w:pPr>
        <w:ind w:left="1072" w:hanging="1080"/>
      </w:pPr>
      <w:rPr>
        <w:rFonts w:hint="default"/>
      </w:rPr>
    </w:lvl>
    <w:lvl w:ilvl="5">
      <w:start w:val="1"/>
      <w:numFmt w:val="decimal"/>
      <w:isLgl/>
      <w:lvlText w:val="%1.%2.%3.%4.%5.%6."/>
      <w:lvlJc w:val="left"/>
      <w:pPr>
        <w:ind w:left="1432" w:hanging="1440"/>
      </w:pPr>
      <w:rPr>
        <w:rFonts w:hint="default"/>
      </w:rPr>
    </w:lvl>
    <w:lvl w:ilvl="6">
      <w:start w:val="1"/>
      <w:numFmt w:val="decimal"/>
      <w:isLgl/>
      <w:lvlText w:val="%1.%2.%3.%4.%5.%6.%7."/>
      <w:lvlJc w:val="left"/>
      <w:pPr>
        <w:ind w:left="1432" w:hanging="1440"/>
      </w:pPr>
      <w:rPr>
        <w:rFonts w:hint="default"/>
      </w:rPr>
    </w:lvl>
    <w:lvl w:ilvl="7">
      <w:start w:val="1"/>
      <w:numFmt w:val="decimal"/>
      <w:isLgl/>
      <w:lvlText w:val="%1.%2.%3.%4.%5.%6.%7.%8."/>
      <w:lvlJc w:val="left"/>
      <w:pPr>
        <w:ind w:left="1792" w:hanging="1800"/>
      </w:pPr>
      <w:rPr>
        <w:rFonts w:hint="default"/>
      </w:rPr>
    </w:lvl>
    <w:lvl w:ilvl="8">
      <w:start w:val="1"/>
      <w:numFmt w:val="decimal"/>
      <w:isLgl/>
      <w:lvlText w:val="%1.%2.%3.%4.%5.%6.%7.%8.%9."/>
      <w:lvlJc w:val="left"/>
      <w:pPr>
        <w:ind w:left="2152" w:hanging="2160"/>
      </w:pPr>
      <w:rPr>
        <w:rFonts w:hint="default"/>
      </w:rPr>
    </w:lvl>
  </w:abstractNum>
  <w:abstractNum w:abstractNumId="8" w15:restartNumberingAfterBreak="0">
    <w:nsid w:val="1B634FCD"/>
    <w:multiLevelType w:val="hybridMultilevel"/>
    <w:tmpl w:val="52C85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4E1C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4D1740"/>
    <w:multiLevelType w:val="multilevel"/>
    <w:tmpl w:val="00000001"/>
    <w:lvl w:ilvl="0">
      <w:start w:val="1"/>
      <w:numFmt w:val="bullet"/>
      <w:lvlText w:val="●"/>
      <w:lvlJc w:val="left"/>
      <w:pPr>
        <w:tabs>
          <w:tab w:val="num" w:pos="709"/>
        </w:tabs>
        <w:ind w:left="709" w:hanging="360"/>
      </w:pPr>
      <w:rPr>
        <w:rFonts w:ascii="StarSymbol" w:hAnsi="StarSymbol" w:cs="StarSymbol" w:hint="default"/>
        <w:sz w:val="18"/>
        <w:szCs w:val="18"/>
      </w:rPr>
    </w:lvl>
    <w:lvl w:ilvl="1">
      <w:start w:val="1"/>
      <w:numFmt w:val="bullet"/>
      <w:lvlText w:val="➢"/>
      <w:lvlJc w:val="left"/>
      <w:pPr>
        <w:tabs>
          <w:tab w:val="num" w:pos="1429"/>
        </w:tabs>
        <w:ind w:left="1429" w:hanging="360"/>
      </w:pPr>
      <w:rPr>
        <w:rFonts w:ascii="StarSymbol" w:hAnsi="StarSymbol" w:cs="StarSymbol" w:hint="default"/>
        <w:sz w:val="18"/>
        <w:szCs w:val="18"/>
      </w:rPr>
    </w:lvl>
    <w:lvl w:ilvl="2">
      <w:start w:val="1"/>
      <w:numFmt w:val="bullet"/>
      <w:lvlText w:val="■"/>
      <w:lvlJc w:val="left"/>
      <w:pPr>
        <w:tabs>
          <w:tab w:val="num" w:pos="2149"/>
        </w:tabs>
        <w:ind w:left="2149" w:hanging="360"/>
      </w:pPr>
      <w:rPr>
        <w:rFonts w:ascii="StarSymbol" w:hAnsi="StarSymbol" w:cs="StarSymbol" w:hint="default"/>
        <w:sz w:val="18"/>
        <w:szCs w:val="18"/>
      </w:rPr>
    </w:lvl>
    <w:lvl w:ilvl="3">
      <w:start w:val="1"/>
      <w:numFmt w:val="bullet"/>
      <w:lvlText w:val="●"/>
      <w:lvlJc w:val="left"/>
      <w:pPr>
        <w:tabs>
          <w:tab w:val="num" w:pos="2869"/>
        </w:tabs>
        <w:ind w:left="2869" w:hanging="360"/>
      </w:pPr>
      <w:rPr>
        <w:rFonts w:ascii="StarSymbol" w:hAnsi="StarSymbol" w:cs="StarSymbol" w:hint="default"/>
        <w:sz w:val="18"/>
        <w:szCs w:val="18"/>
      </w:rPr>
    </w:lvl>
    <w:lvl w:ilvl="4">
      <w:start w:val="1"/>
      <w:numFmt w:val="bullet"/>
      <w:lvlText w:val=""/>
      <w:lvlJc w:val="left"/>
      <w:pPr>
        <w:tabs>
          <w:tab w:val="num" w:pos="3589"/>
        </w:tabs>
        <w:ind w:left="3589" w:hanging="360"/>
      </w:pPr>
      <w:rPr>
        <w:rFonts w:ascii="Wingdings 2" w:hAnsi="Wingdings 2" w:cs="StarSymbol" w:hint="default"/>
        <w:sz w:val="18"/>
        <w:szCs w:val="18"/>
      </w:rPr>
    </w:lvl>
    <w:lvl w:ilvl="5">
      <w:start w:val="1"/>
      <w:numFmt w:val="bullet"/>
      <w:lvlText w:val="■"/>
      <w:lvlJc w:val="left"/>
      <w:pPr>
        <w:tabs>
          <w:tab w:val="num" w:pos="4309"/>
        </w:tabs>
        <w:ind w:left="4309" w:hanging="360"/>
      </w:pPr>
      <w:rPr>
        <w:rFonts w:ascii="StarSymbol" w:hAnsi="StarSymbol" w:cs="StarSymbol" w:hint="default"/>
        <w:sz w:val="18"/>
        <w:szCs w:val="18"/>
      </w:rPr>
    </w:lvl>
    <w:lvl w:ilvl="6">
      <w:start w:val="1"/>
      <w:numFmt w:val="bullet"/>
      <w:lvlText w:val="●"/>
      <w:lvlJc w:val="left"/>
      <w:pPr>
        <w:tabs>
          <w:tab w:val="num" w:pos="5029"/>
        </w:tabs>
        <w:ind w:left="5029" w:hanging="360"/>
      </w:pPr>
      <w:rPr>
        <w:rFonts w:ascii="StarSymbol" w:hAnsi="StarSymbol" w:cs="StarSymbol" w:hint="default"/>
        <w:sz w:val="18"/>
        <w:szCs w:val="18"/>
      </w:rPr>
    </w:lvl>
    <w:lvl w:ilvl="7">
      <w:start w:val="1"/>
      <w:numFmt w:val="bullet"/>
      <w:lvlText w:val=""/>
      <w:lvlJc w:val="left"/>
      <w:pPr>
        <w:tabs>
          <w:tab w:val="num" w:pos="5749"/>
        </w:tabs>
        <w:ind w:left="5749" w:hanging="360"/>
      </w:pPr>
      <w:rPr>
        <w:rFonts w:ascii="Wingdings 2" w:hAnsi="Wingdings 2" w:cs="StarSymbol" w:hint="default"/>
        <w:sz w:val="18"/>
        <w:szCs w:val="18"/>
      </w:rPr>
    </w:lvl>
    <w:lvl w:ilvl="8">
      <w:start w:val="1"/>
      <w:numFmt w:val="bullet"/>
      <w:lvlText w:val="■"/>
      <w:lvlJc w:val="left"/>
      <w:pPr>
        <w:tabs>
          <w:tab w:val="num" w:pos="6469"/>
        </w:tabs>
        <w:ind w:left="6469" w:hanging="360"/>
      </w:pPr>
      <w:rPr>
        <w:rFonts w:ascii="StarSymbol" w:hAnsi="StarSymbol" w:cs="StarSymbol" w:hint="default"/>
        <w:sz w:val="18"/>
        <w:szCs w:val="18"/>
      </w:rPr>
    </w:lvl>
  </w:abstractNum>
  <w:abstractNum w:abstractNumId="12" w15:restartNumberingAfterBreak="0">
    <w:nsid w:val="345861A1"/>
    <w:multiLevelType w:val="hybridMultilevel"/>
    <w:tmpl w:val="36A262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0126AD"/>
    <w:multiLevelType w:val="hybridMultilevel"/>
    <w:tmpl w:val="BFB868C2"/>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 w15:restartNumberingAfterBreak="0">
    <w:nsid w:val="3B450262"/>
    <w:multiLevelType w:val="hybridMultilevel"/>
    <w:tmpl w:val="A66CEC4A"/>
    <w:lvl w:ilvl="0" w:tplc="203AA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D7995"/>
    <w:multiLevelType w:val="hybridMultilevel"/>
    <w:tmpl w:val="5688FC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DF80A02"/>
    <w:multiLevelType w:val="hybridMultilevel"/>
    <w:tmpl w:val="22BE1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C94649"/>
    <w:multiLevelType w:val="hybridMultilevel"/>
    <w:tmpl w:val="265268E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8BE7506"/>
    <w:multiLevelType w:val="hybridMultilevel"/>
    <w:tmpl w:val="93E412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992363E"/>
    <w:multiLevelType w:val="hybridMultilevel"/>
    <w:tmpl w:val="2FBEDB8A"/>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0" w15:restartNumberingAfterBreak="0">
    <w:nsid w:val="508B38FF"/>
    <w:multiLevelType w:val="hybridMultilevel"/>
    <w:tmpl w:val="7C542C70"/>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1" w15:restartNumberingAfterBreak="0">
    <w:nsid w:val="517B10D6"/>
    <w:multiLevelType w:val="hybridMultilevel"/>
    <w:tmpl w:val="6C3CB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CA6D2C"/>
    <w:multiLevelType w:val="hybridMultilevel"/>
    <w:tmpl w:val="FD40030E"/>
    <w:lvl w:ilvl="0" w:tplc="75D85920">
      <w:start w:val="1"/>
      <w:numFmt w:val="bullet"/>
      <w:lvlText w:val="-"/>
      <w:lvlJc w:val="left"/>
      <w:pPr>
        <w:ind w:left="1432" w:hanging="360"/>
      </w:pPr>
      <w:rPr>
        <w:rFonts w:ascii="Arial" w:hAnsi="Aria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3" w15:restartNumberingAfterBreak="0">
    <w:nsid w:val="5932169F"/>
    <w:multiLevelType w:val="hybridMultilevel"/>
    <w:tmpl w:val="9DCE8C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7E0584C"/>
    <w:multiLevelType w:val="hybridMultilevel"/>
    <w:tmpl w:val="2FA06AE4"/>
    <w:lvl w:ilvl="0" w:tplc="7AF21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162D36"/>
    <w:multiLevelType w:val="hybridMultilevel"/>
    <w:tmpl w:val="5A468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C864B3"/>
    <w:multiLevelType w:val="hybridMultilevel"/>
    <w:tmpl w:val="DB1C408A"/>
    <w:lvl w:ilvl="0" w:tplc="454603CA">
      <w:start w:val="1"/>
      <w:numFmt w:val="decimal"/>
      <w:lvlText w:val="%1."/>
      <w:lvlJc w:val="left"/>
      <w:pPr>
        <w:ind w:left="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B43B29"/>
    <w:multiLevelType w:val="hybridMultilevel"/>
    <w:tmpl w:val="D9366ED4"/>
    <w:lvl w:ilvl="0" w:tplc="DF1CF04A">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8" w15:restartNumberingAfterBreak="0">
    <w:nsid w:val="7627108D"/>
    <w:multiLevelType w:val="hybridMultilevel"/>
    <w:tmpl w:val="472AA2D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7DAF680F"/>
    <w:multiLevelType w:val="hybridMultilevel"/>
    <w:tmpl w:val="9E4EA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9"/>
  </w:num>
  <w:num w:numId="6">
    <w:abstractNumId w:val="10"/>
  </w:num>
  <w:num w:numId="7">
    <w:abstractNumId w:val="16"/>
  </w:num>
  <w:num w:numId="8">
    <w:abstractNumId w:val="8"/>
  </w:num>
  <w:num w:numId="9">
    <w:abstractNumId w:val="20"/>
  </w:num>
  <w:num w:numId="10">
    <w:abstractNumId w:val="29"/>
  </w:num>
  <w:num w:numId="11">
    <w:abstractNumId w:val="6"/>
  </w:num>
  <w:num w:numId="12">
    <w:abstractNumId w:val="9"/>
  </w:num>
  <w:num w:numId="13">
    <w:abstractNumId w:val="13"/>
  </w:num>
  <w:num w:numId="14">
    <w:abstractNumId w:val="25"/>
  </w:num>
  <w:num w:numId="15">
    <w:abstractNumId w:val="5"/>
  </w:num>
  <w:num w:numId="16">
    <w:abstractNumId w:val="22"/>
  </w:num>
  <w:num w:numId="17">
    <w:abstractNumId w:val="12"/>
  </w:num>
  <w:num w:numId="18">
    <w:abstractNumId w:val="3"/>
  </w:num>
  <w:num w:numId="19">
    <w:abstractNumId w:val="17"/>
  </w:num>
  <w:num w:numId="20">
    <w:abstractNumId w:val="24"/>
  </w:num>
  <w:num w:numId="21">
    <w:abstractNumId w:val="4"/>
  </w:num>
  <w:num w:numId="22">
    <w:abstractNumId w:val="21"/>
  </w:num>
  <w:num w:numId="23">
    <w:abstractNumId w:val="27"/>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62"/>
    <w:rsid w:val="000065EF"/>
    <w:rsid w:val="00021A28"/>
    <w:rsid w:val="00033343"/>
    <w:rsid w:val="0003482E"/>
    <w:rsid w:val="00042045"/>
    <w:rsid w:val="00044485"/>
    <w:rsid w:val="0006033D"/>
    <w:rsid w:val="00063ED3"/>
    <w:rsid w:val="000707BA"/>
    <w:rsid w:val="0007509B"/>
    <w:rsid w:val="00092E68"/>
    <w:rsid w:val="000A3A17"/>
    <w:rsid w:val="000A4965"/>
    <w:rsid w:val="000A5660"/>
    <w:rsid w:val="000B22CB"/>
    <w:rsid w:val="000C3976"/>
    <w:rsid w:val="000D3F0C"/>
    <w:rsid w:val="000F3AE9"/>
    <w:rsid w:val="00113729"/>
    <w:rsid w:val="00121739"/>
    <w:rsid w:val="001266C2"/>
    <w:rsid w:val="001313D2"/>
    <w:rsid w:val="00140D2F"/>
    <w:rsid w:val="0015190E"/>
    <w:rsid w:val="001558F7"/>
    <w:rsid w:val="0015639F"/>
    <w:rsid w:val="00162DAD"/>
    <w:rsid w:val="0017407F"/>
    <w:rsid w:val="001812E1"/>
    <w:rsid w:val="001834CF"/>
    <w:rsid w:val="001A05BC"/>
    <w:rsid w:val="001A5763"/>
    <w:rsid w:val="001B7DEF"/>
    <w:rsid w:val="001B7F98"/>
    <w:rsid w:val="001C0BB9"/>
    <w:rsid w:val="001D1BEC"/>
    <w:rsid w:val="001D3D78"/>
    <w:rsid w:val="001D3DE9"/>
    <w:rsid w:val="001D51FA"/>
    <w:rsid w:val="001D7B76"/>
    <w:rsid w:val="001E1E82"/>
    <w:rsid w:val="001E7DE8"/>
    <w:rsid w:val="001F04C9"/>
    <w:rsid w:val="001F31D6"/>
    <w:rsid w:val="001F55A0"/>
    <w:rsid w:val="00206A22"/>
    <w:rsid w:val="00213AF4"/>
    <w:rsid w:val="00214C3B"/>
    <w:rsid w:val="00215E32"/>
    <w:rsid w:val="00223D26"/>
    <w:rsid w:val="00230D9F"/>
    <w:rsid w:val="00232472"/>
    <w:rsid w:val="00245C78"/>
    <w:rsid w:val="00252BE1"/>
    <w:rsid w:val="002620B0"/>
    <w:rsid w:val="002658AF"/>
    <w:rsid w:val="00277FAA"/>
    <w:rsid w:val="00282AF3"/>
    <w:rsid w:val="002860AE"/>
    <w:rsid w:val="00293A6F"/>
    <w:rsid w:val="002A246C"/>
    <w:rsid w:val="002B5938"/>
    <w:rsid w:val="002C37A0"/>
    <w:rsid w:val="002E1C3A"/>
    <w:rsid w:val="002E6814"/>
    <w:rsid w:val="002E6DC6"/>
    <w:rsid w:val="0030313C"/>
    <w:rsid w:val="00323B3F"/>
    <w:rsid w:val="00327859"/>
    <w:rsid w:val="00336C5F"/>
    <w:rsid w:val="00337D05"/>
    <w:rsid w:val="00350F49"/>
    <w:rsid w:val="00353576"/>
    <w:rsid w:val="00354BB5"/>
    <w:rsid w:val="0036163B"/>
    <w:rsid w:val="00364401"/>
    <w:rsid w:val="00365812"/>
    <w:rsid w:val="00377F62"/>
    <w:rsid w:val="00382E4A"/>
    <w:rsid w:val="00384FC8"/>
    <w:rsid w:val="00392C9E"/>
    <w:rsid w:val="003A79B3"/>
    <w:rsid w:val="003B3D93"/>
    <w:rsid w:val="003C3771"/>
    <w:rsid w:val="003C5F1C"/>
    <w:rsid w:val="003C69F8"/>
    <w:rsid w:val="003F6F78"/>
    <w:rsid w:val="00411E5E"/>
    <w:rsid w:val="00420189"/>
    <w:rsid w:val="00424C3B"/>
    <w:rsid w:val="00426C42"/>
    <w:rsid w:val="00432ABD"/>
    <w:rsid w:val="00435B36"/>
    <w:rsid w:val="0045060D"/>
    <w:rsid w:val="004509B2"/>
    <w:rsid w:val="00451B9A"/>
    <w:rsid w:val="00453B67"/>
    <w:rsid w:val="0046173F"/>
    <w:rsid w:val="0047271A"/>
    <w:rsid w:val="004A0A43"/>
    <w:rsid w:val="004B6F30"/>
    <w:rsid w:val="004D7EA8"/>
    <w:rsid w:val="004E562F"/>
    <w:rsid w:val="004E7C17"/>
    <w:rsid w:val="004F0692"/>
    <w:rsid w:val="004F304D"/>
    <w:rsid w:val="004F43E7"/>
    <w:rsid w:val="004F7336"/>
    <w:rsid w:val="0050373E"/>
    <w:rsid w:val="005044DF"/>
    <w:rsid w:val="00504E83"/>
    <w:rsid w:val="00507C83"/>
    <w:rsid w:val="00512413"/>
    <w:rsid w:val="005250D3"/>
    <w:rsid w:val="00530F56"/>
    <w:rsid w:val="00532F8A"/>
    <w:rsid w:val="00534908"/>
    <w:rsid w:val="005404FB"/>
    <w:rsid w:val="00540F11"/>
    <w:rsid w:val="005424DB"/>
    <w:rsid w:val="00544E2F"/>
    <w:rsid w:val="0054543E"/>
    <w:rsid w:val="005621C4"/>
    <w:rsid w:val="00577E56"/>
    <w:rsid w:val="005802B5"/>
    <w:rsid w:val="00581FCA"/>
    <w:rsid w:val="00582113"/>
    <w:rsid w:val="0058398B"/>
    <w:rsid w:val="00585DBB"/>
    <w:rsid w:val="005A1950"/>
    <w:rsid w:val="005A4AE0"/>
    <w:rsid w:val="005A6E0A"/>
    <w:rsid w:val="005A78B8"/>
    <w:rsid w:val="005B20A7"/>
    <w:rsid w:val="005C37A4"/>
    <w:rsid w:val="005C6382"/>
    <w:rsid w:val="005D0988"/>
    <w:rsid w:val="005D4223"/>
    <w:rsid w:val="005E070B"/>
    <w:rsid w:val="005E1FFF"/>
    <w:rsid w:val="005E4DFD"/>
    <w:rsid w:val="00605CBC"/>
    <w:rsid w:val="006164D5"/>
    <w:rsid w:val="00617656"/>
    <w:rsid w:val="00633377"/>
    <w:rsid w:val="006453D1"/>
    <w:rsid w:val="00645D12"/>
    <w:rsid w:val="00684612"/>
    <w:rsid w:val="00692A47"/>
    <w:rsid w:val="006950DF"/>
    <w:rsid w:val="006A7DBF"/>
    <w:rsid w:val="006B03B6"/>
    <w:rsid w:val="006B11D5"/>
    <w:rsid w:val="006B2BA7"/>
    <w:rsid w:val="006B30F8"/>
    <w:rsid w:val="006B6C6E"/>
    <w:rsid w:val="006C6CAE"/>
    <w:rsid w:val="006D2DCF"/>
    <w:rsid w:val="006E56F4"/>
    <w:rsid w:val="00704B50"/>
    <w:rsid w:val="00717058"/>
    <w:rsid w:val="00725F23"/>
    <w:rsid w:val="007273A0"/>
    <w:rsid w:val="00730590"/>
    <w:rsid w:val="00735055"/>
    <w:rsid w:val="00736BF9"/>
    <w:rsid w:val="00736F60"/>
    <w:rsid w:val="00740C80"/>
    <w:rsid w:val="007472E1"/>
    <w:rsid w:val="007528E3"/>
    <w:rsid w:val="007539D7"/>
    <w:rsid w:val="00754683"/>
    <w:rsid w:val="00754CFA"/>
    <w:rsid w:val="00772C2B"/>
    <w:rsid w:val="007730EB"/>
    <w:rsid w:val="00783A8D"/>
    <w:rsid w:val="0078509A"/>
    <w:rsid w:val="007903B5"/>
    <w:rsid w:val="00793D5A"/>
    <w:rsid w:val="00797D79"/>
    <w:rsid w:val="007A3373"/>
    <w:rsid w:val="007A5CFC"/>
    <w:rsid w:val="007B4EE0"/>
    <w:rsid w:val="007C4686"/>
    <w:rsid w:val="007D0756"/>
    <w:rsid w:val="007F6A2F"/>
    <w:rsid w:val="0080012A"/>
    <w:rsid w:val="00803B5C"/>
    <w:rsid w:val="00807443"/>
    <w:rsid w:val="00811F7B"/>
    <w:rsid w:val="00812202"/>
    <w:rsid w:val="00813343"/>
    <w:rsid w:val="00823309"/>
    <w:rsid w:val="00823D36"/>
    <w:rsid w:val="008336E6"/>
    <w:rsid w:val="008534EF"/>
    <w:rsid w:val="00870E48"/>
    <w:rsid w:val="008713B4"/>
    <w:rsid w:val="00873852"/>
    <w:rsid w:val="00874E31"/>
    <w:rsid w:val="00875579"/>
    <w:rsid w:val="008818CA"/>
    <w:rsid w:val="008822EE"/>
    <w:rsid w:val="00891A9D"/>
    <w:rsid w:val="00891D7A"/>
    <w:rsid w:val="008956BD"/>
    <w:rsid w:val="008B37FA"/>
    <w:rsid w:val="008C4924"/>
    <w:rsid w:val="008C69AD"/>
    <w:rsid w:val="008C6FFA"/>
    <w:rsid w:val="008D017F"/>
    <w:rsid w:val="008F68CE"/>
    <w:rsid w:val="009072F0"/>
    <w:rsid w:val="009108ED"/>
    <w:rsid w:val="009127DC"/>
    <w:rsid w:val="009164ED"/>
    <w:rsid w:val="009168E8"/>
    <w:rsid w:val="0092209D"/>
    <w:rsid w:val="00930E38"/>
    <w:rsid w:val="009324D7"/>
    <w:rsid w:val="0097519B"/>
    <w:rsid w:val="009839AE"/>
    <w:rsid w:val="00996A1A"/>
    <w:rsid w:val="009A4812"/>
    <w:rsid w:val="009A5159"/>
    <w:rsid w:val="009A7D0B"/>
    <w:rsid w:val="009B428F"/>
    <w:rsid w:val="009C5126"/>
    <w:rsid w:val="009D00C7"/>
    <w:rsid w:val="009D7449"/>
    <w:rsid w:val="009E0AF7"/>
    <w:rsid w:val="009F0260"/>
    <w:rsid w:val="009F0F65"/>
    <w:rsid w:val="00A0710C"/>
    <w:rsid w:val="00A07CAA"/>
    <w:rsid w:val="00A130DF"/>
    <w:rsid w:val="00A202FF"/>
    <w:rsid w:val="00A4107D"/>
    <w:rsid w:val="00A56690"/>
    <w:rsid w:val="00A62098"/>
    <w:rsid w:val="00A71A1D"/>
    <w:rsid w:val="00A803C2"/>
    <w:rsid w:val="00A81618"/>
    <w:rsid w:val="00AA56BF"/>
    <w:rsid w:val="00AA7754"/>
    <w:rsid w:val="00AB1735"/>
    <w:rsid w:val="00AB39CA"/>
    <w:rsid w:val="00AB4A1A"/>
    <w:rsid w:val="00AC73ED"/>
    <w:rsid w:val="00AC7DBC"/>
    <w:rsid w:val="00AD4FC9"/>
    <w:rsid w:val="00AE425F"/>
    <w:rsid w:val="00AE5BBB"/>
    <w:rsid w:val="00AF305A"/>
    <w:rsid w:val="00AF7471"/>
    <w:rsid w:val="00B04862"/>
    <w:rsid w:val="00B10F23"/>
    <w:rsid w:val="00B144EF"/>
    <w:rsid w:val="00B25587"/>
    <w:rsid w:val="00B4003C"/>
    <w:rsid w:val="00B55D9A"/>
    <w:rsid w:val="00B67427"/>
    <w:rsid w:val="00B67F62"/>
    <w:rsid w:val="00B73000"/>
    <w:rsid w:val="00B80A79"/>
    <w:rsid w:val="00B918B6"/>
    <w:rsid w:val="00BA74DF"/>
    <w:rsid w:val="00BB416D"/>
    <w:rsid w:val="00BB5272"/>
    <w:rsid w:val="00BC55C7"/>
    <w:rsid w:val="00BC589D"/>
    <w:rsid w:val="00BC6DA7"/>
    <w:rsid w:val="00BE0E3B"/>
    <w:rsid w:val="00BE1C8F"/>
    <w:rsid w:val="00BE2E2A"/>
    <w:rsid w:val="00BE7304"/>
    <w:rsid w:val="00C13E28"/>
    <w:rsid w:val="00C22130"/>
    <w:rsid w:val="00C3782D"/>
    <w:rsid w:val="00C41BAE"/>
    <w:rsid w:val="00C42446"/>
    <w:rsid w:val="00C43A13"/>
    <w:rsid w:val="00C45200"/>
    <w:rsid w:val="00C528EA"/>
    <w:rsid w:val="00C60CFE"/>
    <w:rsid w:val="00C63312"/>
    <w:rsid w:val="00C70ADE"/>
    <w:rsid w:val="00C74A4C"/>
    <w:rsid w:val="00C74FDC"/>
    <w:rsid w:val="00C75CA2"/>
    <w:rsid w:val="00C76826"/>
    <w:rsid w:val="00C8014A"/>
    <w:rsid w:val="00CA3015"/>
    <w:rsid w:val="00CA399C"/>
    <w:rsid w:val="00CA6421"/>
    <w:rsid w:val="00CB4802"/>
    <w:rsid w:val="00CC606A"/>
    <w:rsid w:val="00CC7347"/>
    <w:rsid w:val="00CD109F"/>
    <w:rsid w:val="00CD180D"/>
    <w:rsid w:val="00CD59C1"/>
    <w:rsid w:val="00CD75B2"/>
    <w:rsid w:val="00CD7ABB"/>
    <w:rsid w:val="00CF2741"/>
    <w:rsid w:val="00CF42D6"/>
    <w:rsid w:val="00D01D89"/>
    <w:rsid w:val="00D073B0"/>
    <w:rsid w:val="00D0797B"/>
    <w:rsid w:val="00D10E6F"/>
    <w:rsid w:val="00D21BBB"/>
    <w:rsid w:val="00D26A68"/>
    <w:rsid w:val="00D27240"/>
    <w:rsid w:val="00D27F19"/>
    <w:rsid w:val="00D33B94"/>
    <w:rsid w:val="00D35F9B"/>
    <w:rsid w:val="00D366DF"/>
    <w:rsid w:val="00D42F02"/>
    <w:rsid w:val="00D635FE"/>
    <w:rsid w:val="00D64318"/>
    <w:rsid w:val="00D73A71"/>
    <w:rsid w:val="00D75BEA"/>
    <w:rsid w:val="00D869BB"/>
    <w:rsid w:val="00DC55C7"/>
    <w:rsid w:val="00DD0636"/>
    <w:rsid w:val="00DF70CB"/>
    <w:rsid w:val="00E0080B"/>
    <w:rsid w:val="00E00A19"/>
    <w:rsid w:val="00E126AE"/>
    <w:rsid w:val="00E15DE9"/>
    <w:rsid w:val="00E219C1"/>
    <w:rsid w:val="00E224FF"/>
    <w:rsid w:val="00E231F9"/>
    <w:rsid w:val="00E26DB6"/>
    <w:rsid w:val="00E349AA"/>
    <w:rsid w:val="00E40281"/>
    <w:rsid w:val="00E4028A"/>
    <w:rsid w:val="00E45122"/>
    <w:rsid w:val="00E516BD"/>
    <w:rsid w:val="00E56807"/>
    <w:rsid w:val="00E63920"/>
    <w:rsid w:val="00E73743"/>
    <w:rsid w:val="00E76396"/>
    <w:rsid w:val="00E77B06"/>
    <w:rsid w:val="00E97341"/>
    <w:rsid w:val="00EB5966"/>
    <w:rsid w:val="00ED0719"/>
    <w:rsid w:val="00F07E84"/>
    <w:rsid w:val="00F112BA"/>
    <w:rsid w:val="00F20E9E"/>
    <w:rsid w:val="00F21E5D"/>
    <w:rsid w:val="00F30E5C"/>
    <w:rsid w:val="00F575F2"/>
    <w:rsid w:val="00F84572"/>
    <w:rsid w:val="00F975A8"/>
    <w:rsid w:val="00FA09D3"/>
    <w:rsid w:val="00FC12E9"/>
    <w:rsid w:val="00FD547F"/>
    <w:rsid w:val="00FF4C7D"/>
    <w:rsid w:val="00FF6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302D5B-0EA8-43D2-B73D-8BD94CFA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CFA"/>
    <w:pPr>
      <w:widowControl w:val="0"/>
      <w:suppressAutoHyphens/>
    </w:pPr>
    <w:rPr>
      <w:rFonts w:eastAsia="Lucida Sans Unicode"/>
      <w:kern w:val="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ces">
    <w:name w:val="Puces"/>
    <w:rsid w:val="00754CFA"/>
    <w:rPr>
      <w:rFonts w:ascii="StarSymbol" w:eastAsia="StarSymbol" w:hAnsi="StarSymbol" w:cs="StarSymbol"/>
      <w:sz w:val="18"/>
      <w:szCs w:val="18"/>
    </w:rPr>
  </w:style>
  <w:style w:type="paragraph" w:styleId="Nagwek">
    <w:name w:val="header"/>
    <w:basedOn w:val="Normalny"/>
    <w:next w:val="Tekstpodstawowy"/>
    <w:semiHidden/>
    <w:rsid w:val="00754CFA"/>
    <w:pPr>
      <w:keepNext/>
      <w:spacing w:before="240" w:after="120"/>
    </w:pPr>
    <w:rPr>
      <w:rFonts w:ascii="Arial" w:hAnsi="Arial" w:cs="Tahoma"/>
      <w:sz w:val="28"/>
      <w:szCs w:val="28"/>
    </w:rPr>
  </w:style>
  <w:style w:type="paragraph" w:styleId="Tekstpodstawowy">
    <w:name w:val="Body Text"/>
    <w:basedOn w:val="Normalny"/>
    <w:semiHidden/>
    <w:rsid w:val="00754CFA"/>
    <w:pPr>
      <w:spacing w:after="120"/>
    </w:pPr>
  </w:style>
  <w:style w:type="paragraph" w:styleId="Lista">
    <w:name w:val="List"/>
    <w:basedOn w:val="Tekstpodstawowy"/>
    <w:semiHidden/>
    <w:rsid w:val="00754CFA"/>
    <w:rPr>
      <w:rFonts w:cs="Tahoma"/>
    </w:rPr>
  </w:style>
  <w:style w:type="paragraph" w:customStyle="1" w:styleId="Lgende">
    <w:name w:val="Légende"/>
    <w:basedOn w:val="Normalny"/>
    <w:rsid w:val="00754CFA"/>
    <w:pPr>
      <w:suppressLineNumbers/>
      <w:spacing w:before="120" w:after="120"/>
    </w:pPr>
    <w:rPr>
      <w:rFonts w:cs="Tahoma"/>
      <w:i/>
      <w:iCs/>
    </w:rPr>
  </w:style>
  <w:style w:type="paragraph" w:customStyle="1" w:styleId="Rpertoire">
    <w:name w:val="Répertoire"/>
    <w:basedOn w:val="Normalny"/>
    <w:rsid w:val="00754CFA"/>
    <w:pPr>
      <w:suppressLineNumbers/>
    </w:pPr>
    <w:rPr>
      <w:rFonts w:cs="Tahoma"/>
    </w:rPr>
  </w:style>
  <w:style w:type="paragraph" w:styleId="Stopka">
    <w:name w:val="footer"/>
    <w:basedOn w:val="Normalny"/>
    <w:link w:val="StopkaZnak"/>
    <w:uiPriority w:val="99"/>
    <w:unhideWhenUsed/>
    <w:rsid w:val="00B04862"/>
    <w:pPr>
      <w:tabs>
        <w:tab w:val="center" w:pos="4536"/>
        <w:tab w:val="right" w:pos="9072"/>
      </w:tabs>
    </w:pPr>
  </w:style>
  <w:style w:type="character" w:customStyle="1" w:styleId="StopkaZnak">
    <w:name w:val="Stopka Znak"/>
    <w:basedOn w:val="Domylnaczcionkaakapitu"/>
    <w:link w:val="Stopka"/>
    <w:uiPriority w:val="99"/>
    <w:rsid w:val="00B04862"/>
    <w:rPr>
      <w:rFonts w:eastAsia="Lucida Sans Unicode"/>
      <w:kern w:val="1"/>
      <w:sz w:val="24"/>
      <w:szCs w:val="24"/>
    </w:rPr>
  </w:style>
  <w:style w:type="paragraph" w:styleId="Akapitzlist">
    <w:name w:val="List Paragraph"/>
    <w:basedOn w:val="Normalny"/>
    <w:uiPriority w:val="34"/>
    <w:qFormat/>
    <w:rsid w:val="00735055"/>
    <w:pPr>
      <w:ind w:left="720"/>
      <w:contextualSpacing/>
    </w:pPr>
  </w:style>
  <w:style w:type="paragraph" w:styleId="Tekstprzypisukocowego">
    <w:name w:val="endnote text"/>
    <w:basedOn w:val="Normalny"/>
    <w:link w:val="TekstprzypisukocowegoZnak"/>
    <w:uiPriority w:val="99"/>
    <w:semiHidden/>
    <w:unhideWhenUsed/>
    <w:rsid w:val="00113729"/>
    <w:rPr>
      <w:sz w:val="20"/>
      <w:szCs w:val="20"/>
    </w:rPr>
  </w:style>
  <w:style w:type="character" w:customStyle="1" w:styleId="TekstprzypisukocowegoZnak">
    <w:name w:val="Tekst przypisu końcowego Znak"/>
    <w:basedOn w:val="Domylnaczcionkaakapitu"/>
    <w:link w:val="Tekstprzypisukocowego"/>
    <w:uiPriority w:val="99"/>
    <w:semiHidden/>
    <w:rsid w:val="00113729"/>
    <w:rPr>
      <w:rFonts w:eastAsia="Lucida Sans Unicode"/>
      <w:kern w:val="1"/>
    </w:rPr>
  </w:style>
  <w:style w:type="character" w:styleId="Odwoanieprzypisukocowego">
    <w:name w:val="endnote reference"/>
    <w:basedOn w:val="Domylnaczcionkaakapitu"/>
    <w:uiPriority w:val="99"/>
    <w:semiHidden/>
    <w:unhideWhenUsed/>
    <w:rsid w:val="00113729"/>
    <w:rPr>
      <w:vertAlign w:val="superscript"/>
    </w:rPr>
  </w:style>
  <w:style w:type="paragraph" w:styleId="Tekstdymka">
    <w:name w:val="Balloon Text"/>
    <w:basedOn w:val="Normalny"/>
    <w:link w:val="TekstdymkaZnak"/>
    <w:uiPriority w:val="99"/>
    <w:semiHidden/>
    <w:unhideWhenUsed/>
    <w:rsid w:val="00C74A4C"/>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74A4C"/>
    <w:rPr>
      <w:rFonts w:ascii="Lucida Grande CE" w:eastAsia="Lucida Sans Unicode" w:hAnsi="Lucida Grande CE"/>
      <w:kern w:val="1"/>
      <w:sz w:val="18"/>
      <w:szCs w:val="18"/>
    </w:rPr>
  </w:style>
  <w:style w:type="character" w:styleId="Hipercze">
    <w:name w:val="Hyperlink"/>
    <w:unhideWhenUsed/>
    <w:rsid w:val="00C43A13"/>
    <w:rPr>
      <w:color w:val="0000FF"/>
      <w:u w:val="single"/>
    </w:rPr>
  </w:style>
  <w:style w:type="paragraph" w:styleId="Tekstprzypisudolnego">
    <w:name w:val="footnote text"/>
    <w:basedOn w:val="Normalny"/>
    <w:link w:val="TekstprzypisudolnegoZnak"/>
    <w:uiPriority w:val="99"/>
    <w:semiHidden/>
    <w:unhideWhenUsed/>
    <w:rsid w:val="00206A22"/>
    <w:rPr>
      <w:sz w:val="20"/>
      <w:szCs w:val="20"/>
    </w:rPr>
  </w:style>
  <w:style w:type="character" w:customStyle="1" w:styleId="TekstprzypisudolnegoZnak">
    <w:name w:val="Tekst przypisu dolnego Znak"/>
    <w:basedOn w:val="Domylnaczcionkaakapitu"/>
    <w:link w:val="Tekstprzypisudolnego"/>
    <w:uiPriority w:val="99"/>
    <w:semiHidden/>
    <w:rsid w:val="00206A22"/>
    <w:rPr>
      <w:rFonts w:eastAsia="Lucida Sans Unicode"/>
      <w:kern w:val="1"/>
    </w:rPr>
  </w:style>
  <w:style w:type="character" w:styleId="Odwoanieprzypisudolnego">
    <w:name w:val="footnote reference"/>
    <w:basedOn w:val="Domylnaczcionkaakapitu"/>
    <w:uiPriority w:val="99"/>
    <w:semiHidden/>
    <w:unhideWhenUsed/>
    <w:rsid w:val="0020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89880">
      <w:bodyDiv w:val="1"/>
      <w:marLeft w:val="0"/>
      <w:marRight w:val="0"/>
      <w:marTop w:val="0"/>
      <w:marBottom w:val="0"/>
      <w:divBdr>
        <w:top w:val="none" w:sz="0" w:space="0" w:color="auto"/>
        <w:left w:val="none" w:sz="0" w:space="0" w:color="auto"/>
        <w:bottom w:val="none" w:sz="0" w:space="0" w:color="auto"/>
        <w:right w:val="none" w:sz="0" w:space="0" w:color="auto"/>
      </w:divBdr>
    </w:div>
    <w:div w:id="1334600628">
      <w:bodyDiv w:val="1"/>
      <w:marLeft w:val="0"/>
      <w:marRight w:val="0"/>
      <w:marTop w:val="0"/>
      <w:marBottom w:val="0"/>
      <w:divBdr>
        <w:top w:val="none" w:sz="0" w:space="0" w:color="auto"/>
        <w:left w:val="none" w:sz="0" w:space="0" w:color="auto"/>
        <w:bottom w:val="none" w:sz="0" w:space="0" w:color="auto"/>
        <w:right w:val="none" w:sz="0" w:space="0" w:color="auto"/>
      </w:divBdr>
    </w:div>
    <w:div w:id="1663436014">
      <w:bodyDiv w:val="1"/>
      <w:marLeft w:val="0"/>
      <w:marRight w:val="0"/>
      <w:marTop w:val="0"/>
      <w:marBottom w:val="0"/>
      <w:divBdr>
        <w:top w:val="none" w:sz="0" w:space="0" w:color="auto"/>
        <w:left w:val="none" w:sz="0" w:space="0" w:color="auto"/>
        <w:bottom w:val="none" w:sz="0" w:space="0" w:color="auto"/>
        <w:right w:val="none" w:sz="0" w:space="0" w:color="auto"/>
      </w:divBdr>
    </w:div>
    <w:div w:id="1768230348">
      <w:bodyDiv w:val="1"/>
      <w:marLeft w:val="0"/>
      <w:marRight w:val="0"/>
      <w:marTop w:val="0"/>
      <w:marBottom w:val="0"/>
      <w:divBdr>
        <w:top w:val="none" w:sz="0" w:space="0" w:color="auto"/>
        <w:left w:val="none" w:sz="0" w:space="0" w:color="auto"/>
        <w:bottom w:val="none" w:sz="0" w:space="0" w:color="auto"/>
        <w:right w:val="none" w:sz="0" w:space="0" w:color="auto"/>
      </w:divBdr>
    </w:div>
    <w:div w:id="20794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pl" TargetMode="External"/><Relationship Id="rId3" Type="http://schemas.openxmlformats.org/officeDocument/2006/relationships/settings" Target="settings.xml"/><Relationship Id="rId7" Type="http://schemas.openxmlformats.org/officeDocument/2006/relationships/hyperlink" Target="mailto:maja.lidke@efl.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ols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TF-construction, Tomal, Fassa, Sp.j.</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Paulinka</dc:creator>
  <cp:lastModifiedBy>sylwia maj</cp:lastModifiedBy>
  <cp:revision>24</cp:revision>
  <cp:lastPrinted>2014-02-12T12:34:00Z</cp:lastPrinted>
  <dcterms:created xsi:type="dcterms:W3CDTF">2017-11-06T08:31:00Z</dcterms:created>
  <dcterms:modified xsi:type="dcterms:W3CDTF">2017-11-29T18:43:00Z</dcterms:modified>
</cp:coreProperties>
</file>