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00" w:rsidRDefault="00B61300"/>
    <w:p w:rsidR="00B61300" w:rsidRDefault="00B61300">
      <w:pPr>
        <w:jc w:val="right"/>
        <w:rPr>
          <w:rFonts w:ascii="Arial" w:hAnsi="Arial" w:cs="Arial"/>
          <w:b/>
          <w:sz w:val="32"/>
          <w:szCs w:val="32"/>
        </w:rPr>
      </w:pPr>
    </w:p>
    <w:p w:rsidR="00B61300" w:rsidRDefault="00B61300">
      <w:pPr>
        <w:jc w:val="center"/>
        <w:rPr>
          <w:rFonts w:ascii="Arial" w:hAnsi="Arial" w:cs="Arial"/>
          <w:b/>
          <w:sz w:val="32"/>
          <w:szCs w:val="32"/>
        </w:rPr>
      </w:pPr>
    </w:p>
    <w:p w:rsidR="00B61300" w:rsidRDefault="00744889">
      <w:pPr>
        <w:jc w:val="center"/>
      </w:pPr>
      <w:r>
        <w:rPr>
          <w:rFonts w:ascii="Arial" w:hAnsi="Arial" w:cs="Arial"/>
          <w:b/>
          <w:sz w:val="32"/>
          <w:szCs w:val="32"/>
        </w:rPr>
        <w:t>MITSUBISHI OUTLANDER PHEV</w:t>
      </w:r>
    </w:p>
    <w:p w:rsidR="00B61300" w:rsidRDefault="00B61300">
      <w:pPr>
        <w:jc w:val="center"/>
        <w:rPr>
          <w:rFonts w:ascii="Arial" w:hAnsi="Arial" w:cs="Arial"/>
          <w:b/>
          <w:sz w:val="28"/>
          <w:szCs w:val="28"/>
        </w:rPr>
      </w:pPr>
    </w:p>
    <w:p w:rsidR="00B61300" w:rsidRDefault="00744889">
      <w:pPr>
        <w:jc w:val="center"/>
      </w:pPr>
      <w:r>
        <w:rPr>
          <w:rFonts w:ascii="Arial" w:hAnsi="Arial" w:cs="Arial"/>
          <w:b/>
          <w:sz w:val="28"/>
          <w:szCs w:val="28"/>
        </w:rPr>
        <w:t>100 000 egzemplarzy sprzedaży skumulowanej w Europie</w:t>
      </w:r>
    </w:p>
    <w:p w:rsidR="00B61300" w:rsidRDefault="00B61300">
      <w:pPr>
        <w:rPr>
          <w:rFonts w:ascii="Arial" w:hAnsi="Arial" w:cs="Arial"/>
          <w:b/>
          <w:sz w:val="20"/>
          <w:szCs w:val="20"/>
        </w:rPr>
      </w:pPr>
    </w:p>
    <w:p w:rsidR="00B61300" w:rsidRDefault="00B613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1300" w:rsidRDefault="00744889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W 4 lata po europejskim rynkowym debiucie 21 października 2013 roku firma Mitsubishi Motors Corporation (MMC) ogłosiła, że jej sztandarowy model - Outlander PHEV osiągnął wynik skumulowanej sprzedaży w wysokości 100 000 egzemplarz</w:t>
      </w:r>
      <w:r w:rsidR="0097635F">
        <w:rPr>
          <w:rFonts w:ascii="Arial" w:hAnsi="Arial" w:cs="Arial"/>
          <w:sz w:val="20"/>
          <w:szCs w:val="20"/>
        </w:rPr>
        <w:t>y na wszystkich rynkach regionu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61300" w:rsidRDefault="00B613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1300" w:rsidRDefault="004E0BA0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429000" cy="2306955"/>
            <wp:effectExtent l="1905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00" w:rsidRDefault="00B6130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61300" w:rsidRDefault="00744889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Początkowo oferowany na kilku wybranych rynkach europejskich (Holandia, Skandynawia, ...), Outlander PHEV szybko zyskał popularność, nadając zupełnie nowy wymiar europejskiemu segmentowi SUV. Do  listopada 2015 roku w Europie zostało sprzedanych 50 000 egzemplarzy Outlandera PHEV, który stał się najbardziej popularnym samochodem hybrydowym typu Plug-in w latach 2015 i 2016 i 2017 **, dzięki nieustannemu ulepszeniu tego modelu.  </w:t>
      </w:r>
    </w:p>
    <w:p w:rsidR="00B61300" w:rsidRDefault="00B613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1300" w:rsidRDefault="00744889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Pomimo stale rosnącej konkurencji segmencie plug-in, Outlander PHEV zachował pierwsze miejsce wśród aut PHEV w Wielkiej Brytanii, Norwe</w:t>
      </w:r>
      <w:r w:rsidR="0097635F">
        <w:rPr>
          <w:rFonts w:ascii="Arial" w:hAnsi="Arial" w:cs="Arial"/>
          <w:sz w:val="20"/>
          <w:szCs w:val="20"/>
        </w:rPr>
        <w:t>gii i Hiszpanii w roku 2017**. W</w:t>
      </w:r>
      <w:r>
        <w:rPr>
          <w:rFonts w:ascii="Arial" w:hAnsi="Arial" w:cs="Arial"/>
          <w:sz w:val="20"/>
          <w:szCs w:val="20"/>
        </w:rPr>
        <w:t xml:space="preserve"> okresie od stycznia do grudnia 2017 r. udział sprzedaży Outlandera PHEV w połączonych segmentach EV/PHEV wyniósł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13%</w:t>
      </w:r>
      <w:r w:rsidR="0097635F">
        <w:rPr>
          <w:rFonts w:ascii="Arial" w:hAnsi="Arial" w:cs="Arial"/>
          <w:sz w:val="20"/>
          <w:szCs w:val="20"/>
        </w:rPr>
        <w:t xml:space="preserve"> i a sprzedaż tego modelu stanowiła 77% wyniku sprzedaży aut z segmentu SUV w całej gamie Mitsubishi Motors w tym regionie.*</w:t>
      </w:r>
    </w:p>
    <w:p w:rsidR="00B61300" w:rsidRDefault="00B613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1300" w:rsidRDefault="00744889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>*obszar MME34 (z wyłączeniem Rosji &amp; Ukrainy)</w:t>
      </w:r>
    </w:p>
    <w:p w:rsidR="00B61300" w:rsidRDefault="00744889">
      <w:pPr>
        <w:jc w:val="both"/>
      </w:pPr>
      <w:r>
        <w:rPr>
          <w:rFonts w:ascii="Arial" w:hAnsi="Arial" w:cs="Arial"/>
          <w:sz w:val="16"/>
          <w:szCs w:val="16"/>
        </w:rPr>
        <w:t>**</w:t>
      </w:r>
      <w:r>
        <w:rPr>
          <w:sz w:val="18"/>
          <w:szCs w:val="18"/>
        </w:rPr>
        <w:t>Źródlo: JATO Dynamics</w:t>
      </w:r>
    </w:p>
    <w:p w:rsidR="00B61300" w:rsidRDefault="00B613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1300" w:rsidRDefault="00B613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1300" w:rsidRDefault="00744889">
      <w:pPr>
        <w:spacing w:line="360" w:lineRule="auto"/>
        <w:jc w:val="both"/>
      </w:pPr>
      <w:r>
        <w:rPr>
          <w:rFonts w:ascii="Arial" w:hAnsi="Arial" w:cs="Arial"/>
          <w:b/>
        </w:rPr>
        <w:lastRenderedPageBreak/>
        <w:t>Flagowa technologia</w:t>
      </w:r>
    </w:p>
    <w:p w:rsidR="00B61300" w:rsidRDefault="00744889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Od 2013 roku Outlander PHEV cieszy się rosnącą popularnością wśród klientów w Europie, oferując wszystkie największe osiągnięcia inżynierów Mitsubishi Motors - napęd 4WD udoskonalany od 1936 roku, gwarantujący najwyższy poziom bezpieczeństwa system kontroli napędu na cztery koła ‘Super-All Wheel Control’, napęd elektryczny doskonalony od 1966 roku w aucie z segmentu SUV, który firma rozwija od 1982 roku, a wszystko to w atrakcyjnym pakiecie przyjaznym środowisku i w połączeniu z pełnowymiarową przestrzenią pasażerską, doskonałą niezawodnością i niskimi kosztami eksploatacji – nawet na rynkach takich, jak Szwecja, czy Niemcy, na których istnieje mocna konkurencja ze strony rodzimych graczy.</w:t>
      </w:r>
    </w:p>
    <w:p w:rsidR="00B61300" w:rsidRDefault="00B613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1300" w:rsidRDefault="00744889">
      <w:pPr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Outlander PHEV nadal oferuje klientom unikatowe rozwiązania technologiczne w swoim segmencie – przedni silnik elektryczny, tylny silnik elektryczny, brak tradycyjnej skrzyni biegów oraz zaawansowany napęd na cztery koła – to dało przez ostatnie 4 lata</w:t>
      </w:r>
      <w:r>
        <w:rPr>
          <w:rFonts w:ascii="Arial" w:eastAsia="MS Gothic;ＭＳ ゴシック" w:hAnsi="Arial" w:cs="Arial"/>
          <w:color w:val="000000"/>
          <w:sz w:val="20"/>
          <w:szCs w:val="20"/>
        </w:rPr>
        <w:t xml:space="preserve"> konkretne korzyści europejskim klientom – niższą wagę (czyli mniejsze zużycie energii), prostszą konstrukcję (brak skrzyni biegów, elektroniczne sterowanie), brak konieczności kompromisu w kwestii wielkości przestrzeni wewnątrz, perfekcyjnie płynną jazdę (dzięki wyrafinowanemu Systemowi Operacyjnemu) oraz zdolność do pokonywania długich dystansów ze zredukowanym spalaniem i emisją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eastAsia="MS Gothic;ＭＳ ゴシック" w:hAnsi="Arial" w:cs="Arial"/>
          <w:color w:val="000000"/>
          <w:sz w:val="20"/>
          <w:szCs w:val="20"/>
        </w:rPr>
        <w:t xml:space="preserve"> .</w:t>
      </w:r>
    </w:p>
    <w:p w:rsidR="00B61300" w:rsidRDefault="00B6130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61300" w:rsidRDefault="00744889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Jest zdobywcą wielu prestiżowych nagród i wyróżnień – z samochodu korzystała japońska delegacja uczestnicząca w Konferencji Narodów Zjednoczonych w sprawie zmian klimatycznych (COP21) w Paryżu w 2015 r.; został on uznany za najbardziej ekologiczny kompaktowy SUV ("Auto Test Sieger in Gruen")  przez czasopisma "Auto test" i "Oekotrend" w 2015, 2016 i 2017 roku. Outlandera PHEV docenił szwajcarski kierowca, specjalista ekonomicznej jazdy oraz pasterze owiec w Walii, którzy do doglądania swoich stad podczas porodów, potrzebowali cichego samochodu nie płoszącego ciężarnych zwierząt.</w:t>
      </w:r>
      <w:r>
        <w:rPr>
          <w:rFonts w:ascii="Arial" w:hAnsi="Arial" w:cs="Arial"/>
          <w:color w:val="000000"/>
          <w:sz w:val="20"/>
          <w:szCs w:val="20"/>
        </w:rPr>
        <w:t xml:space="preserve">  Outlander PHEV to dziś flagowy model firmy, a jego hybrydowa architektura jest obecnie kluczowym elementem strategii produktowej MMC.</w:t>
      </w:r>
    </w:p>
    <w:p w:rsidR="00B61300" w:rsidRDefault="00B6130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61300" w:rsidRDefault="00744889" w:rsidP="00234B26">
      <w:pPr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Wśród gorącej, europejskiej debaty na temat przyszłości silników Diesla i – szerszej dyskusji o roli samochodów w społeczeństwie – ten kamień milowy 100 000 sprzedanych aut potwierdza ambicje firmy Mitsubishi Motors, która przedstawia innowacyjne propozycje dla tych, którzy chcą być liderami zmian i działać tak, by je wyprzedzać. </w:t>
      </w:r>
    </w:p>
    <w:p w:rsidR="00B61300" w:rsidRDefault="00B61300">
      <w:pPr>
        <w:pStyle w:val="Default"/>
      </w:pPr>
    </w:p>
    <w:p w:rsidR="00B61300" w:rsidRDefault="00B61300">
      <w:pPr>
        <w:rPr>
          <w:rFonts w:ascii="Arial" w:hAnsi="Arial" w:cs="Arial"/>
          <w:color w:val="FF0000"/>
          <w:sz w:val="20"/>
          <w:szCs w:val="20"/>
        </w:rPr>
      </w:pPr>
    </w:p>
    <w:p w:rsidR="00B61300" w:rsidRDefault="00744889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***</w:t>
      </w:r>
    </w:p>
    <w:p w:rsidR="00B61300" w:rsidRDefault="00B61300">
      <w:pPr>
        <w:rPr>
          <w:rFonts w:ascii="Arial" w:hAnsi="Arial" w:cs="Arial"/>
          <w:color w:val="000000"/>
          <w:sz w:val="16"/>
          <w:szCs w:val="16"/>
        </w:rPr>
      </w:pPr>
    </w:p>
    <w:p w:rsidR="00B61300" w:rsidRDefault="00B6130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61300" w:rsidRDefault="00744889">
      <w:r>
        <w:rPr>
          <w:rFonts w:ascii="Arial" w:hAnsi="Arial" w:cs="Arial"/>
          <w:color w:val="000000"/>
          <w:sz w:val="16"/>
          <w:szCs w:val="16"/>
        </w:rPr>
        <w:t xml:space="preserve">** Szwajcarski kierowca </w:t>
      </w:r>
      <w:r>
        <w:rPr>
          <w:rFonts w:ascii="Arial" w:hAnsi="Arial" w:cs="Arial"/>
          <w:sz w:val="16"/>
          <w:szCs w:val="16"/>
        </w:rPr>
        <w:t>Felix Egolf</w:t>
      </w:r>
      <w:r>
        <w:rPr>
          <w:rFonts w:ascii="Arial" w:hAnsi="Arial" w:cs="Arial"/>
          <w:color w:val="000000"/>
          <w:sz w:val="16"/>
          <w:szCs w:val="16"/>
        </w:rPr>
        <w:t xml:space="preserve"> pokonał dystans 700,2 km, w tym jadąc 133 km po autostradach, z 13,800-metrową różnicę wysokości i 14 przełęczami górskimi, zużywając tylko 40,55 litra benzyny. Zużycie paliwa wyniosło średnio 5,79 l/100 km oraz 1,3 kWh/100 km.</w:t>
      </w:r>
      <w:r>
        <w:rPr>
          <w:rFonts w:ascii="Arial" w:hAnsi="Arial" w:cs="Arial"/>
          <w:color w:val="000000"/>
          <w:sz w:val="16"/>
          <w:szCs w:val="16"/>
        </w:rPr>
        <w:br/>
        <w:t xml:space="preserve"> </w:t>
      </w:r>
    </w:p>
    <w:p w:rsidR="00B61300" w:rsidRDefault="00B61300">
      <w:pPr>
        <w:rPr>
          <w:rFonts w:ascii="Arial" w:hAnsi="Arial" w:cs="Arial"/>
          <w:color w:val="FF0000"/>
          <w:sz w:val="20"/>
          <w:szCs w:val="20"/>
        </w:rPr>
      </w:pPr>
    </w:p>
    <w:p w:rsidR="00B61300" w:rsidRDefault="00B61300">
      <w:pPr>
        <w:rPr>
          <w:rFonts w:ascii="Arial" w:hAnsi="Arial" w:cs="Arial"/>
          <w:color w:val="FF0000"/>
          <w:sz w:val="20"/>
          <w:szCs w:val="20"/>
        </w:rPr>
      </w:pPr>
    </w:p>
    <w:p w:rsidR="00B61300" w:rsidRDefault="00B61300">
      <w:pPr>
        <w:rPr>
          <w:rFonts w:ascii="Arial" w:hAnsi="Arial" w:cs="Arial"/>
          <w:color w:val="FF0000"/>
          <w:sz w:val="20"/>
          <w:szCs w:val="20"/>
        </w:rPr>
      </w:pPr>
    </w:p>
    <w:p w:rsidR="00B61300" w:rsidRDefault="00B61300">
      <w:pPr>
        <w:rPr>
          <w:rFonts w:ascii="Arial" w:hAnsi="Arial" w:cs="Arial"/>
          <w:color w:val="FF0000"/>
          <w:sz w:val="20"/>
          <w:szCs w:val="20"/>
        </w:rPr>
      </w:pPr>
    </w:p>
    <w:p w:rsidR="00B61300" w:rsidRDefault="00B61300">
      <w:pPr>
        <w:rPr>
          <w:rFonts w:ascii="Arial" w:hAnsi="Arial" w:cs="Arial"/>
          <w:color w:val="FF0000"/>
          <w:sz w:val="20"/>
          <w:szCs w:val="20"/>
        </w:rPr>
      </w:pPr>
    </w:p>
    <w:p w:rsidR="00B61300" w:rsidRDefault="00B61300">
      <w:pPr>
        <w:rPr>
          <w:rFonts w:ascii="Arial" w:hAnsi="Arial" w:cs="Arial"/>
          <w:color w:val="FF0000"/>
          <w:sz w:val="20"/>
          <w:szCs w:val="20"/>
        </w:rPr>
      </w:pPr>
    </w:p>
    <w:p w:rsidR="00B61300" w:rsidRDefault="00B61300">
      <w:pPr>
        <w:rPr>
          <w:rFonts w:ascii="Arial" w:hAnsi="Arial" w:cs="Arial"/>
          <w:b/>
          <w:color w:val="000000"/>
          <w:sz w:val="28"/>
          <w:szCs w:val="28"/>
        </w:rPr>
      </w:pPr>
    </w:p>
    <w:p w:rsidR="00B61300" w:rsidRDefault="00B6130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61300" w:rsidRDefault="00B61300">
      <w:pPr>
        <w:ind w:left="-142"/>
        <w:jc w:val="both"/>
        <w:rPr>
          <w:rFonts w:eastAsia="MS Mincho;ＭＳ 明朝" w:cs="Calibri"/>
          <w:sz w:val="20"/>
          <w:szCs w:val="20"/>
        </w:rPr>
      </w:pPr>
    </w:p>
    <w:p w:rsidR="00B61300" w:rsidRDefault="00744889">
      <w:pPr>
        <w:pStyle w:val="xmsonormal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MITSUBISHI OUTLANDER PHEV W EUROPIE</w:t>
      </w:r>
    </w:p>
    <w:p w:rsidR="00B61300" w:rsidRDefault="00744889">
      <w:pPr>
        <w:pStyle w:val="xmsonormal"/>
        <w:ind w:left="-142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Wyniki sprzedaży </w:t>
      </w:r>
    </w:p>
    <w:p w:rsidR="00B61300" w:rsidRDefault="00744889">
      <w:pPr>
        <w:pStyle w:val="xmsonormal"/>
        <w:ind w:left="-142"/>
        <w:jc w:val="center"/>
      </w:pPr>
      <w:r>
        <w:rPr>
          <w:rFonts w:ascii="Calibri" w:hAnsi="Calibri" w:cs="Calibri"/>
          <w:b/>
          <w:bCs/>
          <w:iCs/>
          <w:sz w:val="22"/>
          <w:szCs w:val="22"/>
        </w:rPr>
        <w:t>TOP 10 w Europie – skumulowana sprzedaż (od października 2013 do grudnia 2017):</w:t>
      </w:r>
    </w:p>
    <w:p w:rsidR="00B61300" w:rsidRDefault="00B61300">
      <w:pPr>
        <w:tabs>
          <w:tab w:val="left" w:pos="1809"/>
          <w:tab w:val="right" w:pos="4421"/>
          <w:tab w:val="left" w:pos="4933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B61300" w:rsidRDefault="00744889">
      <w:pPr>
        <w:tabs>
          <w:tab w:val="left" w:pos="1809"/>
          <w:tab w:val="right" w:pos="4421"/>
          <w:tab w:val="left" w:pos="4933"/>
        </w:tabs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MME34 razem               </w:t>
      </w:r>
      <w:r w:rsidR="001842C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100,097 </w:t>
      </w:r>
      <w:r>
        <w:rPr>
          <w:rFonts w:cs="Calibri"/>
          <w:b/>
          <w:bCs/>
          <w:sz w:val="20"/>
          <w:szCs w:val="20"/>
        </w:rPr>
        <w:t>egzemplarzy</w:t>
      </w:r>
    </w:p>
    <w:p w:rsidR="00B61300" w:rsidRDefault="00B61300">
      <w:pPr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1300" w:rsidRDefault="00744889">
      <w:pPr>
        <w:numPr>
          <w:ilvl w:val="0"/>
          <w:numId w:val="1"/>
        </w:numPr>
      </w:pPr>
      <w:r>
        <w:rPr>
          <w:rFonts w:cs="Calibri"/>
          <w:color w:val="000000"/>
          <w:sz w:val="20"/>
          <w:szCs w:val="20"/>
        </w:rPr>
        <w:t xml:space="preserve">– </w:t>
      </w:r>
      <w:r>
        <w:rPr>
          <w:rFonts w:cs="Arial"/>
          <w:color w:val="000000"/>
          <w:sz w:val="20"/>
          <w:szCs w:val="20"/>
        </w:rPr>
        <w:t>Wielka Brytania              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34,108 egzemplarzy</w:t>
      </w:r>
    </w:p>
    <w:p w:rsidR="00B61300" w:rsidRDefault="00744889">
      <w:pPr>
        <w:numPr>
          <w:ilvl w:val="0"/>
          <w:numId w:val="1"/>
        </w:numPr>
      </w:pPr>
      <w:r>
        <w:rPr>
          <w:rFonts w:cs="Calibri"/>
          <w:color w:val="000000"/>
          <w:sz w:val="20"/>
          <w:szCs w:val="20"/>
        </w:rPr>
        <w:t xml:space="preserve">– </w:t>
      </w:r>
      <w:r>
        <w:rPr>
          <w:rFonts w:cs="Arial"/>
          <w:color w:val="000000"/>
          <w:sz w:val="20"/>
          <w:szCs w:val="20"/>
        </w:rPr>
        <w:t>Holandia</w:t>
      </w:r>
      <w:r>
        <w:rPr>
          <w:rFonts w:cs="Arial"/>
          <w:color w:val="000000"/>
          <w:sz w:val="20"/>
          <w:szCs w:val="20"/>
        </w:rPr>
        <w:tab/>
        <w:t xml:space="preserve">                          </w:t>
      </w:r>
      <w:r>
        <w:rPr>
          <w:rFonts w:cs="Arial"/>
          <w:color w:val="000000"/>
          <w:sz w:val="20"/>
          <w:szCs w:val="20"/>
        </w:rPr>
        <w:tab/>
        <w:t>25,399 egzemplarzy</w:t>
      </w:r>
    </w:p>
    <w:p w:rsidR="00B61300" w:rsidRDefault="00744889">
      <w:pPr>
        <w:numPr>
          <w:ilvl w:val="0"/>
          <w:numId w:val="1"/>
        </w:numPr>
      </w:pPr>
      <w:r>
        <w:rPr>
          <w:rFonts w:cs="Arial"/>
          <w:color w:val="000000"/>
          <w:sz w:val="20"/>
          <w:szCs w:val="20"/>
        </w:rPr>
        <w:t xml:space="preserve">- Norwegia                                </w:t>
      </w:r>
      <w:r>
        <w:rPr>
          <w:rFonts w:cs="Arial"/>
          <w:color w:val="000000"/>
          <w:sz w:val="20"/>
          <w:szCs w:val="20"/>
        </w:rPr>
        <w:tab/>
        <w:t>13,429 egzemplarzy</w:t>
      </w:r>
    </w:p>
    <w:p w:rsidR="00B61300" w:rsidRDefault="00744889">
      <w:pPr>
        <w:numPr>
          <w:ilvl w:val="0"/>
          <w:numId w:val="1"/>
        </w:numPr>
      </w:pPr>
      <w:r>
        <w:rPr>
          <w:rFonts w:cs="Arial"/>
          <w:color w:val="000000"/>
          <w:sz w:val="20"/>
          <w:szCs w:val="20"/>
        </w:rPr>
        <w:t xml:space="preserve">- Szwecja                               </w:t>
      </w:r>
      <w:r>
        <w:rPr>
          <w:rFonts w:cs="Arial"/>
          <w:color w:val="000000"/>
          <w:sz w:val="20"/>
          <w:szCs w:val="20"/>
        </w:rPr>
        <w:tab/>
        <w:t xml:space="preserve"> 9,957 egzemplarzy </w:t>
      </w:r>
    </w:p>
    <w:p w:rsidR="00B61300" w:rsidRDefault="00744889">
      <w:pPr>
        <w:numPr>
          <w:ilvl w:val="0"/>
          <w:numId w:val="1"/>
        </w:numPr>
      </w:pPr>
      <w:r>
        <w:rPr>
          <w:rFonts w:cs="Arial"/>
          <w:color w:val="000000"/>
          <w:sz w:val="20"/>
          <w:szCs w:val="20"/>
        </w:rPr>
        <w:t>- Niemcy                            </w:t>
      </w:r>
      <w:r>
        <w:rPr>
          <w:rFonts w:cs="Arial"/>
          <w:color w:val="000000"/>
          <w:sz w:val="20"/>
          <w:szCs w:val="20"/>
        </w:rPr>
        <w:tab/>
        <w:t xml:space="preserve">  </w:t>
      </w:r>
      <w:r>
        <w:rPr>
          <w:rFonts w:cs="Arial"/>
          <w:color w:val="000000"/>
          <w:sz w:val="20"/>
          <w:szCs w:val="20"/>
        </w:rPr>
        <w:tab/>
        <w:t xml:space="preserve"> 6,743 egzemplarzy</w:t>
      </w:r>
    </w:p>
    <w:p w:rsidR="00B61300" w:rsidRDefault="00744889">
      <w:pPr>
        <w:numPr>
          <w:ilvl w:val="0"/>
          <w:numId w:val="1"/>
        </w:numPr>
      </w:pPr>
      <w:r>
        <w:rPr>
          <w:rFonts w:cs="Arial"/>
          <w:color w:val="000000"/>
          <w:sz w:val="20"/>
          <w:szCs w:val="20"/>
        </w:rPr>
        <w:t xml:space="preserve">- Francja                                  </w:t>
      </w:r>
      <w:r>
        <w:rPr>
          <w:rFonts w:cs="Arial"/>
          <w:color w:val="000000"/>
          <w:sz w:val="20"/>
          <w:szCs w:val="20"/>
        </w:rPr>
        <w:tab/>
        <w:t xml:space="preserve"> 2,580 egzemplarzy</w:t>
      </w:r>
    </w:p>
    <w:p w:rsidR="00B61300" w:rsidRDefault="00744889">
      <w:pPr>
        <w:numPr>
          <w:ilvl w:val="0"/>
          <w:numId w:val="1"/>
        </w:numPr>
      </w:pPr>
      <w:r>
        <w:rPr>
          <w:rFonts w:cs="Arial"/>
          <w:color w:val="000000"/>
          <w:sz w:val="20"/>
          <w:szCs w:val="20"/>
        </w:rPr>
        <w:t>- Hiszpania                                  </w:t>
      </w:r>
      <w:r>
        <w:rPr>
          <w:rFonts w:cs="Arial"/>
          <w:color w:val="000000"/>
          <w:sz w:val="20"/>
          <w:szCs w:val="20"/>
        </w:rPr>
        <w:tab/>
        <w:t> 1,941 egzemplarzy</w:t>
      </w:r>
    </w:p>
    <w:p w:rsidR="00B61300" w:rsidRDefault="00744889">
      <w:pPr>
        <w:numPr>
          <w:ilvl w:val="0"/>
          <w:numId w:val="1"/>
        </w:numPr>
      </w:pPr>
      <w:r>
        <w:rPr>
          <w:rFonts w:cs="Arial"/>
          <w:color w:val="000000"/>
          <w:sz w:val="20"/>
          <w:szCs w:val="20"/>
        </w:rPr>
        <w:t xml:space="preserve">- Szwajcaria                        </w:t>
      </w:r>
      <w:r>
        <w:rPr>
          <w:rFonts w:cs="Arial"/>
          <w:color w:val="000000"/>
          <w:sz w:val="20"/>
          <w:szCs w:val="20"/>
        </w:rPr>
        <w:tab/>
        <w:t xml:space="preserve">  </w:t>
      </w:r>
      <w:r>
        <w:rPr>
          <w:rFonts w:cs="Arial"/>
          <w:color w:val="000000"/>
          <w:sz w:val="20"/>
          <w:szCs w:val="20"/>
        </w:rPr>
        <w:tab/>
        <w:t xml:space="preserve"> 1,321 egzemplarzy</w:t>
      </w:r>
    </w:p>
    <w:p w:rsidR="00B61300" w:rsidRDefault="00744889">
      <w:pPr>
        <w:numPr>
          <w:ilvl w:val="0"/>
          <w:numId w:val="1"/>
        </w:numPr>
      </w:pPr>
      <w:r>
        <w:rPr>
          <w:rFonts w:cs="Arial"/>
          <w:color w:val="000000"/>
          <w:sz w:val="20"/>
          <w:szCs w:val="20"/>
        </w:rPr>
        <w:t xml:space="preserve">- Portugalia                               </w:t>
      </w:r>
      <w:r>
        <w:rPr>
          <w:rFonts w:cs="Arial"/>
          <w:color w:val="000000"/>
          <w:sz w:val="20"/>
          <w:szCs w:val="20"/>
        </w:rPr>
        <w:tab/>
        <w:t xml:space="preserve"> 795 egzemplarzy</w:t>
      </w:r>
    </w:p>
    <w:p w:rsidR="00B61300" w:rsidRDefault="00744889">
      <w:pPr>
        <w:numPr>
          <w:ilvl w:val="0"/>
          <w:numId w:val="1"/>
        </w:numPr>
      </w:pPr>
      <w:r>
        <w:rPr>
          <w:rFonts w:cs="Arial"/>
          <w:color w:val="000000"/>
          <w:sz w:val="20"/>
          <w:szCs w:val="20"/>
        </w:rPr>
        <w:t xml:space="preserve">- Belgia                                </w:t>
      </w:r>
      <w:r>
        <w:rPr>
          <w:rFonts w:cs="Arial"/>
          <w:color w:val="000000"/>
          <w:sz w:val="20"/>
          <w:szCs w:val="20"/>
        </w:rPr>
        <w:tab/>
        <w:t xml:space="preserve">    </w:t>
      </w:r>
      <w:r>
        <w:rPr>
          <w:rFonts w:cs="Arial"/>
          <w:color w:val="000000"/>
          <w:sz w:val="20"/>
          <w:szCs w:val="20"/>
        </w:rPr>
        <w:tab/>
        <w:t xml:space="preserve"> 725 egzemplarzy</w:t>
      </w:r>
    </w:p>
    <w:p w:rsidR="00B61300" w:rsidRDefault="00B61300"/>
    <w:p w:rsidR="00B61300" w:rsidRDefault="00B61300"/>
    <w:p w:rsidR="00B61300" w:rsidRDefault="00B61300">
      <w:pPr>
        <w:jc w:val="right"/>
      </w:pPr>
    </w:p>
    <w:p w:rsidR="00B61300" w:rsidRDefault="00744889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***</w:t>
      </w:r>
    </w:p>
    <w:p w:rsidR="00B61300" w:rsidRDefault="00B61300">
      <w:pPr>
        <w:rPr>
          <w:rFonts w:ascii="Arial" w:hAnsi="Arial" w:cs="Arial"/>
          <w:b/>
          <w:color w:val="000000"/>
          <w:sz w:val="32"/>
          <w:szCs w:val="32"/>
        </w:rPr>
      </w:pPr>
    </w:p>
    <w:p w:rsidR="00B61300" w:rsidRDefault="00B61300"/>
    <w:p w:rsidR="00B61300" w:rsidRDefault="00B61300"/>
    <w:sectPr w:rsidR="00B61300" w:rsidSect="00B61300">
      <w:headerReference w:type="first" r:id="rId8"/>
      <w:pgSz w:w="11906" w:h="16838"/>
      <w:pgMar w:top="1531" w:right="1417" w:bottom="1417" w:left="1417" w:header="147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80" w:rsidRDefault="00A77D80" w:rsidP="00B61300">
      <w:r>
        <w:separator/>
      </w:r>
    </w:p>
  </w:endnote>
  <w:endnote w:type="continuationSeparator" w:id="0">
    <w:p w:rsidR="00A77D80" w:rsidRDefault="00A77D80" w:rsidP="00B6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80" w:rsidRDefault="00A77D80" w:rsidP="00B61300">
      <w:r>
        <w:separator/>
      </w:r>
    </w:p>
  </w:footnote>
  <w:footnote w:type="continuationSeparator" w:id="0">
    <w:p w:rsidR="00A77D80" w:rsidRDefault="00A77D80" w:rsidP="00B61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00" w:rsidRDefault="004E0BA0">
    <w:pPr>
      <w:pStyle w:val="Header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-686435</wp:posOffset>
          </wp:positionV>
          <wp:extent cx="7549515" cy="925195"/>
          <wp:effectExtent l="1905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7855"/>
    <w:multiLevelType w:val="multilevel"/>
    <w:tmpl w:val="687A6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763C18"/>
    <w:multiLevelType w:val="multilevel"/>
    <w:tmpl w:val="EE9EA816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300"/>
    <w:rsid w:val="00016EE8"/>
    <w:rsid w:val="001842CB"/>
    <w:rsid w:val="001E6754"/>
    <w:rsid w:val="00234B26"/>
    <w:rsid w:val="004E0BA0"/>
    <w:rsid w:val="00744889"/>
    <w:rsid w:val="0097635F"/>
    <w:rsid w:val="00A77D80"/>
    <w:rsid w:val="00B6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Arial Unicode MS" w:hAnsi="Century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300"/>
    <w:rPr>
      <w:rFonts w:ascii="Calibri" w:eastAsia="Calibri" w:hAnsi="Calibri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61300"/>
    <w:rPr>
      <w:rFonts w:ascii="Arial" w:hAnsi="Arial" w:cs="Arial"/>
      <w:sz w:val="20"/>
      <w:szCs w:val="20"/>
    </w:rPr>
  </w:style>
  <w:style w:type="character" w:customStyle="1" w:styleId="WW8Num1z1">
    <w:name w:val="WW8Num1z1"/>
    <w:qFormat/>
    <w:rsid w:val="00B61300"/>
  </w:style>
  <w:style w:type="character" w:customStyle="1" w:styleId="WW8Num1z2">
    <w:name w:val="WW8Num1z2"/>
    <w:qFormat/>
    <w:rsid w:val="00B61300"/>
  </w:style>
  <w:style w:type="character" w:customStyle="1" w:styleId="WW8Num1z3">
    <w:name w:val="WW8Num1z3"/>
    <w:qFormat/>
    <w:rsid w:val="00B61300"/>
  </w:style>
  <w:style w:type="character" w:customStyle="1" w:styleId="WW8Num1z4">
    <w:name w:val="WW8Num1z4"/>
    <w:qFormat/>
    <w:rsid w:val="00B61300"/>
  </w:style>
  <w:style w:type="character" w:customStyle="1" w:styleId="WW8Num1z5">
    <w:name w:val="WW8Num1z5"/>
    <w:qFormat/>
    <w:rsid w:val="00B61300"/>
  </w:style>
  <w:style w:type="character" w:customStyle="1" w:styleId="WW8Num1z6">
    <w:name w:val="WW8Num1z6"/>
    <w:qFormat/>
    <w:rsid w:val="00B61300"/>
  </w:style>
  <w:style w:type="character" w:customStyle="1" w:styleId="WW8Num1z7">
    <w:name w:val="WW8Num1z7"/>
    <w:qFormat/>
    <w:rsid w:val="00B61300"/>
  </w:style>
  <w:style w:type="character" w:customStyle="1" w:styleId="WW8Num1z8">
    <w:name w:val="WW8Num1z8"/>
    <w:qFormat/>
    <w:rsid w:val="00B61300"/>
  </w:style>
  <w:style w:type="character" w:customStyle="1" w:styleId="WW8Num2z0">
    <w:name w:val="WW8Num2z0"/>
    <w:qFormat/>
    <w:rsid w:val="00B61300"/>
    <w:rPr>
      <w:rFonts w:ascii="Arial" w:eastAsia="Calibri" w:hAnsi="Arial" w:cs="Arial"/>
      <w:color w:val="000000"/>
      <w:sz w:val="20"/>
      <w:szCs w:val="20"/>
    </w:rPr>
  </w:style>
  <w:style w:type="character" w:customStyle="1" w:styleId="WW8Num2z1">
    <w:name w:val="WW8Num2z1"/>
    <w:qFormat/>
    <w:rsid w:val="00B61300"/>
    <w:rPr>
      <w:rFonts w:ascii="Courier New" w:hAnsi="Courier New" w:cs="Courier New"/>
    </w:rPr>
  </w:style>
  <w:style w:type="character" w:customStyle="1" w:styleId="WW8Num2z2">
    <w:name w:val="WW8Num2z2"/>
    <w:qFormat/>
    <w:rsid w:val="00B61300"/>
    <w:rPr>
      <w:rFonts w:ascii="Wingdings" w:hAnsi="Wingdings" w:cs="Wingdings"/>
    </w:rPr>
  </w:style>
  <w:style w:type="character" w:customStyle="1" w:styleId="WW8Num2z3">
    <w:name w:val="WW8Num2z3"/>
    <w:qFormat/>
    <w:rsid w:val="00B61300"/>
    <w:rPr>
      <w:rFonts w:ascii="Symbol" w:hAnsi="Symbol" w:cs="Symbol"/>
    </w:rPr>
  </w:style>
  <w:style w:type="character" w:customStyle="1" w:styleId="HeaderChar">
    <w:name w:val="Header Char"/>
    <w:basedOn w:val="Domylnaczcionkaakapitu"/>
    <w:qFormat/>
    <w:rsid w:val="00B61300"/>
  </w:style>
  <w:style w:type="character" w:customStyle="1" w:styleId="FooterChar">
    <w:name w:val="Footer Char"/>
    <w:basedOn w:val="Domylnaczcionkaakapitu"/>
    <w:qFormat/>
    <w:rsid w:val="00B61300"/>
  </w:style>
  <w:style w:type="character" w:customStyle="1" w:styleId="InternetLink">
    <w:name w:val="Internet Link"/>
    <w:basedOn w:val="Domylnaczcionkaakapitu"/>
    <w:rsid w:val="00B61300"/>
    <w:rPr>
      <w:color w:val="0000FF"/>
      <w:u w:val="single"/>
    </w:rPr>
  </w:style>
  <w:style w:type="character" w:customStyle="1" w:styleId="ListLabel1">
    <w:name w:val="ListLabel 1"/>
    <w:qFormat/>
    <w:rsid w:val="00B61300"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sid w:val="00B61300"/>
    <w:rPr>
      <w:rFonts w:ascii="Arial" w:hAnsi="Arial" w:cs="Arial"/>
      <w:b/>
      <w:color w:val="000000"/>
      <w:sz w:val="20"/>
      <w:szCs w:val="20"/>
    </w:rPr>
  </w:style>
  <w:style w:type="paragraph" w:customStyle="1" w:styleId="Heading">
    <w:name w:val="Heading"/>
    <w:basedOn w:val="Normalny"/>
    <w:next w:val="TextBody"/>
    <w:qFormat/>
    <w:rsid w:val="00B6130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rsid w:val="00B61300"/>
    <w:pPr>
      <w:spacing w:after="140" w:line="288" w:lineRule="auto"/>
    </w:pPr>
  </w:style>
  <w:style w:type="paragraph" w:styleId="Lista">
    <w:name w:val="List"/>
    <w:basedOn w:val="TextBody"/>
    <w:rsid w:val="00B61300"/>
    <w:rPr>
      <w:rFonts w:ascii="Century" w:hAnsi="Century"/>
    </w:rPr>
  </w:style>
  <w:style w:type="paragraph" w:customStyle="1" w:styleId="Caption">
    <w:name w:val="Caption"/>
    <w:basedOn w:val="Normalny"/>
    <w:qFormat/>
    <w:rsid w:val="00B61300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x">
    <w:name w:val="Index"/>
    <w:basedOn w:val="Normalny"/>
    <w:qFormat/>
    <w:rsid w:val="00B61300"/>
    <w:pPr>
      <w:suppressLineNumbers/>
    </w:pPr>
    <w:rPr>
      <w:rFonts w:ascii="Century" w:hAnsi="Century"/>
    </w:rPr>
  </w:style>
  <w:style w:type="paragraph" w:customStyle="1" w:styleId="Header">
    <w:name w:val="Header"/>
    <w:basedOn w:val="Normalny"/>
    <w:rsid w:val="00B6130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B6130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61300"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B61300"/>
    <w:pPr>
      <w:spacing w:before="280" w:after="280"/>
    </w:pPr>
    <w:rPr>
      <w:rFonts w:ascii="Times New Roman" w:hAnsi="Times New Roman"/>
    </w:rPr>
  </w:style>
  <w:style w:type="paragraph" w:customStyle="1" w:styleId="xmsonormal">
    <w:name w:val="x_msonormal"/>
    <w:basedOn w:val="Normalny"/>
    <w:qFormat/>
    <w:rsid w:val="00B61300"/>
    <w:pPr>
      <w:suppressAutoHyphens/>
    </w:pPr>
    <w:rPr>
      <w:rFonts w:ascii="Times New Roman" w:eastAsia="SimSun;宋体" w:hAnsi="Times New Roman"/>
      <w:color w:val="000000"/>
    </w:rPr>
  </w:style>
  <w:style w:type="numbering" w:customStyle="1" w:styleId="WW8Num1">
    <w:name w:val="WW8Num1"/>
    <w:rsid w:val="00B61300"/>
  </w:style>
  <w:style w:type="numbering" w:customStyle="1" w:styleId="WW8Num2">
    <w:name w:val="WW8Num2"/>
    <w:rsid w:val="00B61300"/>
  </w:style>
  <w:style w:type="numbering" w:customStyle="1" w:styleId="WW8Num3">
    <w:name w:val="WW8Num3"/>
    <w:rsid w:val="00B61300"/>
  </w:style>
  <w:style w:type="paragraph" w:styleId="Tekstdymka">
    <w:name w:val="Balloon Text"/>
    <w:basedOn w:val="Normalny"/>
    <w:link w:val="TekstdymkaZnak"/>
    <w:uiPriority w:val="99"/>
    <w:semiHidden/>
    <w:unhideWhenUsed/>
    <w:rsid w:val="001E6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754"/>
    <w:rPr>
      <w:rFonts w:ascii="Tahoma" w:eastAsia="Calibri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klisowska</cp:lastModifiedBy>
  <cp:revision>2</cp:revision>
  <cp:lastPrinted>2018-02-19T12:34:00Z</cp:lastPrinted>
  <dcterms:created xsi:type="dcterms:W3CDTF">2018-02-26T12:48:00Z</dcterms:created>
  <dcterms:modified xsi:type="dcterms:W3CDTF">2018-02-26T12:48:00Z</dcterms:modified>
  <dc:language>pl-PL</dc:language>
</cp:coreProperties>
</file>