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AEB67" w14:textId="77777777" w:rsidR="003E158E" w:rsidRPr="00F40951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color w:val="000000"/>
          <w:szCs w:val="22"/>
        </w:rPr>
      </w:pPr>
      <w:r w:rsidRPr="00F40951">
        <w:rPr>
          <w:rFonts w:ascii="StoneSansPl" w:hAnsi="StoneSansPl" w:cs="Arial"/>
          <w:bCs/>
          <w:color w:val="000000"/>
          <w:szCs w:val="22"/>
        </w:rPr>
        <w:t>Informacja prasowa</w:t>
      </w:r>
    </w:p>
    <w:p w14:paraId="57A58A36" w14:textId="65D221E3" w:rsidR="003E158E" w:rsidRPr="00F40951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Cs w:val="22"/>
        </w:rPr>
      </w:pPr>
      <w:r w:rsidRPr="00F40951">
        <w:rPr>
          <w:rFonts w:ascii="StoneSansPl" w:hAnsi="StoneSansPl" w:cs="Arial"/>
          <w:bCs/>
          <w:color w:val="000000"/>
          <w:szCs w:val="22"/>
        </w:rPr>
        <w:t xml:space="preserve">  Warszawa, </w:t>
      </w:r>
      <w:r w:rsidR="003E54F3">
        <w:rPr>
          <w:rFonts w:ascii="StoneSansPl" w:hAnsi="StoneSansPl" w:cs="Arial"/>
          <w:bCs/>
          <w:color w:val="000000"/>
          <w:szCs w:val="22"/>
        </w:rPr>
        <w:t>21</w:t>
      </w:r>
      <w:r w:rsidR="0022526C">
        <w:rPr>
          <w:rFonts w:ascii="StoneSansPl" w:hAnsi="StoneSansPl" w:cs="Arial"/>
          <w:bCs/>
          <w:color w:val="000000"/>
          <w:szCs w:val="22"/>
        </w:rPr>
        <w:t xml:space="preserve"> </w:t>
      </w:r>
      <w:r w:rsidR="00475F17">
        <w:rPr>
          <w:rFonts w:ascii="StoneSansPl" w:hAnsi="StoneSansPl" w:cs="Arial"/>
          <w:bCs/>
          <w:color w:val="000000"/>
          <w:szCs w:val="22"/>
        </w:rPr>
        <w:t>marca</w:t>
      </w:r>
      <w:r w:rsidR="0022526C">
        <w:rPr>
          <w:rFonts w:ascii="StoneSansPl" w:hAnsi="StoneSansPl" w:cs="Arial"/>
          <w:bCs/>
          <w:color w:val="000000"/>
          <w:szCs w:val="22"/>
        </w:rPr>
        <w:t xml:space="preserve"> </w:t>
      </w:r>
      <w:r w:rsidR="00475F17">
        <w:rPr>
          <w:rFonts w:ascii="StoneSansPl" w:hAnsi="StoneSansPl" w:cs="Arial"/>
          <w:bCs/>
          <w:color w:val="000000"/>
          <w:szCs w:val="22"/>
        </w:rPr>
        <w:t>2018</w:t>
      </w:r>
      <w:r w:rsidRPr="00F40951">
        <w:rPr>
          <w:rFonts w:ascii="StoneSansPl" w:hAnsi="StoneSansPl" w:cs="Arial"/>
          <w:bCs/>
          <w:szCs w:val="22"/>
        </w:rPr>
        <w:t xml:space="preserve"> r.</w:t>
      </w:r>
    </w:p>
    <w:p w14:paraId="04B41183" w14:textId="77777777" w:rsidR="003E158E" w:rsidRPr="00F40951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Cs w:val="22"/>
        </w:rPr>
      </w:pPr>
    </w:p>
    <w:p w14:paraId="2EB015E3" w14:textId="77777777" w:rsidR="00416099" w:rsidRDefault="00416099" w:rsidP="0070435E">
      <w:pPr>
        <w:spacing w:line="276" w:lineRule="auto"/>
        <w:jc w:val="both"/>
        <w:rPr>
          <w:rFonts w:ascii="StoneSansPl" w:hAnsi="StoneSansPl" w:cs="Arial"/>
          <w:b/>
          <w:sz w:val="32"/>
          <w:szCs w:val="22"/>
        </w:rPr>
      </w:pPr>
    </w:p>
    <w:p w14:paraId="13B97395" w14:textId="63DC39FB" w:rsidR="003E158E" w:rsidRPr="006D35DA" w:rsidRDefault="00D44E13" w:rsidP="0070435E">
      <w:pPr>
        <w:spacing w:line="276" w:lineRule="auto"/>
        <w:jc w:val="both"/>
        <w:rPr>
          <w:rFonts w:ascii="StoneSansPl" w:hAnsi="StoneSansPl" w:cs="Arial"/>
          <w:b/>
          <w:sz w:val="32"/>
          <w:szCs w:val="22"/>
        </w:rPr>
      </w:pPr>
      <w:r w:rsidRPr="006D35DA">
        <w:rPr>
          <w:rFonts w:ascii="StoneSansPl" w:hAnsi="StoneSansPl" w:cs="Arial"/>
          <w:b/>
          <w:sz w:val="32"/>
          <w:szCs w:val="22"/>
        </w:rPr>
        <w:t>UNIQA Polska: podwojenie zysku w 2017 roku</w:t>
      </w:r>
    </w:p>
    <w:p w14:paraId="4C93DF9D" w14:textId="3444823A" w:rsidR="007D01B4" w:rsidRPr="006D35DA" w:rsidRDefault="007D01B4" w:rsidP="003E158E">
      <w:pPr>
        <w:spacing w:line="276" w:lineRule="auto"/>
        <w:jc w:val="both"/>
        <w:rPr>
          <w:rFonts w:ascii="StoneSansPl" w:hAnsi="StoneSansPl" w:cs="Arial"/>
          <w:b/>
          <w:szCs w:val="22"/>
        </w:rPr>
      </w:pPr>
    </w:p>
    <w:p w14:paraId="4344BFF7" w14:textId="77777777" w:rsidR="00416099" w:rsidRPr="006D35DA" w:rsidRDefault="00416099" w:rsidP="003E158E">
      <w:pPr>
        <w:spacing w:line="276" w:lineRule="auto"/>
        <w:jc w:val="both"/>
        <w:rPr>
          <w:rFonts w:ascii="StoneSansPl" w:hAnsi="StoneSansPl" w:cs="Arial"/>
          <w:b/>
          <w:szCs w:val="22"/>
        </w:rPr>
      </w:pPr>
    </w:p>
    <w:p w14:paraId="5FF6649F" w14:textId="01752D39" w:rsidR="00711E68" w:rsidRPr="006D35DA" w:rsidRDefault="00374423" w:rsidP="007B715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StoneSansPl" w:hAnsi="StoneSansPl" w:cs="Arial"/>
          <w:b/>
          <w:color w:val="000000"/>
          <w:sz w:val="28"/>
          <w:szCs w:val="28"/>
        </w:rPr>
      </w:pPr>
      <w:r w:rsidRPr="006D35DA">
        <w:rPr>
          <w:rFonts w:ascii="StoneSansPl" w:hAnsi="StoneSansPl"/>
          <w:b/>
          <w:sz w:val="28"/>
          <w:szCs w:val="28"/>
        </w:rPr>
        <w:t>Spółk</w:t>
      </w:r>
      <w:r w:rsidR="000C61C3" w:rsidRPr="006D35DA">
        <w:rPr>
          <w:rFonts w:ascii="StoneSansPl" w:hAnsi="StoneSansPl"/>
          <w:b/>
          <w:sz w:val="28"/>
          <w:szCs w:val="28"/>
        </w:rPr>
        <w:t>a majątkowa UNIQA w Polsce podwoiła</w:t>
      </w:r>
      <w:r w:rsidRPr="006D35DA">
        <w:rPr>
          <w:rFonts w:ascii="StoneSansPl" w:hAnsi="StoneSansPl"/>
          <w:b/>
          <w:sz w:val="28"/>
          <w:szCs w:val="28"/>
        </w:rPr>
        <w:t xml:space="preserve"> </w:t>
      </w:r>
      <w:r w:rsidR="002D3101" w:rsidRPr="006D35DA">
        <w:rPr>
          <w:rFonts w:ascii="StoneSansPl" w:hAnsi="StoneSansPl"/>
          <w:b/>
          <w:sz w:val="28"/>
          <w:szCs w:val="28"/>
        </w:rPr>
        <w:t>wynik finansowy</w:t>
      </w:r>
      <w:r w:rsidRPr="006D35DA">
        <w:rPr>
          <w:rFonts w:ascii="StoneSansPl" w:hAnsi="StoneSansPl"/>
          <w:b/>
          <w:sz w:val="28"/>
          <w:szCs w:val="28"/>
        </w:rPr>
        <w:t xml:space="preserve"> </w:t>
      </w:r>
    </w:p>
    <w:p w14:paraId="42792AAF" w14:textId="433CDE3A" w:rsidR="00733DB3" w:rsidRPr="006D35DA" w:rsidRDefault="00733DB3" w:rsidP="00733DB3">
      <w:pPr>
        <w:pStyle w:val="Tekstkomentarza"/>
        <w:numPr>
          <w:ilvl w:val="0"/>
          <w:numId w:val="6"/>
        </w:numPr>
        <w:rPr>
          <w:rFonts w:ascii="StoneSansPl" w:eastAsiaTheme="minorHAnsi" w:hAnsi="StoneSansPl" w:cs="Calibri"/>
          <w:b/>
          <w:sz w:val="28"/>
          <w:szCs w:val="28"/>
          <w:lang w:eastAsia="en-US"/>
        </w:rPr>
      </w:pPr>
      <w:r w:rsidRPr="006D35DA">
        <w:rPr>
          <w:rFonts w:ascii="StoneSansPl" w:eastAsiaTheme="minorHAnsi" w:hAnsi="StoneSansPl" w:cs="Calibri"/>
          <w:b/>
          <w:sz w:val="28"/>
          <w:szCs w:val="28"/>
          <w:lang w:eastAsia="en-US"/>
        </w:rPr>
        <w:t xml:space="preserve">Towarzystwo </w:t>
      </w:r>
      <w:r w:rsidR="00D44E13" w:rsidRPr="006D35DA">
        <w:rPr>
          <w:rFonts w:ascii="StoneSansPl" w:eastAsiaTheme="minorHAnsi" w:hAnsi="StoneSansPl" w:cs="Calibri"/>
          <w:b/>
          <w:sz w:val="28"/>
          <w:szCs w:val="28"/>
          <w:lang w:eastAsia="en-US"/>
        </w:rPr>
        <w:t xml:space="preserve">majątkowe UNIQA w Polsce </w:t>
      </w:r>
      <w:r w:rsidRPr="006D35DA">
        <w:rPr>
          <w:rFonts w:ascii="StoneSansPl" w:eastAsiaTheme="minorHAnsi" w:hAnsi="StoneSansPl" w:cs="Calibri"/>
          <w:b/>
          <w:sz w:val="28"/>
          <w:szCs w:val="28"/>
          <w:lang w:eastAsia="en-US"/>
        </w:rPr>
        <w:t>odnotowało znaczącą poprawę wyniku technicznego, w pełni odrabiając straty z roku 2016</w:t>
      </w:r>
    </w:p>
    <w:p w14:paraId="48E57AA8" w14:textId="11263E66" w:rsidR="00C87B1F" w:rsidRPr="006D35DA" w:rsidRDefault="000C61C3" w:rsidP="007B715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StoneSansPl" w:hAnsi="StoneSansPl" w:cs="Arial"/>
          <w:b/>
          <w:color w:val="000000"/>
          <w:sz w:val="28"/>
          <w:szCs w:val="28"/>
        </w:rPr>
      </w:pPr>
      <w:r w:rsidRPr="006D35DA">
        <w:rPr>
          <w:rFonts w:ascii="StoneSansPl" w:hAnsi="StoneSansPl"/>
          <w:b/>
          <w:sz w:val="28"/>
          <w:szCs w:val="28"/>
        </w:rPr>
        <w:t>Przypis składki wyniósł 1,12 mld zł, o 0,7 proc. więcej niż rok wcześniej</w:t>
      </w:r>
    </w:p>
    <w:p w14:paraId="0334950B" w14:textId="3CEFC671" w:rsidR="00D44E13" w:rsidRPr="006D35DA" w:rsidRDefault="00D44E13" w:rsidP="007B715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StoneSansPl" w:hAnsi="StoneSansPl" w:cs="Arial"/>
          <w:b/>
          <w:color w:val="000000"/>
          <w:sz w:val="28"/>
          <w:szCs w:val="28"/>
        </w:rPr>
      </w:pPr>
      <w:r w:rsidRPr="006D35DA">
        <w:rPr>
          <w:rFonts w:ascii="StoneSansPl" w:hAnsi="StoneSansPl"/>
          <w:b/>
          <w:sz w:val="28"/>
          <w:szCs w:val="28"/>
        </w:rPr>
        <w:t>Łączny przypis składki obu spółek wyniósł 1,98 mld zł</w:t>
      </w:r>
    </w:p>
    <w:p w14:paraId="5C84DE71" w14:textId="71538324" w:rsidR="000C61C3" w:rsidRPr="006D35DA" w:rsidRDefault="000C61C3" w:rsidP="007B715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StoneSansPl" w:hAnsi="StoneSansPl" w:cs="Arial"/>
          <w:b/>
          <w:color w:val="000000"/>
          <w:sz w:val="28"/>
          <w:szCs w:val="28"/>
        </w:rPr>
      </w:pPr>
      <w:r w:rsidRPr="006D35DA">
        <w:rPr>
          <w:rFonts w:ascii="StoneSansPl" w:hAnsi="StoneSansPl"/>
          <w:b/>
          <w:sz w:val="28"/>
          <w:szCs w:val="28"/>
        </w:rPr>
        <w:t>Spółka rosła we wszystkich rentownych liniach biznesowych</w:t>
      </w:r>
    </w:p>
    <w:p w14:paraId="6046EA46" w14:textId="197CE7FB" w:rsidR="00374423" w:rsidRPr="006D35DA" w:rsidRDefault="00475F17" w:rsidP="007B715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StoneSansPl" w:hAnsi="StoneSansPl" w:cs="Arial"/>
          <w:b/>
          <w:color w:val="000000"/>
          <w:sz w:val="28"/>
          <w:szCs w:val="28"/>
        </w:rPr>
      </w:pPr>
      <w:r w:rsidRPr="006D35DA">
        <w:rPr>
          <w:rFonts w:ascii="StoneSansPl" w:hAnsi="StoneSansPl" w:cs="Arial"/>
          <w:b/>
          <w:color w:val="000000"/>
          <w:sz w:val="28"/>
          <w:szCs w:val="28"/>
        </w:rPr>
        <w:t xml:space="preserve">UNIQA w Polsce trzeci rok z rzędu otrzymała tytuł Instytucji Roku. </w:t>
      </w:r>
    </w:p>
    <w:p w14:paraId="48F36243" w14:textId="77777777" w:rsidR="00AF7F0E" w:rsidRPr="00433910" w:rsidRDefault="00AF7F0E" w:rsidP="0060164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Cs w:val="22"/>
        </w:rPr>
      </w:pPr>
    </w:p>
    <w:p w14:paraId="7BD2781A" w14:textId="07DCF000" w:rsidR="002D3101" w:rsidRDefault="002D3101" w:rsidP="00892061">
      <w:pPr>
        <w:spacing w:line="276" w:lineRule="auto"/>
        <w:contextualSpacing/>
        <w:jc w:val="both"/>
        <w:rPr>
          <w:rFonts w:ascii="StoneSansPl" w:hAnsi="StoneSansPl"/>
          <w:b/>
          <w:sz w:val="24"/>
        </w:rPr>
      </w:pPr>
      <w:r>
        <w:rPr>
          <w:rFonts w:ascii="StoneSansPl" w:hAnsi="StoneSansPl"/>
          <w:b/>
          <w:sz w:val="24"/>
        </w:rPr>
        <w:t xml:space="preserve">Majątkowe towarzystwo ubezpieczeń UNIQA </w:t>
      </w:r>
      <w:r w:rsidR="00EF12C0">
        <w:rPr>
          <w:rFonts w:ascii="StoneSansPl" w:hAnsi="StoneSansPl"/>
          <w:b/>
          <w:sz w:val="24"/>
        </w:rPr>
        <w:t xml:space="preserve">osiągnęło </w:t>
      </w:r>
      <w:r w:rsidR="0022046F">
        <w:rPr>
          <w:rFonts w:ascii="StoneSansPl" w:hAnsi="StoneSansPl"/>
          <w:b/>
          <w:sz w:val="24"/>
        </w:rPr>
        <w:t xml:space="preserve">w 2017 roku </w:t>
      </w:r>
      <w:r w:rsidR="00EF12C0">
        <w:rPr>
          <w:rFonts w:ascii="StoneSansPl" w:hAnsi="StoneSansPl"/>
          <w:b/>
          <w:sz w:val="24"/>
        </w:rPr>
        <w:t>przypis składki na poziomie</w:t>
      </w:r>
      <w:r>
        <w:rPr>
          <w:rFonts w:ascii="StoneSansPl" w:hAnsi="StoneSansPl"/>
          <w:b/>
          <w:sz w:val="24"/>
        </w:rPr>
        <w:t xml:space="preserve"> 1,12 mld zł</w:t>
      </w:r>
      <w:r w:rsidR="00733DB3">
        <w:rPr>
          <w:rFonts w:ascii="StoneSansPl" w:hAnsi="StoneSansPl"/>
          <w:b/>
          <w:sz w:val="24"/>
        </w:rPr>
        <w:t xml:space="preserve">, </w:t>
      </w:r>
      <w:r w:rsidR="00733DB3" w:rsidRPr="00733DB3">
        <w:rPr>
          <w:rFonts w:ascii="StoneSansPl" w:hAnsi="StoneSansPl"/>
          <w:b/>
          <w:sz w:val="24"/>
        </w:rPr>
        <w:t xml:space="preserve">świadczący o zrównoważonym wzroście </w:t>
      </w:r>
      <w:r w:rsidR="00733DB3">
        <w:rPr>
          <w:rFonts w:ascii="StoneSansPl" w:hAnsi="StoneSansPl"/>
          <w:b/>
          <w:sz w:val="24"/>
        </w:rPr>
        <w:t>w ostatnich latach.</w:t>
      </w:r>
      <w:r w:rsidR="004A00EA">
        <w:rPr>
          <w:rFonts w:ascii="StoneSansPl" w:hAnsi="StoneSansPl"/>
          <w:b/>
          <w:sz w:val="24"/>
        </w:rPr>
        <w:t xml:space="preserve"> </w:t>
      </w:r>
      <w:r>
        <w:rPr>
          <w:rFonts w:ascii="StoneSansPl" w:hAnsi="StoneSansPl"/>
          <w:b/>
          <w:sz w:val="24"/>
        </w:rPr>
        <w:t xml:space="preserve"> Łącznie </w:t>
      </w:r>
      <w:r w:rsidR="005C671E">
        <w:rPr>
          <w:rFonts w:ascii="StoneSansPl" w:hAnsi="StoneSansPl"/>
          <w:b/>
          <w:sz w:val="24"/>
        </w:rPr>
        <w:t xml:space="preserve">zaś </w:t>
      </w:r>
      <w:r>
        <w:rPr>
          <w:rFonts w:ascii="StoneSansPl" w:hAnsi="StoneSansPl"/>
          <w:b/>
          <w:sz w:val="24"/>
        </w:rPr>
        <w:t xml:space="preserve">obie spółki – majątkowa i życiowa </w:t>
      </w:r>
      <w:r w:rsidR="00EF12C0">
        <w:rPr>
          <w:rFonts w:ascii="StoneSansPl" w:hAnsi="StoneSansPl"/>
          <w:b/>
          <w:sz w:val="24"/>
        </w:rPr>
        <w:t>–</w:t>
      </w:r>
      <w:r>
        <w:rPr>
          <w:rFonts w:ascii="StoneSansPl" w:hAnsi="StoneSansPl"/>
          <w:b/>
          <w:sz w:val="24"/>
        </w:rPr>
        <w:t xml:space="preserve"> </w:t>
      </w:r>
      <w:r w:rsidR="005C671E">
        <w:rPr>
          <w:rFonts w:ascii="StoneSansPl" w:hAnsi="StoneSansPl"/>
          <w:b/>
          <w:sz w:val="24"/>
        </w:rPr>
        <w:t>osiągnęły</w:t>
      </w:r>
      <w:r w:rsidR="00EF12C0">
        <w:rPr>
          <w:rFonts w:ascii="StoneSansPl" w:hAnsi="StoneSansPl"/>
          <w:b/>
          <w:sz w:val="24"/>
        </w:rPr>
        <w:t xml:space="preserve"> sprzedaż na poziomie 1,86 mld zł. Szybciej niż przypis składki rósł zysk spółek ubezpieczeniowych. Wynik brutto liczony według międzynarodowych standardów rachunkowoś</w:t>
      </w:r>
      <w:bookmarkStart w:id="0" w:name="_GoBack"/>
      <w:bookmarkEnd w:id="0"/>
      <w:r w:rsidR="00EF12C0">
        <w:rPr>
          <w:rFonts w:ascii="StoneSansPl" w:hAnsi="StoneSansPl"/>
          <w:b/>
          <w:sz w:val="24"/>
        </w:rPr>
        <w:t xml:space="preserve">ci wyniósł 53,09 mln zł, wobec </w:t>
      </w:r>
      <w:r w:rsidR="00B36B8B">
        <w:rPr>
          <w:rFonts w:ascii="StoneSansPl" w:hAnsi="StoneSansPl"/>
          <w:b/>
          <w:sz w:val="24"/>
        </w:rPr>
        <w:t>26,66 mln zł w 2016 roku.</w:t>
      </w:r>
      <w:r w:rsidR="000E0D8B">
        <w:rPr>
          <w:rFonts w:ascii="StoneSansPl" w:hAnsi="StoneSansPl"/>
          <w:b/>
          <w:sz w:val="24"/>
        </w:rPr>
        <w:t xml:space="preserve"> Wartość wypłaconych odszkodowań i świadczeń przez obie spółki wyniosła z 1,1 mld zł (wzrost o 29 proc.). </w:t>
      </w:r>
    </w:p>
    <w:p w14:paraId="765412D3" w14:textId="77777777" w:rsidR="00B42721" w:rsidRPr="00030C27" w:rsidRDefault="00B42721" w:rsidP="00892061">
      <w:pPr>
        <w:spacing w:line="276" w:lineRule="auto"/>
        <w:contextualSpacing/>
        <w:jc w:val="both"/>
        <w:rPr>
          <w:rFonts w:ascii="StoneSansPl" w:hAnsi="StoneSansPl" w:cs="Arial"/>
        </w:rPr>
      </w:pPr>
    </w:p>
    <w:p w14:paraId="6E384AAA" w14:textId="2FD6F8D9" w:rsidR="00B93C2F" w:rsidRDefault="00B42721" w:rsidP="00892061">
      <w:pPr>
        <w:spacing w:line="276" w:lineRule="auto"/>
        <w:contextualSpacing/>
        <w:jc w:val="both"/>
        <w:rPr>
          <w:rFonts w:ascii="StoneSansPl" w:hAnsi="StoneSansPl" w:cs="Arial"/>
          <w:i/>
        </w:rPr>
      </w:pPr>
      <w:r w:rsidRPr="00804190">
        <w:rPr>
          <w:rFonts w:ascii="StoneSansPl" w:hAnsi="StoneSansPl" w:cs="Arial"/>
          <w:i/>
        </w:rPr>
        <w:t xml:space="preserve">- Największym wydarzeniem 2017 roku </w:t>
      </w:r>
      <w:r w:rsidR="007C104D" w:rsidRPr="00804190">
        <w:rPr>
          <w:rFonts w:ascii="StoneSansPl" w:hAnsi="StoneSansPl" w:cs="Arial"/>
          <w:i/>
        </w:rPr>
        <w:t xml:space="preserve">na rynku </w:t>
      </w:r>
      <w:r w:rsidRPr="00804190">
        <w:rPr>
          <w:rFonts w:ascii="StoneSansPl" w:hAnsi="StoneSansPl" w:cs="Arial"/>
          <w:i/>
        </w:rPr>
        <w:t xml:space="preserve">była niewątpliwie stabilizacja </w:t>
      </w:r>
      <w:r w:rsidR="007C104D" w:rsidRPr="00804190">
        <w:rPr>
          <w:rFonts w:ascii="StoneSansPl" w:hAnsi="StoneSansPl" w:cs="Arial"/>
          <w:i/>
        </w:rPr>
        <w:t xml:space="preserve">cen </w:t>
      </w:r>
      <w:r w:rsidRPr="00804190">
        <w:rPr>
          <w:rFonts w:ascii="StoneSansPl" w:hAnsi="StoneSansPl" w:cs="Arial"/>
          <w:i/>
        </w:rPr>
        <w:t>ubezpieczeń komunikacyjnych. Po raz pierwszy od wielu lat branża zaczęła zarabiać na ubezpieczeniach komunikacyjnych. Po kilku latach wyczerpującej wojny cenowej miało to ogromne znaczeni</w:t>
      </w:r>
      <w:r w:rsidR="0022046F">
        <w:rPr>
          <w:rFonts w:ascii="StoneSansPl" w:hAnsi="StoneSansPl" w:cs="Arial"/>
          <w:i/>
        </w:rPr>
        <w:t>e</w:t>
      </w:r>
      <w:r w:rsidRPr="00804190">
        <w:rPr>
          <w:rFonts w:ascii="StoneSansPl" w:hAnsi="StoneSansPl" w:cs="Arial"/>
          <w:i/>
        </w:rPr>
        <w:t xml:space="preserve"> dla stabilności całego biznesu</w:t>
      </w:r>
      <w:r w:rsidR="00FA1D84">
        <w:rPr>
          <w:rFonts w:ascii="StoneSansPl" w:hAnsi="StoneSansPl" w:cs="Arial"/>
          <w:i/>
        </w:rPr>
        <w:t xml:space="preserve"> - </w:t>
      </w:r>
      <w:r w:rsidR="00FA1D84" w:rsidRPr="00030C27">
        <w:rPr>
          <w:rFonts w:ascii="StoneSansPl" w:hAnsi="StoneSansPl" w:cs="Arial"/>
        </w:rPr>
        <w:t xml:space="preserve">komentuje </w:t>
      </w:r>
      <w:r w:rsidR="00FA1D84" w:rsidRPr="00804190">
        <w:rPr>
          <w:rFonts w:ascii="StoneSansPl" w:hAnsi="StoneSansPl" w:cs="Arial"/>
          <w:b/>
        </w:rPr>
        <w:t>Jarosław Matusiewic</w:t>
      </w:r>
      <w:r w:rsidR="00FA1D84">
        <w:rPr>
          <w:rFonts w:ascii="StoneSansPl" w:hAnsi="StoneSansPl" w:cs="Arial"/>
          <w:b/>
        </w:rPr>
        <w:t xml:space="preserve">z, prezes spółek UNIQA w Polsce. - </w:t>
      </w:r>
      <w:r w:rsidR="00FA1D84" w:rsidRPr="00804190">
        <w:rPr>
          <w:rFonts w:ascii="StoneSansPl" w:hAnsi="StoneSansPl" w:cs="Arial"/>
          <w:i/>
        </w:rPr>
        <w:t xml:space="preserve">Miniony </w:t>
      </w:r>
      <w:r w:rsidR="0022046F">
        <w:rPr>
          <w:rFonts w:ascii="StoneSansPl" w:hAnsi="StoneSansPl" w:cs="Arial"/>
          <w:i/>
        </w:rPr>
        <w:t xml:space="preserve">rok </w:t>
      </w:r>
      <w:r w:rsidR="00FA1D84">
        <w:rPr>
          <w:rFonts w:ascii="StoneSansPl" w:hAnsi="StoneSansPl" w:cs="Arial"/>
          <w:i/>
        </w:rPr>
        <w:t xml:space="preserve">pokazał także, że </w:t>
      </w:r>
      <w:r w:rsidR="00FA1D84" w:rsidRPr="00804190">
        <w:rPr>
          <w:rFonts w:ascii="StoneSansPl" w:hAnsi="StoneSansPl" w:cs="Arial"/>
          <w:i/>
        </w:rPr>
        <w:t>zdarzenia wynikające z katastrof naturalnych o masowej skali</w:t>
      </w:r>
      <w:r w:rsidR="0022046F">
        <w:rPr>
          <w:rFonts w:ascii="StoneSansPl" w:hAnsi="StoneSansPl" w:cs="Arial"/>
          <w:i/>
        </w:rPr>
        <w:t xml:space="preserve"> </w:t>
      </w:r>
      <w:r w:rsidR="00FA1D84" w:rsidRPr="00804190">
        <w:rPr>
          <w:rFonts w:ascii="StoneSansPl" w:hAnsi="StoneSansPl" w:cs="Arial"/>
          <w:i/>
        </w:rPr>
        <w:t>stały się już w Polsce cykliczne</w:t>
      </w:r>
      <w:r w:rsidR="00FA1D84">
        <w:rPr>
          <w:rFonts w:ascii="StoneSansPl" w:hAnsi="StoneSansPl" w:cs="Arial"/>
          <w:i/>
        </w:rPr>
        <w:t xml:space="preserve">. Powinno </w:t>
      </w:r>
      <w:r w:rsidR="0022046F">
        <w:rPr>
          <w:rFonts w:ascii="StoneSansPl" w:hAnsi="StoneSansPl" w:cs="Arial"/>
          <w:i/>
        </w:rPr>
        <w:t xml:space="preserve">to </w:t>
      </w:r>
      <w:r w:rsidR="00FA1D84">
        <w:rPr>
          <w:rFonts w:ascii="StoneSansPl" w:hAnsi="StoneSansPl" w:cs="Arial"/>
          <w:i/>
        </w:rPr>
        <w:t>mieć przełożenie na ceny ubezpieczeń majątkowych. A dokładnie na</w:t>
      </w:r>
      <w:r w:rsidR="00FA1D84" w:rsidRPr="00FA1D84">
        <w:rPr>
          <w:rFonts w:ascii="StoneSansPl" w:hAnsi="StoneSansPl" w:cs="Arial"/>
          <w:i/>
        </w:rPr>
        <w:t xml:space="preserve"> podwyższenie cen w tym segmencie, podobnie jak stało się po powodzi w 2010 roku. </w:t>
      </w:r>
    </w:p>
    <w:p w14:paraId="214194B0" w14:textId="77777777" w:rsidR="00FA1D84" w:rsidRPr="00FA1D84" w:rsidRDefault="00FA1D84" w:rsidP="00892061">
      <w:pPr>
        <w:spacing w:line="276" w:lineRule="auto"/>
        <w:contextualSpacing/>
        <w:jc w:val="both"/>
        <w:rPr>
          <w:rFonts w:ascii="StoneSansPl" w:hAnsi="StoneSansPl" w:cs="Arial"/>
        </w:rPr>
      </w:pPr>
    </w:p>
    <w:p w14:paraId="1991EDCF" w14:textId="6F72DCD2" w:rsidR="00FA1D84" w:rsidRDefault="00FA1D84" w:rsidP="00892061">
      <w:pPr>
        <w:spacing w:line="276" w:lineRule="auto"/>
        <w:jc w:val="both"/>
        <w:rPr>
          <w:rFonts w:ascii="StoneSansPl" w:hAnsi="StoneSansPl" w:cs="Arial"/>
        </w:rPr>
      </w:pPr>
      <w:r w:rsidRPr="00DD4389">
        <w:rPr>
          <w:rFonts w:ascii="StoneSansPl" w:hAnsi="StoneSansPl" w:cs="Arial"/>
          <w:i/>
        </w:rPr>
        <w:t>- M</w:t>
      </w:r>
      <w:r w:rsidR="00B62A9A" w:rsidRPr="00DD4389">
        <w:rPr>
          <w:rFonts w:ascii="StoneSansPl" w:hAnsi="StoneSansPl" w:cs="Arial"/>
          <w:i/>
        </w:rPr>
        <w:t>iniony rok był</w:t>
      </w:r>
      <w:r w:rsidR="00804190" w:rsidRPr="00DD4389">
        <w:rPr>
          <w:rFonts w:ascii="StoneSansPl" w:hAnsi="StoneSansPl" w:cs="Arial"/>
          <w:i/>
        </w:rPr>
        <w:t xml:space="preserve"> </w:t>
      </w:r>
      <w:r w:rsidR="00B62A9A" w:rsidRPr="00DD4389">
        <w:rPr>
          <w:rFonts w:ascii="StoneSansPl" w:hAnsi="StoneSansPl" w:cs="Arial"/>
          <w:i/>
        </w:rPr>
        <w:t xml:space="preserve">kolejnym udanym dla spółek UNIQA w Polsce </w:t>
      </w:r>
      <w:r w:rsidR="00804190" w:rsidRPr="00DD4389">
        <w:rPr>
          <w:rFonts w:ascii="StoneSansPl" w:hAnsi="StoneSansPl" w:cs="Arial"/>
          <w:i/>
        </w:rPr>
        <w:t>po</w:t>
      </w:r>
      <w:r w:rsidRPr="00DD4389">
        <w:rPr>
          <w:rFonts w:ascii="StoneSansPl" w:hAnsi="StoneSansPl" w:cs="Arial"/>
          <w:i/>
        </w:rPr>
        <w:t>d względem osiągniętych wyników</w:t>
      </w:r>
      <w:r w:rsidR="00501EB0" w:rsidRPr="00DD4389">
        <w:rPr>
          <w:rFonts w:ascii="StoneSansPl" w:hAnsi="StoneSansPl" w:cs="Arial"/>
          <w:i/>
        </w:rPr>
        <w:t xml:space="preserve"> finansowych</w:t>
      </w:r>
      <w:r w:rsidR="003068C0" w:rsidRPr="00DD4389">
        <w:rPr>
          <w:rFonts w:ascii="StoneSansPl" w:hAnsi="StoneSansPl" w:cs="Arial"/>
          <w:i/>
        </w:rPr>
        <w:t xml:space="preserve">. Wzrósł przypis składki, spadł wskaźnik kosztowy, </w:t>
      </w:r>
      <w:r w:rsidR="004A00EA" w:rsidRPr="00DD4389">
        <w:rPr>
          <w:rFonts w:ascii="StoneSansPl" w:hAnsi="StoneSansPl" w:cs="Arial"/>
          <w:i/>
        </w:rPr>
        <w:t xml:space="preserve">dwukrotnie </w:t>
      </w:r>
      <w:r w:rsidR="003068C0" w:rsidRPr="00DD4389">
        <w:rPr>
          <w:rFonts w:ascii="StoneSansPl" w:hAnsi="StoneSansPl" w:cs="Arial"/>
          <w:i/>
        </w:rPr>
        <w:t>zwiększył się zysk</w:t>
      </w:r>
      <w:r w:rsidR="00501EB0" w:rsidRPr="00DD4389">
        <w:rPr>
          <w:rFonts w:ascii="StoneSansPl" w:hAnsi="StoneSansPl" w:cs="Arial"/>
          <w:i/>
        </w:rPr>
        <w:t xml:space="preserve"> </w:t>
      </w:r>
      <w:r w:rsidRPr="00DD4389">
        <w:rPr>
          <w:rFonts w:ascii="StoneSansPl" w:hAnsi="StoneSansPl" w:cs="Arial"/>
          <w:i/>
        </w:rPr>
        <w:t xml:space="preserve"> </w:t>
      </w:r>
      <w:r w:rsidRPr="00DD4389">
        <w:rPr>
          <w:rFonts w:ascii="StoneSansPl" w:hAnsi="StoneSansPl" w:cs="Arial"/>
        </w:rPr>
        <w:t xml:space="preserve">– dodaje </w:t>
      </w:r>
      <w:r w:rsidRPr="00DD4389">
        <w:rPr>
          <w:rFonts w:ascii="StoneSansPl" w:hAnsi="StoneSansPl" w:cs="Arial"/>
          <w:b/>
        </w:rPr>
        <w:t xml:space="preserve">Anna </w:t>
      </w:r>
      <w:proofErr w:type="spellStart"/>
      <w:r w:rsidRPr="00DD4389">
        <w:rPr>
          <w:rFonts w:ascii="StoneSansPl" w:hAnsi="StoneSansPl" w:cs="Arial"/>
          <w:b/>
        </w:rPr>
        <w:t>Demczenko</w:t>
      </w:r>
      <w:proofErr w:type="spellEnd"/>
      <w:r w:rsidRPr="00DD4389">
        <w:rPr>
          <w:rFonts w:ascii="StoneSansPl" w:hAnsi="StoneSansPl" w:cs="Arial"/>
          <w:b/>
        </w:rPr>
        <w:t>, wiceprezes ds. finansowych spółek UNIQA w Polsce</w:t>
      </w:r>
      <w:r w:rsidRPr="00DD4389">
        <w:rPr>
          <w:rFonts w:ascii="StoneSansPl" w:hAnsi="StoneSansPl" w:cs="Arial"/>
        </w:rPr>
        <w:t>.</w:t>
      </w:r>
      <w:r>
        <w:rPr>
          <w:rFonts w:ascii="StoneSansPl" w:hAnsi="StoneSansPl" w:cs="Arial"/>
        </w:rPr>
        <w:t xml:space="preserve"> </w:t>
      </w:r>
    </w:p>
    <w:p w14:paraId="1A3D1C2D" w14:textId="77777777" w:rsidR="00FA1D84" w:rsidRDefault="00FA1D84" w:rsidP="00892061">
      <w:pPr>
        <w:spacing w:line="276" w:lineRule="auto"/>
        <w:jc w:val="both"/>
        <w:rPr>
          <w:rFonts w:ascii="StoneSansPl" w:hAnsi="StoneSansPl" w:cs="Arial"/>
        </w:rPr>
      </w:pPr>
    </w:p>
    <w:p w14:paraId="3EDE2A73" w14:textId="2235EA8E" w:rsidR="00B62A9A" w:rsidRDefault="003E54F3" w:rsidP="00892061">
      <w:pPr>
        <w:spacing w:line="276" w:lineRule="auto"/>
        <w:contextualSpacing/>
        <w:jc w:val="both"/>
        <w:rPr>
          <w:rFonts w:ascii="StoneSansPl" w:hAnsi="StoneSansPl" w:cs="Arial"/>
        </w:rPr>
      </w:pPr>
      <w:r>
        <w:rPr>
          <w:rFonts w:ascii="StoneSansPl" w:hAnsi="StoneSansPl" w:cs="Arial"/>
        </w:rPr>
        <w:t>Zwieńczeniem</w:t>
      </w:r>
      <w:r w:rsidR="00FA1D84" w:rsidRPr="00FA1D84">
        <w:rPr>
          <w:rFonts w:ascii="StoneSansPl" w:hAnsi="StoneSansPl" w:cs="Arial"/>
        </w:rPr>
        <w:t xml:space="preserve"> dobrego roku jest przyznany trzeci rok z rzędu tytuł Instytucji Roku. W rankingu portalu MojeBankowanie.pl drugi rok z rzędu otrzymaliśmy ten tytuł w dwóch głównych kategoriach: Najlepsza jakość w placówce oraz Najlepsza jakość obsługi w kanałach zdalnych</w:t>
      </w:r>
      <w:r w:rsidR="00FA1D84">
        <w:rPr>
          <w:rFonts w:ascii="StoneSansPl" w:hAnsi="StoneSansPl" w:cs="Arial"/>
        </w:rPr>
        <w:t>.</w:t>
      </w:r>
    </w:p>
    <w:p w14:paraId="23D4D7BF" w14:textId="115569F3" w:rsidR="00B62A9A" w:rsidRPr="00941FBA" w:rsidRDefault="00B62A9A" w:rsidP="00892061">
      <w:pPr>
        <w:spacing w:line="276" w:lineRule="auto"/>
        <w:contextualSpacing/>
        <w:jc w:val="both"/>
        <w:rPr>
          <w:rFonts w:ascii="StoneSansPl" w:hAnsi="StoneSansPl"/>
          <w:szCs w:val="20"/>
        </w:rPr>
      </w:pPr>
    </w:p>
    <w:p w14:paraId="00954004" w14:textId="77777777" w:rsidR="00B93C2F" w:rsidRPr="0022526C" w:rsidRDefault="00B93C2F" w:rsidP="00892061">
      <w:pPr>
        <w:spacing w:line="276" w:lineRule="auto"/>
        <w:jc w:val="both"/>
        <w:rPr>
          <w:rFonts w:ascii="StoneSansPl" w:hAnsi="StoneSansPl" w:cs="Arial"/>
          <w:b/>
        </w:rPr>
      </w:pPr>
      <w:r w:rsidRPr="0022526C">
        <w:rPr>
          <w:rFonts w:ascii="StoneSansPl" w:hAnsi="StoneSansPl" w:cs="Arial"/>
          <w:b/>
        </w:rPr>
        <w:lastRenderedPageBreak/>
        <w:t xml:space="preserve">UNIQA </w:t>
      </w:r>
      <w:r w:rsidR="00941FBA" w:rsidRPr="0022526C">
        <w:rPr>
          <w:rFonts w:ascii="StoneSansPl" w:hAnsi="StoneSansPl" w:cs="Arial"/>
          <w:b/>
        </w:rPr>
        <w:t xml:space="preserve">Towarzystwo Ubezpieczeń </w:t>
      </w:r>
    </w:p>
    <w:p w14:paraId="78C58E6D" w14:textId="488EE308" w:rsidR="00941FBA" w:rsidRPr="00B42721" w:rsidRDefault="00941FBA" w:rsidP="00892061">
      <w:pPr>
        <w:spacing w:line="276" w:lineRule="auto"/>
        <w:jc w:val="both"/>
        <w:rPr>
          <w:rFonts w:ascii="StoneSansPl" w:hAnsi="StoneSansPl" w:cs="Arial"/>
        </w:rPr>
      </w:pPr>
    </w:p>
    <w:p w14:paraId="782F7C8A" w14:textId="5C53AE5F" w:rsidR="00B42721" w:rsidRDefault="00B42721" w:rsidP="00892061">
      <w:pPr>
        <w:spacing w:line="276" w:lineRule="auto"/>
        <w:jc w:val="both"/>
        <w:rPr>
          <w:rFonts w:ascii="StoneSansPl" w:hAnsi="StoneSansPl" w:cs="Arial"/>
        </w:rPr>
      </w:pPr>
      <w:r>
        <w:rPr>
          <w:rFonts w:ascii="StoneSansPl" w:hAnsi="StoneSansPl" w:cs="Arial"/>
        </w:rPr>
        <w:t xml:space="preserve">2,5-krotnie wzrósł zysk brutto spółki majątkowej UNIQA za 2017 rok. Wynik liczony według międzynarodowych standardów rachunkowości (IFRS) wyniósł 48,7 mln zł, wobec 19,4 mln zł rok wcześniej. </w:t>
      </w:r>
      <w:r w:rsidR="001E5FEF" w:rsidRPr="0022526C">
        <w:rPr>
          <w:rFonts w:ascii="StoneSansPl" w:hAnsi="StoneSansPl" w:cs="Arial"/>
        </w:rPr>
        <w:t xml:space="preserve">Zysk </w:t>
      </w:r>
      <w:r w:rsidR="001E5FEF">
        <w:rPr>
          <w:rFonts w:ascii="StoneSansPl" w:hAnsi="StoneSansPl" w:cs="Arial"/>
        </w:rPr>
        <w:t>netto</w:t>
      </w:r>
      <w:r w:rsidR="005C671E">
        <w:rPr>
          <w:rFonts w:ascii="StoneSansPl" w:hAnsi="StoneSansPl" w:cs="Arial"/>
        </w:rPr>
        <w:t xml:space="preserve"> za dwanaście</w:t>
      </w:r>
      <w:r w:rsidR="001E5FEF">
        <w:rPr>
          <w:rFonts w:ascii="StoneSansPl" w:hAnsi="StoneSansPl" w:cs="Arial"/>
        </w:rPr>
        <w:t xml:space="preserve"> miesięcy 2017 roku wyniósł z kolei</w:t>
      </w:r>
      <w:r w:rsidR="001E5FEF" w:rsidRPr="0022526C">
        <w:rPr>
          <w:rFonts w:ascii="StoneSansPl" w:hAnsi="StoneSansPl" w:cs="Arial"/>
        </w:rPr>
        <w:t xml:space="preserve"> 40,5 mln zł</w:t>
      </w:r>
      <w:r w:rsidR="003E54F3">
        <w:rPr>
          <w:rFonts w:ascii="StoneSansPl" w:hAnsi="StoneSansPl" w:cs="Arial"/>
        </w:rPr>
        <w:t xml:space="preserve"> (</w:t>
      </w:r>
      <w:r w:rsidR="001E5FEF" w:rsidRPr="0022526C">
        <w:rPr>
          <w:rFonts w:ascii="StoneSansPl" w:hAnsi="StoneSansPl" w:cs="Arial"/>
        </w:rPr>
        <w:t>13,7 mln zł rok wcześniej</w:t>
      </w:r>
      <w:r w:rsidR="003E54F3">
        <w:rPr>
          <w:rFonts w:ascii="StoneSansPl" w:hAnsi="StoneSansPl" w:cs="Arial"/>
        </w:rPr>
        <w:t>)</w:t>
      </w:r>
      <w:r w:rsidR="001E5FEF" w:rsidRPr="0022526C">
        <w:rPr>
          <w:rFonts w:ascii="StoneSansPl" w:hAnsi="StoneSansPl" w:cs="Arial"/>
        </w:rPr>
        <w:t>.</w:t>
      </w:r>
    </w:p>
    <w:p w14:paraId="3B8873B1" w14:textId="77777777" w:rsidR="001E5FEF" w:rsidRDefault="001E5FEF" w:rsidP="00892061">
      <w:pPr>
        <w:spacing w:line="276" w:lineRule="auto"/>
        <w:jc w:val="both"/>
        <w:rPr>
          <w:rFonts w:ascii="StoneSansPl" w:hAnsi="StoneSansPl" w:cs="Arial"/>
        </w:rPr>
      </w:pPr>
    </w:p>
    <w:p w14:paraId="5FAC6D95" w14:textId="203C8202" w:rsidR="00B42721" w:rsidRDefault="00B42721" w:rsidP="00D61958">
      <w:pPr>
        <w:spacing w:line="276" w:lineRule="auto"/>
        <w:jc w:val="both"/>
        <w:rPr>
          <w:rFonts w:ascii="StoneSansPl" w:hAnsi="StoneSansPl" w:cs="Arial"/>
        </w:rPr>
      </w:pPr>
      <w:r w:rsidRPr="005C671E">
        <w:rPr>
          <w:rFonts w:ascii="StoneSansPl" w:hAnsi="StoneSansPl" w:cs="Arial"/>
          <w:i/>
        </w:rPr>
        <w:t xml:space="preserve">- </w:t>
      </w:r>
      <w:r w:rsidR="005C671E" w:rsidRPr="005C671E">
        <w:rPr>
          <w:rFonts w:ascii="StoneSansPl" w:hAnsi="StoneSansPl" w:cs="Arial"/>
          <w:i/>
        </w:rPr>
        <w:t>O</w:t>
      </w:r>
      <w:r w:rsidRPr="001E5FEF">
        <w:rPr>
          <w:rFonts w:ascii="StoneSansPl" w:hAnsi="StoneSansPl" w:cs="Arial"/>
          <w:i/>
        </w:rPr>
        <w:t>siągnięciem 2017 roku jest dodatni wynik techniczny w kwocie 6,1 mln zł</w:t>
      </w:r>
      <w:r w:rsidR="005C671E">
        <w:rPr>
          <w:rFonts w:ascii="StoneSansPl" w:hAnsi="StoneSansPl" w:cs="Arial"/>
          <w:i/>
        </w:rPr>
        <w:t>. Rok wcześniej strata techniczna przekroczyła 32 mln zł</w:t>
      </w:r>
      <w:r w:rsidRPr="001E5FEF">
        <w:rPr>
          <w:rFonts w:ascii="StoneSansPl" w:hAnsi="StoneSansPl" w:cs="Arial"/>
          <w:i/>
        </w:rPr>
        <w:t xml:space="preserve">. </w:t>
      </w:r>
      <w:r w:rsidR="005C671E" w:rsidRPr="00D61958">
        <w:rPr>
          <w:rFonts w:ascii="StoneSansPl" w:hAnsi="StoneSansPl" w:cs="Arial"/>
          <w:i/>
        </w:rPr>
        <w:t>Lepszy wynik to efekt</w:t>
      </w:r>
      <w:r w:rsidR="001E5FEF" w:rsidRPr="00D61958">
        <w:rPr>
          <w:rFonts w:ascii="StoneSansPl" w:hAnsi="StoneSansPl" w:cs="Arial"/>
          <w:i/>
        </w:rPr>
        <w:t xml:space="preserve"> p</w:t>
      </w:r>
      <w:r w:rsidR="005C671E" w:rsidRPr="00D61958">
        <w:rPr>
          <w:rFonts w:ascii="StoneSansPl" w:hAnsi="StoneSansPl" w:cs="Arial"/>
          <w:i/>
        </w:rPr>
        <w:t>oprawy</w:t>
      </w:r>
      <w:r w:rsidRPr="00D61958">
        <w:rPr>
          <w:rFonts w:ascii="StoneSansPl" w:hAnsi="StoneSansPl" w:cs="Arial"/>
          <w:i/>
        </w:rPr>
        <w:t xml:space="preserve"> szkodowości ubezpieczeń komunikacyjnych,</w:t>
      </w:r>
      <w:r w:rsidR="004A00EA" w:rsidRPr="00D61958">
        <w:rPr>
          <w:rFonts w:ascii="StoneSansPl" w:hAnsi="StoneSansPl" w:cs="Arial"/>
          <w:i/>
        </w:rPr>
        <w:t xml:space="preserve"> </w:t>
      </w:r>
      <w:r w:rsidR="00D61958" w:rsidRPr="00D61958">
        <w:rPr>
          <w:rFonts w:ascii="StoneSansPl" w:hAnsi="StoneSansPl" w:cs="Arial"/>
          <w:i/>
        </w:rPr>
        <w:t xml:space="preserve">optymalizacji portfela produktów, w tym m.in. </w:t>
      </w:r>
      <w:r w:rsidR="00D61958">
        <w:rPr>
          <w:rFonts w:ascii="StoneSansPl" w:hAnsi="StoneSansPl" w:cs="Arial"/>
          <w:i/>
        </w:rPr>
        <w:t>większej</w:t>
      </w:r>
      <w:r w:rsidR="00D61958" w:rsidRPr="00D61958">
        <w:rPr>
          <w:rFonts w:ascii="StoneSansPl" w:hAnsi="StoneSansPl" w:cs="Arial"/>
          <w:i/>
        </w:rPr>
        <w:t xml:space="preserve"> sprzedaży rentownych ubezpieczeń majątkowych oraz skutecznej kontroli kosztów</w:t>
      </w:r>
      <w:r w:rsidR="00D61958">
        <w:rPr>
          <w:rFonts w:ascii="StoneSansPl" w:hAnsi="StoneSansPl" w:cs="Arial"/>
          <w:i/>
        </w:rPr>
        <w:t xml:space="preserve"> </w:t>
      </w:r>
      <w:r w:rsidR="001E5FEF">
        <w:rPr>
          <w:rFonts w:ascii="StoneSansPl" w:hAnsi="StoneSansPl" w:cs="Arial"/>
        </w:rPr>
        <w:t xml:space="preserve">– mówi </w:t>
      </w:r>
      <w:r w:rsidR="001E5FEF" w:rsidRPr="001E5FEF">
        <w:rPr>
          <w:rFonts w:ascii="StoneSansPl" w:hAnsi="StoneSansPl" w:cs="Arial"/>
          <w:b/>
        </w:rPr>
        <w:t>wiceprezes ds. finansowych spółek UNIQA w Polsce</w:t>
      </w:r>
      <w:r w:rsidR="001E5FEF">
        <w:rPr>
          <w:rFonts w:ascii="StoneSansPl" w:hAnsi="StoneSansPl" w:cs="Arial"/>
        </w:rPr>
        <w:t xml:space="preserve">. </w:t>
      </w:r>
    </w:p>
    <w:p w14:paraId="4E1557C0" w14:textId="60FC499F" w:rsidR="00D61958" w:rsidRDefault="00D61958" w:rsidP="00892061">
      <w:pPr>
        <w:spacing w:line="276" w:lineRule="auto"/>
        <w:jc w:val="both"/>
        <w:rPr>
          <w:rFonts w:ascii="StoneSansPl" w:hAnsi="StoneSansPl" w:cs="Arial"/>
        </w:rPr>
      </w:pPr>
    </w:p>
    <w:p w14:paraId="4C89509A" w14:textId="4402CC23" w:rsidR="00B42721" w:rsidRDefault="001E5FEF" w:rsidP="00892061">
      <w:pPr>
        <w:spacing w:line="276" w:lineRule="auto"/>
        <w:jc w:val="both"/>
        <w:rPr>
          <w:rFonts w:ascii="StoneSansPl" w:hAnsi="StoneSansPl" w:cs="Arial"/>
        </w:rPr>
      </w:pPr>
      <w:r>
        <w:rPr>
          <w:rFonts w:ascii="StoneSansPl" w:hAnsi="StoneSansPl" w:cs="Arial"/>
        </w:rPr>
        <w:t>Łączny przypis składki wyniósł 1,</w:t>
      </w:r>
      <w:r w:rsidRPr="0022526C">
        <w:rPr>
          <w:rFonts w:ascii="StoneSansPl" w:hAnsi="StoneSansPl" w:cs="Arial"/>
        </w:rPr>
        <w:t>12</w:t>
      </w:r>
      <w:r>
        <w:rPr>
          <w:rFonts w:ascii="StoneSansPl" w:hAnsi="StoneSansPl" w:cs="Arial"/>
        </w:rPr>
        <w:t xml:space="preserve"> mld</w:t>
      </w:r>
      <w:r w:rsidRPr="0022526C">
        <w:rPr>
          <w:rFonts w:ascii="StoneSansPl" w:hAnsi="StoneSansPl" w:cs="Arial"/>
        </w:rPr>
        <w:t xml:space="preserve"> zł</w:t>
      </w:r>
      <w:r>
        <w:rPr>
          <w:rFonts w:ascii="StoneSansPl" w:hAnsi="StoneSansPl" w:cs="Arial"/>
        </w:rPr>
        <w:t xml:space="preserve"> w 2017 roku i był o 0,7 proc. wyższy niż rok wcześniej. </w:t>
      </w:r>
      <w:r w:rsidR="00374AF7">
        <w:rPr>
          <w:rFonts w:ascii="StoneSansPl" w:hAnsi="StoneSansPl" w:cs="Arial"/>
        </w:rPr>
        <w:t xml:space="preserve">Przy czym zmiana przypisu składki zależała od linii biznesowej. </w:t>
      </w:r>
      <w:r w:rsidR="005C671E">
        <w:rPr>
          <w:rFonts w:ascii="StoneSansPl" w:hAnsi="StoneSansPl" w:cs="Arial"/>
        </w:rPr>
        <w:t xml:space="preserve">Czyszczenie </w:t>
      </w:r>
      <w:r>
        <w:rPr>
          <w:rFonts w:ascii="StoneSansPl" w:hAnsi="StoneSansPl" w:cs="Arial"/>
        </w:rPr>
        <w:t>portfel</w:t>
      </w:r>
      <w:r w:rsidR="005C671E">
        <w:rPr>
          <w:rFonts w:ascii="StoneSansPl" w:hAnsi="StoneSansPl" w:cs="Arial"/>
        </w:rPr>
        <w:t>a</w:t>
      </w:r>
      <w:r>
        <w:rPr>
          <w:rFonts w:ascii="StoneSansPl" w:hAnsi="StoneSansPl" w:cs="Arial"/>
        </w:rPr>
        <w:t xml:space="preserve"> komunikacyjn</w:t>
      </w:r>
      <w:r w:rsidR="005C671E">
        <w:rPr>
          <w:rFonts w:ascii="StoneSansPl" w:hAnsi="StoneSansPl" w:cs="Arial"/>
        </w:rPr>
        <w:t>ego</w:t>
      </w:r>
      <w:r w:rsidR="003E54F3">
        <w:rPr>
          <w:rFonts w:ascii="StoneSansPl" w:hAnsi="StoneSansPl" w:cs="Arial"/>
        </w:rPr>
        <w:t xml:space="preserve"> z nierentownych </w:t>
      </w:r>
      <w:proofErr w:type="spellStart"/>
      <w:r w:rsidR="003E54F3">
        <w:rPr>
          <w:rFonts w:ascii="StoneSansPl" w:hAnsi="StoneSansPl" w:cs="Arial"/>
        </w:rPr>
        <w:t>ryzyk</w:t>
      </w:r>
      <w:proofErr w:type="spellEnd"/>
      <w:r w:rsidR="003E54F3">
        <w:rPr>
          <w:rFonts w:ascii="StoneSansPl" w:hAnsi="StoneSansPl" w:cs="Arial"/>
        </w:rPr>
        <w:t xml:space="preserve"> -</w:t>
      </w:r>
      <w:r>
        <w:rPr>
          <w:rFonts w:ascii="StoneSansPl" w:hAnsi="StoneSansPl" w:cs="Arial"/>
        </w:rPr>
        <w:t xml:space="preserve"> głównie </w:t>
      </w:r>
      <w:r w:rsidR="003E54F3">
        <w:rPr>
          <w:rFonts w:ascii="StoneSansPl" w:hAnsi="StoneSansPl" w:cs="Arial"/>
        </w:rPr>
        <w:t>ubezpieczeń flotowych -</w:t>
      </w:r>
      <w:r w:rsidR="00E01CBE">
        <w:rPr>
          <w:rFonts w:ascii="StoneSansPl" w:hAnsi="StoneSansPl" w:cs="Arial"/>
        </w:rPr>
        <w:t xml:space="preserve"> </w:t>
      </w:r>
      <w:r w:rsidR="005C671E">
        <w:rPr>
          <w:rFonts w:ascii="StoneSansPl" w:hAnsi="StoneSansPl" w:cs="Arial"/>
        </w:rPr>
        <w:t>d</w:t>
      </w:r>
      <w:r>
        <w:rPr>
          <w:rFonts w:ascii="StoneSansPl" w:hAnsi="StoneSansPl" w:cs="Arial"/>
        </w:rPr>
        <w:t xml:space="preserve">oprowadziło do spadku przypisu w </w:t>
      </w:r>
      <w:r w:rsidR="005C671E">
        <w:rPr>
          <w:rFonts w:ascii="StoneSansPl" w:hAnsi="StoneSansPl" w:cs="Arial"/>
        </w:rPr>
        <w:t>a</w:t>
      </w:r>
      <w:r>
        <w:rPr>
          <w:rFonts w:ascii="StoneSansPl" w:hAnsi="StoneSansPl" w:cs="Arial"/>
        </w:rPr>
        <w:t>utocasco o 10,1 proc. Z kolei w</w:t>
      </w:r>
      <w:r w:rsidR="0022526C" w:rsidRPr="0022526C">
        <w:rPr>
          <w:rFonts w:ascii="StoneSansPl" w:hAnsi="StoneSansPl" w:cs="Arial"/>
        </w:rPr>
        <w:t xml:space="preserve"> przy</w:t>
      </w:r>
      <w:r>
        <w:rPr>
          <w:rFonts w:ascii="StoneSansPl" w:hAnsi="StoneSansPl" w:cs="Arial"/>
        </w:rPr>
        <w:t>padku OC komunikacyjnego efekt czyszczenia</w:t>
      </w:r>
      <w:r w:rsidR="0022526C" w:rsidRPr="0022526C">
        <w:rPr>
          <w:rFonts w:ascii="StoneSansPl" w:hAnsi="StoneSansPl" w:cs="Arial"/>
        </w:rPr>
        <w:t xml:space="preserve"> portfela został w znacznej części zniwelowany przez </w:t>
      </w:r>
      <w:r>
        <w:rPr>
          <w:rFonts w:ascii="StoneSansPl" w:hAnsi="StoneSansPl" w:cs="Arial"/>
        </w:rPr>
        <w:t>równoczesny wzrost poziomu cen</w:t>
      </w:r>
      <w:r w:rsidR="0022046F">
        <w:rPr>
          <w:rFonts w:ascii="StoneSansPl" w:hAnsi="StoneSansPl" w:cs="Arial"/>
        </w:rPr>
        <w:t>,</w:t>
      </w:r>
      <w:r>
        <w:rPr>
          <w:rFonts w:ascii="StoneSansPl" w:hAnsi="StoneSansPl" w:cs="Arial"/>
        </w:rPr>
        <w:t xml:space="preserve"> </w:t>
      </w:r>
      <w:r w:rsidR="0022526C" w:rsidRPr="0022526C">
        <w:rPr>
          <w:rFonts w:ascii="StoneSansPl" w:hAnsi="StoneSansPl" w:cs="Arial"/>
        </w:rPr>
        <w:t>czego efektem jest wzrost spr</w:t>
      </w:r>
      <w:r>
        <w:rPr>
          <w:rFonts w:ascii="StoneSansPl" w:hAnsi="StoneSansPl" w:cs="Arial"/>
        </w:rPr>
        <w:t>zedaży o 2,4 proc.</w:t>
      </w:r>
    </w:p>
    <w:p w14:paraId="64A615B5" w14:textId="77777777" w:rsidR="00522082" w:rsidRDefault="00522082" w:rsidP="00892061">
      <w:pPr>
        <w:spacing w:line="276" w:lineRule="auto"/>
        <w:jc w:val="both"/>
        <w:rPr>
          <w:rFonts w:ascii="StoneSansPl" w:hAnsi="StoneSansPl" w:cs="Arial"/>
        </w:rPr>
      </w:pPr>
    </w:p>
    <w:p w14:paraId="464A24EC" w14:textId="1AAEB0CB" w:rsidR="00892061" w:rsidRPr="00522082" w:rsidRDefault="0022046F" w:rsidP="00892061">
      <w:pPr>
        <w:spacing w:line="276" w:lineRule="auto"/>
        <w:jc w:val="both"/>
        <w:rPr>
          <w:rFonts w:ascii="StoneSansPl" w:hAnsi="StoneSansPl" w:cs="Arial"/>
          <w:iCs/>
        </w:rPr>
      </w:pPr>
      <w:r w:rsidRPr="00522082">
        <w:rPr>
          <w:rFonts w:ascii="StoneSansPl" w:hAnsi="StoneSansPl" w:cs="Arial"/>
        </w:rPr>
        <w:t>W</w:t>
      </w:r>
      <w:r w:rsidR="00522082">
        <w:rPr>
          <w:rFonts w:ascii="StoneSansPl" w:hAnsi="StoneSansPl" w:cs="Arial"/>
        </w:rPr>
        <w:t>arto podkreślić, że w</w:t>
      </w:r>
      <w:r w:rsidR="00892061" w:rsidRPr="00522082">
        <w:rPr>
          <w:rFonts w:ascii="StoneSansPl" w:hAnsi="StoneSansPl" w:cs="Arial"/>
        </w:rPr>
        <w:t xml:space="preserve"> 2017 roku </w:t>
      </w:r>
      <w:r w:rsidR="00374AF7" w:rsidRPr="00522082">
        <w:rPr>
          <w:rFonts w:ascii="StoneSansPl" w:hAnsi="StoneSansPl" w:cs="Arial"/>
        </w:rPr>
        <w:t>zaczęliśmy zmieniać</w:t>
      </w:r>
      <w:r w:rsidR="00892061" w:rsidRPr="00522082">
        <w:rPr>
          <w:rFonts w:ascii="StoneSansPl" w:hAnsi="StoneSansPl" w:cs="Arial"/>
        </w:rPr>
        <w:t xml:space="preserve"> pakie</w:t>
      </w:r>
      <w:r w:rsidR="00374AF7" w:rsidRPr="00522082">
        <w:rPr>
          <w:rFonts w:ascii="StoneSansPl" w:hAnsi="StoneSansPl" w:cs="Arial"/>
        </w:rPr>
        <w:t>t</w:t>
      </w:r>
      <w:r w:rsidR="00892061" w:rsidRPr="00522082">
        <w:rPr>
          <w:rFonts w:ascii="StoneSansPl" w:hAnsi="StoneSansPl" w:cs="Arial"/>
        </w:rPr>
        <w:t xml:space="preserve"> komunikacyjny dla klientów. Dotyczy to zarówno klientów flotowych, jak i indywidualnych. P</w:t>
      </w:r>
      <w:r w:rsidR="00892061" w:rsidRPr="00522082">
        <w:rPr>
          <w:rFonts w:ascii="StoneSansPl" w:hAnsi="StoneSansPl" w:cs="Arial"/>
          <w:bCs/>
        </w:rPr>
        <w:t>rzebudowaliśmy strukturę taryf, wprowadziliśmy zmiany w produktach</w:t>
      </w:r>
      <w:r w:rsidRPr="00522082">
        <w:rPr>
          <w:rFonts w:ascii="StoneSansPl" w:hAnsi="StoneSansPl" w:cs="Arial"/>
          <w:bCs/>
        </w:rPr>
        <w:t>, zachowując</w:t>
      </w:r>
      <w:r w:rsidR="00892061" w:rsidRPr="00522082">
        <w:rPr>
          <w:rFonts w:ascii="StoneSansPl" w:hAnsi="StoneSansPl" w:cs="Arial"/>
          <w:iCs/>
        </w:rPr>
        <w:t xml:space="preserve"> skład</w:t>
      </w:r>
      <w:r w:rsidRPr="00522082">
        <w:rPr>
          <w:rFonts w:ascii="StoneSansPl" w:hAnsi="StoneSansPl" w:cs="Arial"/>
          <w:iCs/>
        </w:rPr>
        <w:t>ki</w:t>
      </w:r>
      <w:r w:rsidR="00892061" w:rsidRPr="00522082">
        <w:rPr>
          <w:rFonts w:ascii="StoneSansPl" w:hAnsi="StoneSansPl" w:cs="Arial"/>
          <w:iCs/>
        </w:rPr>
        <w:t xml:space="preserve"> </w:t>
      </w:r>
      <w:r w:rsidRPr="00522082">
        <w:rPr>
          <w:rFonts w:ascii="StoneSansPl" w:hAnsi="StoneSansPl" w:cs="Arial"/>
          <w:iCs/>
        </w:rPr>
        <w:t xml:space="preserve">adekwatne </w:t>
      </w:r>
      <w:r w:rsidR="00892061" w:rsidRPr="00522082">
        <w:rPr>
          <w:rFonts w:ascii="StoneSansPl" w:hAnsi="StoneSansPl" w:cs="Arial"/>
          <w:iCs/>
        </w:rPr>
        <w:t>do rzeczywistego ryzyka. Nowym modelem taryfy komunikacyjnej wpisujemy się w tre</w:t>
      </w:r>
      <w:r w:rsidR="00D90A66" w:rsidRPr="00522082">
        <w:rPr>
          <w:rFonts w:ascii="StoneSansPl" w:hAnsi="StoneSansPl" w:cs="Arial"/>
          <w:iCs/>
        </w:rPr>
        <w:t>nd rynkowy celowanej taryfikacj</w:t>
      </w:r>
      <w:r w:rsidR="00374AF7" w:rsidRPr="00522082">
        <w:rPr>
          <w:rFonts w:ascii="StoneSansPl" w:hAnsi="StoneSansPl" w:cs="Arial"/>
          <w:iCs/>
        </w:rPr>
        <w:t>i.</w:t>
      </w:r>
    </w:p>
    <w:p w14:paraId="69CF5846" w14:textId="77777777" w:rsidR="00892061" w:rsidRPr="00374AF7" w:rsidRDefault="00892061" w:rsidP="00892061">
      <w:pPr>
        <w:spacing w:line="276" w:lineRule="auto"/>
        <w:jc w:val="both"/>
        <w:rPr>
          <w:rFonts w:ascii="StoneSansPl" w:hAnsi="StoneSansPl" w:cs="Arial"/>
        </w:rPr>
      </w:pPr>
    </w:p>
    <w:p w14:paraId="4EE639C4" w14:textId="5149D97A" w:rsidR="00E01CBE" w:rsidRDefault="0022526C" w:rsidP="00892061">
      <w:pPr>
        <w:spacing w:line="276" w:lineRule="auto"/>
        <w:jc w:val="both"/>
        <w:rPr>
          <w:rFonts w:ascii="StoneSansPl" w:hAnsi="StoneSansPl" w:cs="Arial"/>
        </w:rPr>
      </w:pPr>
      <w:r w:rsidRPr="0022526C">
        <w:rPr>
          <w:rFonts w:ascii="StoneSansPl" w:hAnsi="StoneSansPl" w:cs="Arial"/>
        </w:rPr>
        <w:t>Jeżeli</w:t>
      </w:r>
      <w:r w:rsidR="001E5FEF">
        <w:rPr>
          <w:rFonts w:ascii="StoneSansPl" w:hAnsi="StoneSansPl" w:cs="Arial"/>
        </w:rPr>
        <w:t xml:space="preserve"> </w:t>
      </w:r>
      <w:r w:rsidRPr="0022526C">
        <w:rPr>
          <w:rFonts w:ascii="StoneSansPl" w:hAnsi="StoneSansPl" w:cs="Arial"/>
        </w:rPr>
        <w:t xml:space="preserve">chodzi o </w:t>
      </w:r>
      <w:r w:rsidR="00374AF7">
        <w:rPr>
          <w:rFonts w:ascii="StoneSansPl" w:hAnsi="StoneSansPl" w:cs="Arial"/>
        </w:rPr>
        <w:t>ubezpieczenia</w:t>
      </w:r>
      <w:r w:rsidRPr="0022526C">
        <w:rPr>
          <w:rFonts w:ascii="StoneSansPl" w:hAnsi="StoneSansPl" w:cs="Arial"/>
        </w:rPr>
        <w:t xml:space="preserve"> majątkowe</w:t>
      </w:r>
      <w:r w:rsidR="00374AF7">
        <w:rPr>
          <w:rFonts w:ascii="StoneSansPl" w:hAnsi="StoneSansPl" w:cs="Arial"/>
        </w:rPr>
        <w:t xml:space="preserve"> niekomunikacyjne</w:t>
      </w:r>
      <w:r w:rsidR="0022046F">
        <w:rPr>
          <w:rFonts w:ascii="StoneSansPl" w:hAnsi="StoneSansPl" w:cs="Arial"/>
        </w:rPr>
        <w:t>,</w:t>
      </w:r>
      <w:r w:rsidRPr="0022526C">
        <w:rPr>
          <w:rFonts w:ascii="StoneSansPl" w:hAnsi="StoneSansPl" w:cs="Arial"/>
        </w:rPr>
        <w:t xml:space="preserve"> UNIQA osiągnęła w r</w:t>
      </w:r>
      <w:r w:rsidR="001E5FEF">
        <w:rPr>
          <w:rFonts w:ascii="StoneSansPl" w:hAnsi="StoneSansPl" w:cs="Arial"/>
        </w:rPr>
        <w:t xml:space="preserve">oku 2017 wzrost na poziomie 2,6 proc. </w:t>
      </w:r>
    </w:p>
    <w:p w14:paraId="308D63D7" w14:textId="09C83740" w:rsidR="00E01CBE" w:rsidRDefault="00E01CBE" w:rsidP="00892061">
      <w:pPr>
        <w:spacing w:line="276" w:lineRule="auto"/>
        <w:jc w:val="both"/>
        <w:rPr>
          <w:rFonts w:ascii="StoneSansPl" w:hAnsi="StoneSansPl" w:cs="Arial"/>
        </w:rPr>
      </w:pPr>
    </w:p>
    <w:p w14:paraId="2556673B" w14:textId="45D3C021" w:rsidR="0022526C" w:rsidRPr="0022526C" w:rsidRDefault="001E5FEF" w:rsidP="00892061">
      <w:pPr>
        <w:spacing w:line="276" w:lineRule="auto"/>
        <w:jc w:val="both"/>
        <w:rPr>
          <w:rFonts w:ascii="StoneSansPl" w:hAnsi="StoneSansPl" w:cs="Arial"/>
        </w:rPr>
      </w:pPr>
      <w:r>
        <w:rPr>
          <w:rFonts w:ascii="StoneSansPl" w:hAnsi="StoneSansPl" w:cs="Arial"/>
        </w:rPr>
        <w:t xml:space="preserve">Wpływ na to miały wzrosty w: </w:t>
      </w:r>
      <w:r w:rsidR="0022526C" w:rsidRPr="0022526C">
        <w:rPr>
          <w:rFonts w:ascii="StoneSansPl" w:hAnsi="StoneSansPl" w:cs="Arial"/>
        </w:rPr>
        <w:t xml:space="preserve"> </w:t>
      </w:r>
    </w:p>
    <w:p w14:paraId="7EC30DE2" w14:textId="5023DA33" w:rsidR="0022526C" w:rsidRPr="0022526C" w:rsidRDefault="0022526C" w:rsidP="00892061">
      <w:pPr>
        <w:pStyle w:val="Akapitzlist"/>
        <w:numPr>
          <w:ilvl w:val="0"/>
          <w:numId w:val="16"/>
        </w:numPr>
        <w:spacing w:after="160" w:line="276" w:lineRule="auto"/>
        <w:contextualSpacing/>
        <w:jc w:val="both"/>
        <w:rPr>
          <w:rFonts w:ascii="StoneSansPl" w:hAnsi="StoneSansPl" w:cs="Arial"/>
        </w:rPr>
      </w:pPr>
      <w:r w:rsidRPr="0022526C">
        <w:rPr>
          <w:rFonts w:ascii="StoneSansPl" w:hAnsi="StoneSansPl" w:cs="Arial"/>
        </w:rPr>
        <w:t>ubezpi</w:t>
      </w:r>
      <w:r w:rsidR="00416099">
        <w:rPr>
          <w:rFonts w:ascii="StoneSansPl" w:hAnsi="StoneSansPl" w:cs="Arial"/>
        </w:rPr>
        <w:t xml:space="preserve">eczeniach mieszkaniowych, </w:t>
      </w:r>
      <w:r w:rsidR="001E5FEF">
        <w:rPr>
          <w:rFonts w:ascii="StoneSansPl" w:hAnsi="StoneSansPl" w:cs="Arial"/>
        </w:rPr>
        <w:t>będące</w:t>
      </w:r>
      <w:r w:rsidRPr="0022526C">
        <w:rPr>
          <w:rFonts w:ascii="StoneSansPl" w:hAnsi="StoneSansPl" w:cs="Arial"/>
        </w:rPr>
        <w:t xml:space="preserve"> wynikiem zarówno rosnącej sprzedaży produktu Twój Dom Plus</w:t>
      </w:r>
      <w:r w:rsidR="001E5FEF">
        <w:rPr>
          <w:rFonts w:ascii="StoneSansPl" w:hAnsi="StoneSansPl" w:cs="Arial"/>
        </w:rPr>
        <w:t>,</w:t>
      </w:r>
      <w:r w:rsidRPr="0022526C">
        <w:rPr>
          <w:rFonts w:ascii="StoneSansPl" w:hAnsi="StoneSansPl" w:cs="Arial"/>
        </w:rPr>
        <w:t xml:space="preserve"> jak i </w:t>
      </w:r>
      <w:r w:rsidR="001E5FEF">
        <w:rPr>
          <w:rFonts w:ascii="StoneSansPl" w:hAnsi="StoneSansPl" w:cs="Arial"/>
        </w:rPr>
        <w:t>ubezpieczenia mieszkania ze składką płatną miesięcznie</w:t>
      </w:r>
      <w:r w:rsidR="0022046F">
        <w:rPr>
          <w:rFonts w:ascii="StoneSansPl" w:hAnsi="StoneSansPl" w:cs="Arial"/>
        </w:rPr>
        <w:t>,</w:t>
      </w:r>
      <w:r w:rsidRPr="0022526C">
        <w:rPr>
          <w:rFonts w:ascii="StoneSansPl" w:hAnsi="StoneSansPl" w:cs="Arial"/>
        </w:rPr>
        <w:t xml:space="preserve"> </w:t>
      </w:r>
    </w:p>
    <w:p w14:paraId="1BF893EF" w14:textId="77ADAB47" w:rsidR="0022526C" w:rsidRPr="0022526C" w:rsidRDefault="0022526C" w:rsidP="00892061">
      <w:pPr>
        <w:pStyle w:val="Akapitzlist"/>
        <w:numPr>
          <w:ilvl w:val="0"/>
          <w:numId w:val="16"/>
        </w:numPr>
        <w:spacing w:after="160" w:line="276" w:lineRule="auto"/>
        <w:contextualSpacing/>
        <w:jc w:val="both"/>
        <w:rPr>
          <w:rFonts w:ascii="StoneSansPl" w:hAnsi="StoneSansPl" w:cs="Arial"/>
        </w:rPr>
      </w:pPr>
      <w:r w:rsidRPr="0022526C">
        <w:rPr>
          <w:rFonts w:ascii="StoneSansPl" w:hAnsi="StoneSansPl" w:cs="Arial"/>
        </w:rPr>
        <w:t>ube</w:t>
      </w:r>
      <w:r w:rsidR="00416099">
        <w:rPr>
          <w:rFonts w:ascii="StoneSansPl" w:hAnsi="StoneSansPl" w:cs="Arial"/>
        </w:rPr>
        <w:t>zpieczeniach technicznych,</w:t>
      </w:r>
    </w:p>
    <w:p w14:paraId="2A5002FB" w14:textId="725966C1" w:rsidR="0022526C" w:rsidRPr="0022526C" w:rsidRDefault="0022526C" w:rsidP="00892061">
      <w:pPr>
        <w:pStyle w:val="Akapitzlist"/>
        <w:numPr>
          <w:ilvl w:val="0"/>
          <w:numId w:val="16"/>
        </w:numPr>
        <w:spacing w:after="160" w:line="276" w:lineRule="auto"/>
        <w:contextualSpacing/>
        <w:jc w:val="both"/>
        <w:rPr>
          <w:rFonts w:ascii="StoneSansPl" w:hAnsi="StoneSansPl" w:cs="Arial"/>
        </w:rPr>
      </w:pPr>
      <w:r w:rsidRPr="0022526C">
        <w:rPr>
          <w:rFonts w:ascii="StoneSansPl" w:hAnsi="StoneSansPl" w:cs="Arial"/>
        </w:rPr>
        <w:t xml:space="preserve">produktach majątkowych związanych z sektorem mieszkalnictwa (pakiety dla spółdzielni </w:t>
      </w:r>
      <w:r w:rsidR="001E5FEF">
        <w:rPr>
          <w:rFonts w:ascii="StoneSansPl" w:hAnsi="StoneSansPl" w:cs="Arial"/>
        </w:rPr>
        <w:t>i ws</w:t>
      </w:r>
      <w:r w:rsidR="00416099">
        <w:rPr>
          <w:rFonts w:ascii="StoneSansPl" w:hAnsi="StoneSansPl" w:cs="Arial"/>
        </w:rPr>
        <w:t>pólnot mieszkaniowych,</w:t>
      </w:r>
    </w:p>
    <w:p w14:paraId="5A8F11C7" w14:textId="01B34F9F" w:rsidR="0022526C" w:rsidRPr="0022526C" w:rsidRDefault="0022526C" w:rsidP="00892061">
      <w:pPr>
        <w:pStyle w:val="Akapitzlist"/>
        <w:numPr>
          <w:ilvl w:val="0"/>
          <w:numId w:val="16"/>
        </w:numPr>
        <w:spacing w:after="160" w:line="276" w:lineRule="auto"/>
        <w:contextualSpacing/>
        <w:jc w:val="both"/>
        <w:rPr>
          <w:rFonts w:ascii="StoneSansPl" w:hAnsi="StoneSansPl" w:cs="Arial"/>
        </w:rPr>
      </w:pPr>
      <w:r w:rsidRPr="0022526C">
        <w:rPr>
          <w:rFonts w:ascii="StoneSansPl" w:hAnsi="StoneSansPl" w:cs="Arial"/>
        </w:rPr>
        <w:t>gwarancj</w:t>
      </w:r>
      <w:r w:rsidR="006F26C9">
        <w:rPr>
          <w:rFonts w:ascii="StoneSansPl" w:hAnsi="StoneSansPl" w:cs="Arial"/>
        </w:rPr>
        <w:t>ach</w:t>
      </w:r>
      <w:r w:rsidRPr="0022526C">
        <w:rPr>
          <w:rFonts w:ascii="StoneSansPl" w:hAnsi="StoneSansPl" w:cs="Arial"/>
        </w:rPr>
        <w:t xml:space="preserve"> finansow</w:t>
      </w:r>
      <w:r w:rsidR="00416099">
        <w:rPr>
          <w:rFonts w:ascii="StoneSansPl" w:hAnsi="StoneSansPl" w:cs="Arial"/>
        </w:rPr>
        <w:t>ych,</w:t>
      </w:r>
    </w:p>
    <w:p w14:paraId="3DA9DAC8" w14:textId="0745D1B2" w:rsidR="0022526C" w:rsidRPr="0022526C" w:rsidRDefault="006F26C9" w:rsidP="00892061">
      <w:pPr>
        <w:pStyle w:val="Akapitzlist"/>
        <w:numPr>
          <w:ilvl w:val="0"/>
          <w:numId w:val="16"/>
        </w:numPr>
        <w:spacing w:after="160" w:line="276" w:lineRule="auto"/>
        <w:contextualSpacing/>
        <w:jc w:val="both"/>
        <w:rPr>
          <w:rFonts w:ascii="StoneSansPl" w:hAnsi="StoneSansPl" w:cs="Arial"/>
        </w:rPr>
      </w:pPr>
      <w:r>
        <w:rPr>
          <w:rFonts w:ascii="StoneSansPl" w:hAnsi="StoneSansPl" w:cs="Arial"/>
        </w:rPr>
        <w:t>pakiecie Twój Biznes Plus adresowanym</w:t>
      </w:r>
      <w:r w:rsidR="0022526C" w:rsidRPr="0022526C">
        <w:rPr>
          <w:rFonts w:ascii="StoneSansPl" w:hAnsi="StoneSansPl" w:cs="Arial"/>
        </w:rPr>
        <w:t xml:space="preserve"> do sektora małych i średnich</w:t>
      </w:r>
      <w:r w:rsidR="00416099">
        <w:rPr>
          <w:rFonts w:ascii="StoneSansPl" w:hAnsi="StoneSansPl" w:cs="Arial"/>
        </w:rPr>
        <w:t xml:space="preserve"> przedsiębiorstw,</w:t>
      </w:r>
    </w:p>
    <w:p w14:paraId="7F1A3CB9" w14:textId="79A7C915" w:rsidR="000D01BF" w:rsidRDefault="006F26C9" w:rsidP="00892061">
      <w:pPr>
        <w:pStyle w:val="Akapitzlist"/>
        <w:numPr>
          <w:ilvl w:val="0"/>
          <w:numId w:val="16"/>
        </w:numPr>
        <w:spacing w:after="160" w:line="276" w:lineRule="auto"/>
        <w:contextualSpacing/>
        <w:jc w:val="both"/>
        <w:rPr>
          <w:rFonts w:ascii="StoneSansPl" w:hAnsi="StoneSansPl" w:cs="Arial"/>
        </w:rPr>
      </w:pPr>
      <w:r w:rsidRPr="006F26C9">
        <w:rPr>
          <w:rFonts w:ascii="StoneSansPl" w:hAnsi="StoneSansPl" w:cs="Arial"/>
        </w:rPr>
        <w:t>ubezpieczeniu straty finansowej (GAP), obejmując</w:t>
      </w:r>
      <w:r w:rsidR="00656FAF">
        <w:rPr>
          <w:rFonts w:ascii="StoneSansPl" w:hAnsi="StoneSansPl" w:cs="Arial"/>
        </w:rPr>
        <w:t>ym</w:t>
      </w:r>
      <w:r w:rsidRPr="006F26C9">
        <w:rPr>
          <w:rFonts w:ascii="StoneSansPl" w:hAnsi="StoneSansPl" w:cs="Arial"/>
        </w:rPr>
        <w:t xml:space="preserve"> ryzyko utraty wartości pojazdu w czasie, które powstało w wyniku wystąpienia szkody całkow</w:t>
      </w:r>
      <w:r w:rsidR="00416099">
        <w:rPr>
          <w:rFonts w:ascii="StoneSansPl" w:hAnsi="StoneSansPl" w:cs="Arial"/>
        </w:rPr>
        <w:t>itej z AC lub OC oraz kradzieży.</w:t>
      </w:r>
    </w:p>
    <w:p w14:paraId="726CCA38" w14:textId="77777777" w:rsidR="00416099" w:rsidRPr="00416099" w:rsidRDefault="00416099" w:rsidP="00416099">
      <w:pPr>
        <w:pStyle w:val="Akapitzlist"/>
        <w:spacing w:after="160" w:line="276" w:lineRule="auto"/>
        <w:contextualSpacing/>
        <w:jc w:val="both"/>
        <w:rPr>
          <w:rFonts w:ascii="StoneSansPl" w:hAnsi="StoneSansPl" w:cs="Arial"/>
        </w:rPr>
      </w:pPr>
    </w:p>
    <w:p w14:paraId="49E93C2A" w14:textId="706C2026" w:rsidR="0022526C" w:rsidRDefault="006F26C9" w:rsidP="00892061">
      <w:pPr>
        <w:spacing w:line="276" w:lineRule="auto"/>
        <w:jc w:val="both"/>
        <w:rPr>
          <w:rFonts w:ascii="StoneSansPl" w:hAnsi="StoneSansPl" w:cs="Arial"/>
        </w:rPr>
      </w:pPr>
      <w:r>
        <w:rPr>
          <w:rFonts w:ascii="StoneSansPl" w:hAnsi="StoneSansPl" w:cs="Arial"/>
        </w:rPr>
        <w:t xml:space="preserve">Łączna szkodowość netto UNIQA </w:t>
      </w:r>
      <w:r w:rsidR="0022526C" w:rsidRPr="0022526C">
        <w:rPr>
          <w:rFonts w:ascii="StoneSansPl" w:hAnsi="StoneSansPl" w:cs="Arial"/>
        </w:rPr>
        <w:t>wyniosła 64,</w:t>
      </w:r>
      <w:r w:rsidR="00D90A66">
        <w:rPr>
          <w:rFonts w:ascii="StoneSansPl" w:hAnsi="StoneSansPl" w:cs="Arial"/>
        </w:rPr>
        <w:t>3</w:t>
      </w:r>
      <w:r>
        <w:rPr>
          <w:rFonts w:ascii="StoneSansPl" w:hAnsi="StoneSansPl" w:cs="Arial"/>
        </w:rPr>
        <w:t xml:space="preserve"> proc.</w:t>
      </w:r>
      <w:r w:rsidR="0022526C" w:rsidRPr="0022526C">
        <w:rPr>
          <w:rFonts w:ascii="StoneSansPl" w:hAnsi="StoneSansPl" w:cs="Arial"/>
        </w:rPr>
        <w:t xml:space="preserve"> i była znacznie niższa od zanotowanej w 2016 roku (72,</w:t>
      </w:r>
      <w:r w:rsidR="00D90A66">
        <w:rPr>
          <w:rFonts w:ascii="StoneSansPl" w:hAnsi="StoneSansPl" w:cs="Arial"/>
        </w:rPr>
        <w:t>5</w:t>
      </w:r>
      <w:r>
        <w:rPr>
          <w:rFonts w:ascii="StoneSansPl" w:hAnsi="StoneSansPl" w:cs="Arial"/>
        </w:rPr>
        <w:t xml:space="preserve"> proc.</w:t>
      </w:r>
      <w:r w:rsidR="0022526C" w:rsidRPr="0022526C">
        <w:rPr>
          <w:rFonts w:ascii="StoneSansPl" w:hAnsi="StoneSansPl" w:cs="Arial"/>
        </w:rPr>
        <w:t>).</w:t>
      </w:r>
    </w:p>
    <w:p w14:paraId="1F0ADBD0" w14:textId="3EB96EC5" w:rsidR="003B3FDE" w:rsidRDefault="003B3FDE" w:rsidP="00892061">
      <w:pPr>
        <w:spacing w:line="276" w:lineRule="auto"/>
        <w:jc w:val="both"/>
        <w:rPr>
          <w:rFonts w:ascii="StoneSansPl" w:hAnsi="StoneSansPl" w:cs="Arial"/>
        </w:rPr>
      </w:pPr>
    </w:p>
    <w:p w14:paraId="6ADB49B7" w14:textId="79A7DCA0" w:rsidR="00416099" w:rsidRDefault="00416099" w:rsidP="00892061">
      <w:pPr>
        <w:spacing w:line="276" w:lineRule="auto"/>
        <w:jc w:val="both"/>
        <w:rPr>
          <w:rFonts w:ascii="StoneSansPl" w:hAnsi="StoneSansPl" w:cs="Arial"/>
        </w:rPr>
      </w:pPr>
    </w:p>
    <w:p w14:paraId="37C7DCBD" w14:textId="3A5E34C8" w:rsidR="00416099" w:rsidRDefault="00416099" w:rsidP="00892061">
      <w:pPr>
        <w:spacing w:line="276" w:lineRule="auto"/>
        <w:jc w:val="both"/>
        <w:rPr>
          <w:rFonts w:ascii="StoneSansPl" w:hAnsi="StoneSansPl" w:cs="Arial"/>
        </w:rPr>
      </w:pPr>
    </w:p>
    <w:p w14:paraId="4B1BA855" w14:textId="77777777" w:rsidR="003E54F3" w:rsidRDefault="003E54F3" w:rsidP="00892061">
      <w:pPr>
        <w:spacing w:line="276" w:lineRule="auto"/>
        <w:jc w:val="both"/>
        <w:rPr>
          <w:rFonts w:ascii="StoneSansPl" w:hAnsi="StoneSansPl" w:cs="Arial"/>
        </w:rPr>
      </w:pPr>
    </w:p>
    <w:p w14:paraId="104E56B2" w14:textId="77777777" w:rsidR="00416099" w:rsidRDefault="00416099" w:rsidP="00892061">
      <w:pPr>
        <w:spacing w:line="276" w:lineRule="auto"/>
        <w:jc w:val="both"/>
        <w:rPr>
          <w:rFonts w:ascii="StoneSansPl" w:hAnsi="StoneSansPl" w:cs="Arial"/>
        </w:rPr>
      </w:pPr>
    </w:p>
    <w:p w14:paraId="474A106A" w14:textId="77777777" w:rsidR="003B3FDE" w:rsidRPr="0022526C" w:rsidRDefault="003B3FDE" w:rsidP="00892061">
      <w:pPr>
        <w:spacing w:line="276" w:lineRule="auto"/>
        <w:jc w:val="both"/>
        <w:rPr>
          <w:rFonts w:ascii="StoneSansPl" w:hAnsi="StoneSansPl" w:cs="Arial"/>
        </w:rPr>
      </w:pPr>
    </w:p>
    <w:p w14:paraId="44287B4B" w14:textId="4442D031" w:rsidR="0038504D" w:rsidRPr="0022526C" w:rsidRDefault="00B93C2F" w:rsidP="00892061">
      <w:pPr>
        <w:spacing w:line="276" w:lineRule="auto"/>
        <w:jc w:val="both"/>
        <w:rPr>
          <w:rFonts w:ascii="StoneSansPl" w:hAnsi="StoneSansPl" w:cs="Arial"/>
          <w:b/>
        </w:rPr>
      </w:pPr>
      <w:r w:rsidRPr="0022526C">
        <w:rPr>
          <w:rFonts w:ascii="StoneSansPl" w:hAnsi="StoneSansPl" w:cs="Arial"/>
          <w:b/>
        </w:rPr>
        <w:lastRenderedPageBreak/>
        <w:t xml:space="preserve">UNIQA </w:t>
      </w:r>
      <w:r w:rsidR="00FF6622">
        <w:rPr>
          <w:rFonts w:ascii="StoneSansPl" w:hAnsi="StoneSansPl" w:cs="Arial"/>
          <w:b/>
        </w:rPr>
        <w:t>Towarzystwo Ubezpieczeń na Ż</w:t>
      </w:r>
      <w:r w:rsidR="00941FBA" w:rsidRPr="0022526C">
        <w:rPr>
          <w:rFonts w:ascii="StoneSansPl" w:hAnsi="StoneSansPl" w:cs="Arial"/>
          <w:b/>
        </w:rPr>
        <w:t>ycie</w:t>
      </w:r>
    </w:p>
    <w:p w14:paraId="48987DE8" w14:textId="4E6A615E" w:rsidR="0022526C" w:rsidRDefault="0022526C" w:rsidP="00892061">
      <w:pPr>
        <w:spacing w:line="276" w:lineRule="auto"/>
        <w:jc w:val="both"/>
        <w:rPr>
          <w:rFonts w:ascii="StoneSansPl" w:hAnsi="StoneSansPl" w:cs="Arial"/>
          <w:b/>
        </w:rPr>
      </w:pPr>
    </w:p>
    <w:p w14:paraId="696AEBC4" w14:textId="454AA5FC" w:rsidR="00FF6622" w:rsidRDefault="00FF6622" w:rsidP="00892061">
      <w:pPr>
        <w:spacing w:line="276" w:lineRule="auto"/>
        <w:jc w:val="both"/>
        <w:rPr>
          <w:rFonts w:ascii="StoneSansPl" w:hAnsi="StoneSansPl" w:cs="Arial"/>
        </w:rPr>
      </w:pPr>
      <w:r w:rsidRPr="0022526C">
        <w:rPr>
          <w:rFonts w:ascii="StoneSansPl" w:hAnsi="StoneSansPl" w:cs="Arial"/>
        </w:rPr>
        <w:t xml:space="preserve">Wynik finansowy brutto </w:t>
      </w:r>
      <w:r>
        <w:rPr>
          <w:rFonts w:ascii="StoneSansPl" w:hAnsi="StoneSansPl" w:cs="Arial"/>
        </w:rPr>
        <w:t xml:space="preserve">spółki życiowej </w:t>
      </w:r>
      <w:r w:rsidRPr="0022526C">
        <w:rPr>
          <w:rFonts w:ascii="StoneSansPl" w:hAnsi="StoneSansPl" w:cs="Arial"/>
        </w:rPr>
        <w:t>za 2017</w:t>
      </w:r>
      <w:r>
        <w:rPr>
          <w:rFonts w:ascii="StoneSansPl" w:hAnsi="StoneSansPl" w:cs="Arial"/>
        </w:rPr>
        <w:t xml:space="preserve"> rok</w:t>
      </w:r>
      <w:r w:rsidRPr="0022526C">
        <w:rPr>
          <w:rFonts w:ascii="StoneSansPl" w:hAnsi="StoneSansPl" w:cs="Arial"/>
        </w:rPr>
        <w:t xml:space="preserve"> liczony </w:t>
      </w:r>
      <w:r>
        <w:rPr>
          <w:rFonts w:ascii="StoneSansPl" w:hAnsi="StoneSansPl" w:cs="Arial"/>
        </w:rPr>
        <w:t>według</w:t>
      </w:r>
      <w:r w:rsidRPr="0022526C">
        <w:rPr>
          <w:rFonts w:ascii="StoneSansPl" w:hAnsi="StoneSansPl" w:cs="Arial"/>
        </w:rPr>
        <w:t xml:space="preserve"> </w:t>
      </w:r>
      <w:r>
        <w:rPr>
          <w:rFonts w:ascii="StoneSansPl" w:hAnsi="StoneSansPl" w:cs="Arial"/>
        </w:rPr>
        <w:t>międzynarodowych</w:t>
      </w:r>
      <w:r w:rsidRPr="0022526C">
        <w:rPr>
          <w:rFonts w:ascii="StoneSansPl" w:hAnsi="StoneSansPl" w:cs="Arial"/>
        </w:rPr>
        <w:t xml:space="preserve"> standardów rachunkowości wyniósł 4</w:t>
      </w:r>
      <w:r w:rsidRPr="0022526C">
        <w:rPr>
          <w:rFonts w:ascii="StoneSansPl" w:hAnsi="StoneSansPl"/>
        </w:rPr>
        <w:t xml:space="preserve">,3 </w:t>
      </w:r>
      <w:r w:rsidRPr="0022526C">
        <w:rPr>
          <w:rFonts w:ascii="StoneSansPl" w:hAnsi="StoneSansPl" w:cs="Arial"/>
        </w:rPr>
        <w:t>mln zł</w:t>
      </w:r>
      <w:r>
        <w:rPr>
          <w:rFonts w:ascii="StoneSansPl" w:hAnsi="StoneSansPl" w:cs="Arial"/>
        </w:rPr>
        <w:t>,</w:t>
      </w:r>
      <w:r w:rsidRPr="0022526C">
        <w:rPr>
          <w:rFonts w:ascii="StoneSansPl" w:hAnsi="StoneSansPl" w:cs="Arial"/>
        </w:rPr>
        <w:t xml:space="preserve"> wobec 7,2 mln zł w 2016 roku</w:t>
      </w:r>
      <w:r>
        <w:rPr>
          <w:rFonts w:ascii="StoneSansPl" w:hAnsi="StoneSansPl" w:cs="Arial"/>
        </w:rPr>
        <w:t>. W</w:t>
      </w:r>
      <w:r w:rsidRPr="0022526C">
        <w:rPr>
          <w:rFonts w:ascii="StoneSansPl" w:hAnsi="StoneSansPl" w:cs="Arial"/>
        </w:rPr>
        <w:t>ynik po opodatkowaniu</w:t>
      </w:r>
      <w:r>
        <w:rPr>
          <w:rFonts w:ascii="StoneSansPl" w:hAnsi="StoneSansPl" w:cs="Arial"/>
        </w:rPr>
        <w:t xml:space="preserve"> to z kolei</w:t>
      </w:r>
      <w:r w:rsidRPr="0022526C">
        <w:rPr>
          <w:rFonts w:ascii="StoneSansPl" w:hAnsi="StoneSansPl" w:cs="Arial"/>
        </w:rPr>
        <w:t xml:space="preserve"> 2,4 mln zł</w:t>
      </w:r>
      <w:r w:rsidR="003E54F3">
        <w:rPr>
          <w:rFonts w:ascii="StoneSansPl" w:hAnsi="StoneSansPl" w:cs="Arial"/>
        </w:rPr>
        <w:t xml:space="preserve"> (</w:t>
      </w:r>
      <w:r w:rsidRPr="0022526C">
        <w:rPr>
          <w:rFonts w:ascii="StoneSansPl" w:hAnsi="StoneSansPl" w:cs="Arial"/>
        </w:rPr>
        <w:t xml:space="preserve">5,2 mln </w:t>
      </w:r>
      <w:r>
        <w:rPr>
          <w:rFonts w:ascii="StoneSansPl" w:hAnsi="StoneSansPl" w:cs="Arial"/>
        </w:rPr>
        <w:t>rok wcześniej</w:t>
      </w:r>
      <w:r w:rsidR="003E54F3">
        <w:rPr>
          <w:rFonts w:ascii="StoneSansPl" w:hAnsi="StoneSansPl" w:cs="Arial"/>
        </w:rPr>
        <w:t>).</w:t>
      </w:r>
    </w:p>
    <w:p w14:paraId="3313C8C0" w14:textId="77777777" w:rsidR="001A5401" w:rsidRDefault="001A5401" w:rsidP="00892061">
      <w:pPr>
        <w:spacing w:line="276" w:lineRule="auto"/>
        <w:jc w:val="both"/>
        <w:rPr>
          <w:rFonts w:ascii="StoneSansPl" w:hAnsi="StoneSansPl" w:cs="Arial"/>
        </w:rPr>
      </w:pPr>
    </w:p>
    <w:p w14:paraId="622634C7" w14:textId="6BF432D9" w:rsidR="00FF6622" w:rsidRPr="002B2306" w:rsidRDefault="00FF6622" w:rsidP="00892061">
      <w:pPr>
        <w:spacing w:line="276" w:lineRule="auto"/>
        <w:jc w:val="both"/>
        <w:rPr>
          <w:rFonts w:ascii="StoneSansPl" w:hAnsi="StoneSansPl" w:cs="Arial"/>
          <w:i/>
        </w:rPr>
      </w:pPr>
      <w:r w:rsidRPr="001A5401">
        <w:rPr>
          <w:rFonts w:ascii="StoneSansPl" w:hAnsi="StoneSansPl" w:cs="Arial"/>
          <w:i/>
        </w:rPr>
        <w:t xml:space="preserve">- Pogorszenie wyniku finansowego wynika z </w:t>
      </w:r>
      <w:r w:rsidR="00656FAF">
        <w:rPr>
          <w:rFonts w:ascii="StoneSansPl" w:hAnsi="StoneSansPl" w:cs="Arial"/>
          <w:i/>
        </w:rPr>
        <w:t>większej</w:t>
      </w:r>
      <w:r w:rsidR="00656FAF" w:rsidRPr="001A5401">
        <w:rPr>
          <w:rFonts w:ascii="StoneSansPl" w:hAnsi="StoneSansPl" w:cs="Arial"/>
          <w:i/>
        </w:rPr>
        <w:t xml:space="preserve"> </w:t>
      </w:r>
      <w:r w:rsidRPr="001A5401">
        <w:rPr>
          <w:rFonts w:ascii="StoneSansPl" w:hAnsi="StoneSansPl" w:cs="Arial"/>
          <w:i/>
        </w:rPr>
        <w:t>szkodowości w pracowniczych ubezpieczeniach na życie. Zaś na wzrost szkodowości wpływ miało zwiększenie się liczby urodzeń oraz zgonów w minionym roku</w:t>
      </w:r>
      <w:r w:rsidR="001A5401">
        <w:rPr>
          <w:rFonts w:ascii="StoneSansPl" w:hAnsi="StoneSansPl" w:cs="Arial"/>
        </w:rPr>
        <w:t xml:space="preserve"> – mówi </w:t>
      </w:r>
      <w:r w:rsidR="001A5401" w:rsidRPr="00C56A77">
        <w:rPr>
          <w:rFonts w:ascii="StoneSansPl" w:hAnsi="StoneSansPl" w:cs="Arial"/>
          <w:b/>
        </w:rPr>
        <w:t xml:space="preserve">Anna </w:t>
      </w:r>
      <w:proofErr w:type="spellStart"/>
      <w:r w:rsidR="001A5401" w:rsidRPr="00C56A77">
        <w:rPr>
          <w:rFonts w:ascii="StoneSansPl" w:hAnsi="StoneSansPl" w:cs="Arial"/>
          <w:b/>
        </w:rPr>
        <w:t>Demczenko</w:t>
      </w:r>
      <w:proofErr w:type="spellEnd"/>
      <w:r w:rsidRPr="0022526C">
        <w:rPr>
          <w:rFonts w:ascii="StoneSansPl" w:hAnsi="StoneSansPl" w:cs="Arial"/>
        </w:rPr>
        <w:t>.</w:t>
      </w:r>
      <w:r w:rsidR="002B2306">
        <w:rPr>
          <w:rFonts w:ascii="StoneSansPl" w:hAnsi="StoneSansPl" w:cs="Arial"/>
        </w:rPr>
        <w:t xml:space="preserve"> </w:t>
      </w:r>
      <w:r w:rsidR="002B2306" w:rsidRPr="002B2306">
        <w:rPr>
          <w:rFonts w:ascii="StoneSansPl" w:hAnsi="StoneSansPl" w:cs="Arial"/>
          <w:i/>
        </w:rPr>
        <w:t xml:space="preserve">– Według danych GUS zarówno liczba zgonów, jak i urodzeń przekroczyła 400 tys. Rok wcześniej zarówno zgonów, jak i urodzeń nie było więcej niż </w:t>
      </w:r>
      <w:r w:rsidR="00DD4389">
        <w:rPr>
          <w:rFonts w:ascii="StoneSansPl" w:hAnsi="StoneSansPl" w:cs="Arial"/>
          <w:i/>
        </w:rPr>
        <w:t xml:space="preserve">po </w:t>
      </w:r>
      <w:r w:rsidR="002B2306" w:rsidRPr="002B2306">
        <w:rPr>
          <w:rFonts w:ascii="StoneSansPl" w:hAnsi="StoneSansPl" w:cs="Arial"/>
          <w:i/>
        </w:rPr>
        <w:t xml:space="preserve">390 tys. </w:t>
      </w:r>
    </w:p>
    <w:p w14:paraId="082118ED" w14:textId="07C137AD" w:rsidR="002B2306" w:rsidRDefault="002B2306" w:rsidP="00892061">
      <w:pPr>
        <w:jc w:val="both"/>
        <w:rPr>
          <w:rFonts w:ascii="StoneSansPl" w:hAnsi="StoneSansPl" w:cs="Arial"/>
          <w:b/>
        </w:rPr>
      </w:pPr>
    </w:p>
    <w:p w14:paraId="1C25FD91" w14:textId="06EC1E41" w:rsidR="0022526C" w:rsidRDefault="0022526C" w:rsidP="00892061">
      <w:pPr>
        <w:spacing w:line="276" w:lineRule="auto"/>
        <w:jc w:val="both"/>
        <w:rPr>
          <w:rFonts w:ascii="StoneSansPl" w:hAnsi="StoneSansPl" w:cs="Arial"/>
        </w:rPr>
      </w:pPr>
      <w:r w:rsidRPr="0022526C">
        <w:rPr>
          <w:rFonts w:ascii="StoneSansPl" w:hAnsi="StoneSansPl" w:cs="Arial"/>
        </w:rPr>
        <w:t>Łączna wartość składki przypisanej w 2017 roku wyniosła 744,9 mln zł</w:t>
      </w:r>
      <w:r w:rsidR="001A5401">
        <w:rPr>
          <w:rFonts w:ascii="StoneSansPl" w:hAnsi="StoneSansPl" w:cs="Arial"/>
        </w:rPr>
        <w:t>,</w:t>
      </w:r>
      <w:r w:rsidRPr="0022526C">
        <w:rPr>
          <w:rFonts w:ascii="StoneSansPl" w:hAnsi="StoneSansPl" w:cs="Arial"/>
        </w:rPr>
        <w:t xml:space="preserve"> wobec 329,3 mln zł w 2016 roku.</w:t>
      </w:r>
      <w:r w:rsidR="001A5401">
        <w:rPr>
          <w:rFonts w:ascii="StoneSansPl" w:hAnsi="StoneSansPl" w:cs="Arial"/>
        </w:rPr>
        <w:t xml:space="preserve"> </w:t>
      </w:r>
      <w:r w:rsidR="00656FAF">
        <w:rPr>
          <w:rFonts w:ascii="StoneSansPl" w:hAnsi="StoneSansPl" w:cs="Arial"/>
        </w:rPr>
        <w:t>N</w:t>
      </w:r>
      <w:r w:rsidR="001A5401">
        <w:rPr>
          <w:rFonts w:ascii="StoneSansPl" w:hAnsi="StoneSansPl" w:cs="Arial"/>
        </w:rPr>
        <w:t>a osiągnięcie tego wyniku wpływ miał</w:t>
      </w:r>
      <w:r w:rsidR="001C16EA">
        <w:rPr>
          <w:rFonts w:ascii="StoneSansPl" w:hAnsi="StoneSansPl" w:cs="Arial"/>
        </w:rPr>
        <w:t xml:space="preserve"> przede wszystkim</w:t>
      </w:r>
      <w:r w:rsidR="001A5401">
        <w:rPr>
          <w:rFonts w:ascii="StoneSansPl" w:hAnsi="StoneSansPl" w:cs="Arial"/>
        </w:rPr>
        <w:t xml:space="preserve"> jeden produkt ze składką jednorazową „</w:t>
      </w:r>
      <w:proofErr w:type="spellStart"/>
      <w:r w:rsidR="001A5401">
        <w:rPr>
          <w:rFonts w:ascii="StoneSansPl" w:hAnsi="StoneSansPl" w:cs="Arial"/>
        </w:rPr>
        <w:t>UNIQAtowe</w:t>
      </w:r>
      <w:proofErr w:type="spellEnd"/>
      <w:r w:rsidR="001A5401">
        <w:rPr>
          <w:rFonts w:ascii="StoneSansPl" w:hAnsi="StoneSansPl" w:cs="Arial"/>
        </w:rPr>
        <w:t xml:space="preserve"> strategie”. Został on oparty</w:t>
      </w:r>
      <w:r w:rsidR="001A5401" w:rsidRPr="0022526C">
        <w:rPr>
          <w:rFonts w:ascii="StoneSansPl" w:hAnsi="StoneSansPl" w:cs="Arial"/>
        </w:rPr>
        <w:t xml:space="preserve"> na ubezpieczeniowych funduszac</w:t>
      </w:r>
      <w:r w:rsidR="001A5401">
        <w:rPr>
          <w:rFonts w:ascii="StoneSansPl" w:hAnsi="StoneSansPl" w:cs="Arial"/>
        </w:rPr>
        <w:t>h kapitałowych i skonstruowany</w:t>
      </w:r>
      <w:r w:rsidR="001A5401" w:rsidRPr="0022526C">
        <w:rPr>
          <w:rFonts w:ascii="StoneSansPl" w:hAnsi="StoneSansPl" w:cs="Arial"/>
        </w:rPr>
        <w:t xml:space="preserve"> z zachowaniem najnowszych wytycznych rynkowych w zakresie ochrony interesów ubezpieczonego.</w:t>
      </w:r>
    </w:p>
    <w:p w14:paraId="421D7782" w14:textId="34143BFB" w:rsidR="001A5401" w:rsidRDefault="001A5401" w:rsidP="00DD4389">
      <w:pPr>
        <w:spacing w:line="276" w:lineRule="auto"/>
        <w:jc w:val="both"/>
        <w:rPr>
          <w:rFonts w:ascii="StoneSansPl" w:hAnsi="StoneSansPl" w:cs="Arial"/>
        </w:rPr>
      </w:pPr>
    </w:p>
    <w:p w14:paraId="57BBC876" w14:textId="26BBB2D4" w:rsidR="001A5401" w:rsidRPr="00D61958" w:rsidRDefault="00C56A77" w:rsidP="00DD4389">
      <w:pPr>
        <w:pStyle w:val="Tekstkomentarza"/>
        <w:spacing w:line="276" w:lineRule="auto"/>
        <w:jc w:val="both"/>
        <w:rPr>
          <w:rFonts w:ascii="StoneSansPl" w:hAnsi="StoneSansPl" w:cs="Arial"/>
          <w:b/>
          <w:sz w:val="22"/>
        </w:rPr>
      </w:pPr>
      <w:r w:rsidRPr="00D61958">
        <w:rPr>
          <w:rFonts w:ascii="StoneSansPl" w:hAnsi="StoneSansPl" w:cs="Arial"/>
          <w:sz w:val="22"/>
        </w:rPr>
        <w:t xml:space="preserve">- </w:t>
      </w:r>
      <w:r w:rsidR="001A5401" w:rsidRPr="00D61958">
        <w:rPr>
          <w:rFonts w:ascii="StoneSansPl" w:hAnsi="StoneSansPl" w:cs="Arial"/>
          <w:i/>
          <w:sz w:val="22"/>
        </w:rPr>
        <w:t xml:space="preserve">Produkty ze składką jednorazową przyniosły spółce w </w:t>
      </w:r>
      <w:r w:rsidRPr="00D61958">
        <w:rPr>
          <w:rFonts w:ascii="StoneSansPl" w:hAnsi="StoneSansPl" w:cs="Arial"/>
          <w:i/>
          <w:sz w:val="22"/>
        </w:rPr>
        <w:t>2017 roku 624,8 mln zł przypisu</w:t>
      </w:r>
      <w:r w:rsidR="004A00EA" w:rsidRPr="00D61958">
        <w:rPr>
          <w:rFonts w:ascii="StoneSansPl" w:hAnsi="StoneSansPl" w:cs="Arial"/>
          <w:i/>
          <w:sz w:val="22"/>
        </w:rPr>
        <w:t xml:space="preserve"> </w:t>
      </w:r>
      <w:r w:rsidR="00DD4389">
        <w:rPr>
          <w:rFonts w:ascii="StoneSansPl" w:hAnsi="StoneSansPl" w:cs="Arial"/>
          <w:i/>
          <w:sz w:val="22"/>
        </w:rPr>
        <w:t>i</w:t>
      </w:r>
      <w:r w:rsidR="00D61958" w:rsidRPr="00D61958">
        <w:rPr>
          <w:rFonts w:ascii="StoneSansPl" w:hAnsi="StoneSansPl" w:cs="Arial"/>
          <w:i/>
          <w:sz w:val="22"/>
        </w:rPr>
        <w:t xml:space="preserve"> jest to kwota trzykrotnie wyższa niż przed rokiem.</w:t>
      </w:r>
      <w:r w:rsidR="00D61958">
        <w:rPr>
          <w:rFonts w:ascii="StoneSansPl" w:hAnsi="StoneSansPl" w:cs="Arial"/>
          <w:i/>
          <w:sz w:val="22"/>
        </w:rPr>
        <w:t xml:space="preserve"> </w:t>
      </w:r>
      <w:r w:rsidR="00D61958" w:rsidRPr="00D61958">
        <w:rPr>
          <w:rFonts w:ascii="StoneSansPl" w:hAnsi="StoneSansPl" w:cs="Arial"/>
          <w:i/>
          <w:sz w:val="22"/>
        </w:rPr>
        <w:t xml:space="preserve">Wynik ten został osiągnięty dzięki sprzedaży </w:t>
      </w:r>
      <w:r w:rsidR="00DD4389">
        <w:rPr>
          <w:rFonts w:ascii="StoneSansPl" w:hAnsi="StoneSansPl" w:cs="Arial"/>
          <w:i/>
          <w:sz w:val="22"/>
        </w:rPr>
        <w:t>ubezpieczenia</w:t>
      </w:r>
      <w:r w:rsidR="00D61958">
        <w:rPr>
          <w:rFonts w:ascii="StoneSansPl" w:hAnsi="StoneSansPl" w:cs="Arial"/>
          <w:i/>
          <w:sz w:val="22"/>
        </w:rPr>
        <w:t xml:space="preserve"> we współpracy z bankiem. W</w:t>
      </w:r>
      <w:r w:rsidR="00D61958" w:rsidRPr="00D61958">
        <w:rPr>
          <w:rFonts w:ascii="StoneSansPl" w:hAnsi="StoneSansPl" w:cs="Arial"/>
          <w:i/>
          <w:sz w:val="22"/>
        </w:rPr>
        <w:t xml:space="preserve"> roku 2018 spodziewamy się </w:t>
      </w:r>
      <w:r w:rsidR="00D61958">
        <w:rPr>
          <w:rFonts w:ascii="StoneSansPl" w:hAnsi="StoneSansPl" w:cs="Arial"/>
          <w:i/>
          <w:sz w:val="22"/>
        </w:rPr>
        <w:t xml:space="preserve">jednak </w:t>
      </w:r>
      <w:r w:rsidR="00D61958" w:rsidRPr="00D61958">
        <w:rPr>
          <w:rFonts w:ascii="StoneSansPl" w:hAnsi="StoneSansPl" w:cs="Arial"/>
          <w:i/>
          <w:sz w:val="22"/>
        </w:rPr>
        <w:t xml:space="preserve">spadku przypisu z ubezpieczeń na życie w związku z korektą naszego portfela, której dokonaliśmy z </w:t>
      </w:r>
      <w:r w:rsidR="00D61958">
        <w:rPr>
          <w:rFonts w:ascii="StoneSansPl" w:hAnsi="StoneSansPl" w:cs="Arial"/>
          <w:i/>
          <w:sz w:val="22"/>
        </w:rPr>
        <w:t xml:space="preserve">myślą o przyszłości </w:t>
      </w:r>
      <w:r w:rsidRPr="00D61958">
        <w:rPr>
          <w:rFonts w:ascii="StoneSansPl" w:hAnsi="StoneSansPl" w:cs="Arial"/>
          <w:i/>
        </w:rPr>
        <w:t xml:space="preserve">– </w:t>
      </w:r>
      <w:r w:rsidRPr="00D61958">
        <w:rPr>
          <w:rFonts w:ascii="StoneSansPl" w:hAnsi="StoneSansPl" w:cs="Arial"/>
          <w:sz w:val="22"/>
        </w:rPr>
        <w:t xml:space="preserve">tłumaczy </w:t>
      </w:r>
      <w:r w:rsidRPr="00D61958">
        <w:rPr>
          <w:rFonts w:ascii="StoneSansPl" w:hAnsi="StoneSansPl" w:cs="Arial"/>
          <w:b/>
          <w:sz w:val="22"/>
        </w:rPr>
        <w:t xml:space="preserve">Anna </w:t>
      </w:r>
      <w:proofErr w:type="spellStart"/>
      <w:r w:rsidRPr="00D61958">
        <w:rPr>
          <w:rFonts w:ascii="StoneSansPl" w:hAnsi="StoneSansPl" w:cs="Arial"/>
          <w:b/>
          <w:sz w:val="22"/>
        </w:rPr>
        <w:t>Demczenko</w:t>
      </w:r>
      <w:proofErr w:type="spellEnd"/>
      <w:r w:rsidRPr="00D61958">
        <w:rPr>
          <w:rFonts w:ascii="StoneSansPl" w:hAnsi="StoneSansPl" w:cs="Arial"/>
          <w:b/>
          <w:sz w:val="22"/>
        </w:rPr>
        <w:t>.</w:t>
      </w:r>
    </w:p>
    <w:p w14:paraId="7EFE60DA" w14:textId="7F648B72" w:rsidR="001A5401" w:rsidRPr="00D61958" w:rsidRDefault="001A5401" w:rsidP="00DD4389">
      <w:pPr>
        <w:pStyle w:val="Tekstkomentarza"/>
        <w:spacing w:line="276" w:lineRule="auto"/>
        <w:jc w:val="both"/>
        <w:rPr>
          <w:rFonts w:ascii="StoneSansPl" w:hAnsi="StoneSansPl" w:cs="Arial"/>
          <w:sz w:val="22"/>
        </w:rPr>
      </w:pPr>
    </w:p>
    <w:p w14:paraId="787D6409" w14:textId="55169CAD" w:rsidR="0022526C" w:rsidRPr="0022526C" w:rsidRDefault="0022526C" w:rsidP="00892061">
      <w:pPr>
        <w:spacing w:line="276" w:lineRule="auto"/>
        <w:jc w:val="both"/>
        <w:rPr>
          <w:rFonts w:ascii="StoneSansPl" w:hAnsi="StoneSansPl" w:cs="Arial"/>
          <w:color w:val="FF0000"/>
        </w:rPr>
      </w:pPr>
      <w:r w:rsidRPr="0022526C">
        <w:rPr>
          <w:rFonts w:ascii="StoneSansPl" w:hAnsi="StoneSansPl" w:cs="Arial"/>
        </w:rPr>
        <w:t>Wartość przypisanej składki regularnej w 2017 roku w</w:t>
      </w:r>
      <w:r w:rsidR="00C56A77">
        <w:rPr>
          <w:rFonts w:ascii="StoneSansPl" w:hAnsi="StoneSansPl" w:cs="Arial"/>
        </w:rPr>
        <w:t>yniosła 120,1 mln zł i była o 3 proc.</w:t>
      </w:r>
      <w:r w:rsidRPr="0022526C">
        <w:rPr>
          <w:rFonts w:ascii="StoneSansPl" w:hAnsi="StoneSansPl" w:cs="Arial"/>
        </w:rPr>
        <w:t xml:space="preserve"> wyższa w porównaniu z analogicznym okresem 2016 roku. </w:t>
      </w:r>
      <w:r w:rsidR="00656FAF">
        <w:rPr>
          <w:rFonts w:ascii="StoneSansPl" w:hAnsi="StoneSansPl" w:cs="Arial"/>
        </w:rPr>
        <w:t>S</w:t>
      </w:r>
      <w:r w:rsidR="00C56A77">
        <w:rPr>
          <w:rFonts w:ascii="StoneSansPl" w:hAnsi="StoneSansPl" w:cs="Arial"/>
        </w:rPr>
        <w:t>pół</w:t>
      </w:r>
      <w:r w:rsidR="00656FAF">
        <w:rPr>
          <w:rFonts w:ascii="StoneSansPl" w:hAnsi="StoneSansPl" w:cs="Arial"/>
        </w:rPr>
        <w:t>k</w:t>
      </w:r>
      <w:r w:rsidR="00C56A77">
        <w:rPr>
          <w:rFonts w:ascii="StoneSansPl" w:hAnsi="StoneSansPl" w:cs="Arial"/>
        </w:rPr>
        <w:t>a zanotowała</w:t>
      </w:r>
      <w:r w:rsidRPr="0022526C">
        <w:rPr>
          <w:rFonts w:ascii="StoneSansPl" w:hAnsi="StoneSansPl" w:cs="Arial"/>
        </w:rPr>
        <w:t xml:space="preserve"> 15,7</w:t>
      </w:r>
      <w:r w:rsidR="00C56A77">
        <w:rPr>
          <w:rFonts w:ascii="StoneSansPl" w:hAnsi="StoneSansPl" w:cs="Arial"/>
        </w:rPr>
        <w:t>-proc.</w:t>
      </w:r>
      <w:r w:rsidRPr="0022526C">
        <w:rPr>
          <w:rFonts w:ascii="StoneSansPl" w:hAnsi="StoneSansPl" w:cs="Arial"/>
        </w:rPr>
        <w:t xml:space="preserve"> wzrost </w:t>
      </w:r>
      <w:r w:rsidR="00C56A77">
        <w:rPr>
          <w:rFonts w:ascii="StoneSansPl" w:hAnsi="StoneSansPl" w:cs="Arial"/>
        </w:rPr>
        <w:t>w</w:t>
      </w:r>
      <w:r w:rsidRPr="0022526C">
        <w:rPr>
          <w:rFonts w:ascii="StoneSansPl" w:hAnsi="StoneSansPl" w:cs="Arial"/>
        </w:rPr>
        <w:t xml:space="preserve"> indy</w:t>
      </w:r>
      <w:r w:rsidR="00C56A77">
        <w:rPr>
          <w:rFonts w:ascii="StoneSansPl" w:hAnsi="StoneSansPl" w:cs="Arial"/>
        </w:rPr>
        <w:t>widualnych ubezpiecze</w:t>
      </w:r>
      <w:r w:rsidR="00656FAF">
        <w:rPr>
          <w:rFonts w:ascii="StoneSansPl" w:hAnsi="StoneSansPl" w:cs="Arial"/>
        </w:rPr>
        <w:t>niach</w:t>
      </w:r>
      <w:r w:rsidR="00C56A77">
        <w:rPr>
          <w:rFonts w:ascii="StoneSansPl" w:hAnsi="StoneSansPl" w:cs="Arial"/>
        </w:rPr>
        <w:t xml:space="preserve"> na życie, oraz </w:t>
      </w:r>
      <w:r w:rsidRPr="0022526C">
        <w:rPr>
          <w:rFonts w:ascii="StoneSansPl" w:hAnsi="StoneSansPl" w:cs="Arial"/>
        </w:rPr>
        <w:t>7,1</w:t>
      </w:r>
      <w:r w:rsidR="00C56A77">
        <w:rPr>
          <w:rFonts w:ascii="StoneSansPl" w:hAnsi="StoneSansPl" w:cs="Arial"/>
        </w:rPr>
        <w:t>-proc.</w:t>
      </w:r>
      <w:r w:rsidRPr="0022526C">
        <w:rPr>
          <w:rFonts w:ascii="StoneSansPl" w:hAnsi="StoneSansPl" w:cs="Arial"/>
        </w:rPr>
        <w:t xml:space="preserve"> wzrost sprzedaży grupowych ubezpieczeń pracowniczych.</w:t>
      </w:r>
    </w:p>
    <w:p w14:paraId="59E576D3" w14:textId="0E3A93D1" w:rsidR="00284AAB" w:rsidRPr="00B62A9A" w:rsidRDefault="00284AAB" w:rsidP="00892061">
      <w:pPr>
        <w:autoSpaceDE w:val="0"/>
        <w:autoSpaceDN w:val="0"/>
        <w:spacing w:line="276" w:lineRule="auto"/>
        <w:jc w:val="both"/>
        <w:rPr>
          <w:rFonts w:ascii="StoneSansPl" w:hAnsi="StoneSansPl" w:cs="Arial"/>
        </w:rPr>
      </w:pPr>
    </w:p>
    <w:p w14:paraId="530C75BC" w14:textId="77777777" w:rsidR="00284AAB" w:rsidRPr="00B62A9A" w:rsidRDefault="00284AAB" w:rsidP="00892061">
      <w:pPr>
        <w:spacing w:line="276" w:lineRule="auto"/>
        <w:jc w:val="both"/>
        <w:rPr>
          <w:rFonts w:ascii="StoneSansPl" w:hAnsi="StoneSansPl" w:cs="Arial"/>
          <w:b/>
        </w:rPr>
      </w:pPr>
      <w:r w:rsidRPr="00B62A9A">
        <w:rPr>
          <w:rFonts w:ascii="StoneSansPl" w:hAnsi="StoneSansPl" w:cs="Arial"/>
          <w:b/>
        </w:rPr>
        <w:t xml:space="preserve">Wypłacalność II </w:t>
      </w:r>
    </w:p>
    <w:p w14:paraId="3433FD32" w14:textId="78457F35" w:rsidR="00B36B8B" w:rsidRDefault="00B36B8B" w:rsidP="00892061">
      <w:pPr>
        <w:spacing w:line="276" w:lineRule="auto"/>
        <w:jc w:val="both"/>
        <w:rPr>
          <w:rFonts w:ascii="StoneSansPl" w:hAnsi="StoneSansPl" w:cs="Arial"/>
        </w:rPr>
      </w:pPr>
    </w:p>
    <w:p w14:paraId="163E6A82" w14:textId="2499CAA3" w:rsidR="00B36B8B" w:rsidRDefault="00B36B8B" w:rsidP="00892061">
      <w:pPr>
        <w:spacing w:line="276" w:lineRule="auto"/>
        <w:jc w:val="both"/>
        <w:rPr>
          <w:rFonts w:ascii="StoneSansPl" w:hAnsi="StoneSansPl" w:cs="Arial"/>
        </w:rPr>
      </w:pPr>
      <w:r w:rsidRPr="00B62A9A">
        <w:rPr>
          <w:rFonts w:ascii="StoneSansPl" w:hAnsi="StoneSansPl" w:cs="Arial"/>
        </w:rPr>
        <w:t xml:space="preserve">2017 rok stał </w:t>
      </w:r>
      <w:r w:rsidR="00460D4B">
        <w:rPr>
          <w:rFonts w:ascii="StoneSansPl" w:hAnsi="StoneSansPl" w:cs="Arial"/>
        </w:rPr>
        <w:t xml:space="preserve">również </w:t>
      </w:r>
      <w:r w:rsidRPr="00B62A9A">
        <w:rPr>
          <w:rFonts w:ascii="StoneSansPl" w:hAnsi="StoneSansPl" w:cs="Arial"/>
        </w:rPr>
        <w:t xml:space="preserve">pod znakiem zakończenia wdrożenia dyrektywy </w:t>
      </w:r>
      <w:proofErr w:type="spellStart"/>
      <w:r w:rsidRPr="00B62A9A">
        <w:rPr>
          <w:rFonts w:ascii="StoneSansPl" w:hAnsi="StoneSansPl" w:cs="Arial"/>
        </w:rPr>
        <w:t>Solvency</w:t>
      </w:r>
      <w:proofErr w:type="spellEnd"/>
      <w:r w:rsidRPr="00B62A9A">
        <w:rPr>
          <w:rFonts w:ascii="StoneSansPl" w:hAnsi="StoneSansPl" w:cs="Arial"/>
        </w:rPr>
        <w:t xml:space="preserve"> II – pierwsze sprawozdania na temat wypłacalności i kondycji finansowej</w:t>
      </w:r>
      <w:r w:rsidR="00B62A9A">
        <w:rPr>
          <w:rFonts w:ascii="StoneSansPl" w:hAnsi="StoneSansPl" w:cs="Arial"/>
        </w:rPr>
        <w:t xml:space="preserve"> były </w:t>
      </w:r>
      <w:r w:rsidR="006D35DA">
        <w:rPr>
          <w:rFonts w:ascii="StoneSansPl" w:hAnsi="StoneSansPl" w:cs="Arial"/>
        </w:rPr>
        <w:t>uwieńczeniem</w:t>
      </w:r>
      <w:r w:rsidR="00B62A9A">
        <w:rPr>
          <w:rFonts w:ascii="StoneSansPl" w:hAnsi="StoneSansPl" w:cs="Arial"/>
        </w:rPr>
        <w:t xml:space="preserve"> pracy</w:t>
      </w:r>
      <w:r w:rsidRPr="00B62A9A">
        <w:rPr>
          <w:rFonts w:ascii="StoneSansPl" w:hAnsi="StoneSansPl" w:cs="Arial"/>
        </w:rPr>
        <w:t xml:space="preserve"> ostatnich lat i przygotowań do wejścia w życie tego reżimu. </w:t>
      </w:r>
    </w:p>
    <w:p w14:paraId="70749E9C" w14:textId="77777777" w:rsidR="00B62A9A" w:rsidRDefault="00B62A9A" w:rsidP="00892061">
      <w:pPr>
        <w:spacing w:line="276" w:lineRule="auto"/>
        <w:jc w:val="both"/>
        <w:rPr>
          <w:rFonts w:ascii="StoneSansPl" w:hAnsi="StoneSansPl" w:cs="Arial"/>
        </w:rPr>
      </w:pPr>
    </w:p>
    <w:p w14:paraId="1688BC18" w14:textId="5FF9EB81" w:rsidR="005C62F8" w:rsidRPr="005C62F8" w:rsidRDefault="005C62F8" w:rsidP="00892061">
      <w:pPr>
        <w:spacing w:line="276" w:lineRule="auto"/>
        <w:jc w:val="both"/>
        <w:rPr>
          <w:rFonts w:ascii="StoneSansPl" w:hAnsi="StoneSansPl" w:cs="Arial"/>
        </w:rPr>
      </w:pPr>
      <w:r w:rsidRPr="005C62F8">
        <w:rPr>
          <w:rFonts w:ascii="StoneSansPl" w:hAnsi="StoneSansPl" w:cs="Arial"/>
        </w:rPr>
        <w:t xml:space="preserve">Obie spółki UNIQA w Polsce mogą pochwalić się wysokim współczynnikiem wypłacalności SCR </w:t>
      </w:r>
      <w:r w:rsidR="00A742E2">
        <w:rPr>
          <w:rFonts w:ascii="StoneSansPl" w:hAnsi="StoneSansPl" w:cs="Arial"/>
        </w:rPr>
        <w:t>we wszystkich kwartałach</w:t>
      </w:r>
      <w:r w:rsidRPr="005C62F8">
        <w:rPr>
          <w:rFonts w:ascii="StoneSansPl" w:hAnsi="StoneSansPl" w:cs="Arial"/>
        </w:rPr>
        <w:t xml:space="preserve"> 2017 roku. W przypadku spółki majątkowej UNIQA Polska </w:t>
      </w:r>
      <w:r w:rsidR="003E54F3">
        <w:rPr>
          <w:rFonts w:ascii="StoneSansPl" w:hAnsi="StoneSansPl" w:cs="Arial"/>
        </w:rPr>
        <w:t>wyniósł</w:t>
      </w:r>
      <w:r w:rsidRPr="005C62F8">
        <w:rPr>
          <w:rFonts w:ascii="StoneSansPl" w:hAnsi="StoneSansPl" w:cs="Arial"/>
        </w:rPr>
        <w:t xml:space="preserve"> </w:t>
      </w:r>
      <w:r w:rsidR="00460D4B">
        <w:rPr>
          <w:rFonts w:ascii="StoneSansPl" w:hAnsi="StoneSansPl" w:cs="Arial"/>
        </w:rPr>
        <w:t xml:space="preserve">on </w:t>
      </w:r>
      <w:r w:rsidRPr="005C62F8">
        <w:rPr>
          <w:rFonts w:ascii="StoneSansPl" w:hAnsi="StoneSansPl" w:cs="Arial"/>
        </w:rPr>
        <w:t>167,6 pro</w:t>
      </w:r>
      <w:r w:rsidR="00460D4B">
        <w:rPr>
          <w:rFonts w:ascii="StoneSansPl" w:hAnsi="StoneSansPl" w:cs="Arial"/>
        </w:rPr>
        <w:t xml:space="preserve">c. na koniec grudnia 2017 roku. </w:t>
      </w:r>
      <w:r w:rsidRPr="005C62F8">
        <w:rPr>
          <w:rFonts w:ascii="StoneSansPl" w:hAnsi="StoneSansPl" w:cs="Arial"/>
        </w:rPr>
        <w:t xml:space="preserve">Dla </w:t>
      </w:r>
      <w:r w:rsidR="00A742E2" w:rsidRPr="005C62F8">
        <w:rPr>
          <w:rFonts w:ascii="StoneSansPl" w:hAnsi="StoneSansPl" w:cs="Arial"/>
        </w:rPr>
        <w:t xml:space="preserve">biznesu </w:t>
      </w:r>
      <w:r w:rsidRPr="005C62F8">
        <w:rPr>
          <w:rFonts w:ascii="StoneSansPl" w:hAnsi="StoneSansPl" w:cs="Arial"/>
        </w:rPr>
        <w:t>życiowego ukształtow</w:t>
      </w:r>
      <w:r w:rsidR="00460D4B">
        <w:rPr>
          <w:rFonts w:ascii="StoneSansPl" w:hAnsi="StoneSansPl" w:cs="Arial"/>
        </w:rPr>
        <w:t xml:space="preserve">ał się na poziomie 265,7 proc. </w:t>
      </w:r>
      <w:r w:rsidRPr="005C62F8">
        <w:rPr>
          <w:rFonts w:ascii="StoneSansPl" w:hAnsi="StoneSansPl" w:cs="Arial"/>
        </w:rPr>
        <w:t xml:space="preserve">Oba współczynniki są powyżej ich docelowego poziomu zapisanego w strategii ryzyka - 150 proc. dla spółki majątkowej i 175 proc. dla </w:t>
      </w:r>
      <w:r w:rsidR="00460D4B">
        <w:rPr>
          <w:rFonts w:ascii="StoneSansPl" w:hAnsi="StoneSansPl" w:cs="Arial"/>
        </w:rPr>
        <w:t>towarzystwa</w:t>
      </w:r>
      <w:r w:rsidRPr="005C62F8">
        <w:rPr>
          <w:rFonts w:ascii="StoneSansPl" w:hAnsi="StoneSansPl" w:cs="Arial"/>
        </w:rPr>
        <w:t xml:space="preserve"> życiowego. </w:t>
      </w:r>
    </w:p>
    <w:p w14:paraId="16A49C3E" w14:textId="77777777" w:rsidR="005C62F8" w:rsidRPr="005C62F8" w:rsidRDefault="005C62F8" w:rsidP="00892061">
      <w:pPr>
        <w:spacing w:line="276" w:lineRule="auto"/>
        <w:jc w:val="both"/>
        <w:rPr>
          <w:rFonts w:ascii="StoneSansPl" w:hAnsi="StoneSansPl" w:cs="Arial"/>
        </w:rPr>
      </w:pPr>
    </w:p>
    <w:p w14:paraId="440AC0DA" w14:textId="4F46858E" w:rsidR="005C62F8" w:rsidRDefault="00460D4B" w:rsidP="00892061">
      <w:pPr>
        <w:spacing w:line="276" w:lineRule="auto"/>
        <w:jc w:val="both"/>
        <w:rPr>
          <w:rFonts w:ascii="StoneSansPl" w:hAnsi="StoneSansPl" w:cs="Arial"/>
        </w:rPr>
      </w:pPr>
      <w:r>
        <w:rPr>
          <w:rFonts w:ascii="StoneSansPl" w:hAnsi="StoneSansPl" w:cs="Arial"/>
        </w:rPr>
        <w:t>Roczne s</w:t>
      </w:r>
      <w:r w:rsidR="005C62F8" w:rsidRPr="005C62F8">
        <w:rPr>
          <w:rFonts w:ascii="StoneSansPl" w:hAnsi="StoneSansPl" w:cs="Arial"/>
        </w:rPr>
        <w:t>prawozdani</w:t>
      </w:r>
      <w:r>
        <w:rPr>
          <w:rFonts w:ascii="StoneSansPl" w:hAnsi="StoneSansPl" w:cs="Arial"/>
        </w:rPr>
        <w:t>e</w:t>
      </w:r>
      <w:r w:rsidR="005C62F8" w:rsidRPr="005C62F8">
        <w:rPr>
          <w:rFonts w:ascii="StoneSansPl" w:hAnsi="StoneSansPl" w:cs="Arial"/>
        </w:rPr>
        <w:t xml:space="preserve"> na temat wypłacalności i kondycji finansowej (ang. </w:t>
      </w:r>
      <w:proofErr w:type="spellStart"/>
      <w:r w:rsidR="005C62F8" w:rsidRPr="005C62F8">
        <w:rPr>
          <w:rFonts w:ascii="StoneSansPl" w:hAnsi="StoneSansPl" w:cs="Arial"/>
        </w:rPr>
        <w:t>Solvency</w:t>
      </w:r>
      <w:proofErr w:type="spellEnd"/>
      <w:r w:rsidR="005C62F8" w:rsidRPr="005C62F8">
        <w:rPr>
          <w:rFonts w:ascii="StoneSansPl" w:hAnsi="StoneSansPl" w:cs="Arial"/>
        </w:rPr>
        <w:t xml:space="preserve"> Financial </w:t>
      </w:r>
      <w:proofErr w:type="spellStart"/>
      <w:r w:rsidR="005C62F8" w:rsidRPr="005C62F8">
        <w:rPr>
          <w:rFonts w:ascii="StoneSansPl" w:hAnsi="StoneSansPl" w:cs="Arial"/>
        </w:rPr>
        <w:t>Condition</w:t>
      </w:r>
      <w:proofErr w:type="spellEnd"/>
      <w:r w:rsidR="005C62F8" w:rsidRPr="005C62F8">
        <w:rPr>
          <w:rFonts w:ascii="StoneSansPl" w:hAnsi="StoneSansPl" w:cs="Arial"/>
        </w:rPr>
        <w:t xml:space="preserve"> Report – SFCR</w:t>
      </w:r>
      <w:r>
        <w:rPr>
          <w:rFonts w:ascii="StoneSansPl" w:hAnsi="StoneSansPl" w:cs="Arial"/>
        </w:rPr>
        <w:t>) UNIQA</w:t>
      </w:r>
      <w:r w:rsidR="005C62F8" w:rsidRPr="005C62F8">
        <w:rPr>
          <w:rFonts w:ascii="StoneSansPl" w:hAnsi="StoneSansPl" w:cs="Arial"/>
        </w:rPr>
        <w:t xml:space="preserve"> zostanie opublikowane 7</w:t>
      </w:r>
      <w:r>
        <w:rPr>
          <w:rFonts w:ascii="StoneSansPl" w:hAnsi="StoneSansPl" w:cs="Arial"/>
        </w:rPr>
        <w:t xml:space="preserve"> maja.</w:t>
      </w:r>
    </w:p>
    <w:p w14:paraId="5F7E7D37" w14:textId="12967EA6" w:rsidR="003B3FDE" w:rsidRDefault="003B3FDE" w:rsidP="00892061">
      <w:pPr>
        <w:spacing w:line="276" w:lineRule="auto"/>
        <w:jc w:val="both"/>
        <w:rPr>
          <w:rFonts w:ascii="StoneSansPl" w:hAnsi="StoneSansPl" w:cs="Arial"/>
        </w:rPr>
      </w:pPr>
    </w:p>
    <w:p w14:paraId="32856DB6" w14:textId="43CEBCED" w:rsidR="003B3FDE" w:rsidRDefault="003B3FDE" w:rsidP="00892061">
      <w:pPr>
        <w:spacing w:line="276" w:lineRule="auto"/>
        <w:jc w:val="both"/>
        <w:rPr>
          <w:rFonts w:ascii="StoneSansPl" w:hAnsi="StoneSansPl" w:cs="Arial"/>
        </w:rPr>
      </w:pPr>
    </w:p>
    <w:p w14:paraId="6D32B9D2" w14:textId="2B515BE3" w:rsidR="003B3FDE" w:rsidRDefault="003B3FDE" w:rsidP="00892061">
      <w:pPr>
        <w:spacing w:line="276" w:lineRule="auto"/>
        <w:jc w:val="both"/>
        <w:rPr>
          <w:rFonts w:ascii="StoneSansPl" w:hAnsi="StoneSansPl" w:cs="Arial"/>
        </w:rPr>
      </w:pPr>
    </w:p>
    <w:p w14:paraId="6B3ED6C0" w14:textId="77777777" w:rsidR="001C16EA" w:rsidRDefault="001C16EA" w:rsidP="00892061">
      <w:pPr>
        <w:spacing w:line="276" w:lineRule="auto"/>
        <w:jc w:val="both"/>
        <w:rPr>
          <w:rFonts w:ascii="StoneSansPl" w:hAnsi="StoneSansPl" w:cs="Arial"/>
        </w:rPr>
      </w:pPr>
    </w:p>
    <w:p w14:paraId="4671DB48" w14:textId="11CCA5FB" w:rsidR="003B3FDE" w:rsidRPr="005C62F8" w:rsidRDefault="003B3FDE" w:rsidP="00892061">
      <w:pPr>
        <w:spacing w:line="276" w:lineRule="auto"/>
        <w:jc w:val="both"/>
        <w:rPr>
          <w:rFonts w:ascii="StoneSansPl" w:hAnsi="StoneSansPl" w:cs="Arial"/>
        </w:rPr>
      </w:pPr>
    </w:p>
    <w:p w14:paraId="3BE21FED" w14:textId="35CEA3F7" w:rsidR="007C3DCB" w:rsidRPr="00F40951" w:rsidRDefault="007C3DCB" w:rsidP="00892061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Cs w:val="22"/>
        </w:rPr>
      </w:pPr>
    </w:p>
    <w:p w14:paraId="05838BA5" w14:textId="77777777" w:rsidR="003E158E" w:rsidRPr="00E16CB0" w:rsidRDefault="003E158E" w:rsidP="00892061">
      <w:pPr>
        <w:pStyle w:val="NormalnyWeb"/>
        <w:jc w:val="both"/>
        <w:rPr>
          <w:rFonts w:ascii="StoneSansPl" w:hAnsi="StoneSansPl"/>
          <w:sz w:val="20"/>
          <w:szCs w:val="20"/>
        </w:rPr>
      </w:pPr>
      <w:r w:rsidRPr="003E4CCF">
        <w:rPr>
          <w:b/>
          <w:bCs/>
        </w:rPr>
        <w:t>UNIQA Polska</w:t>
      </w:r>
    </w:p>
    <w:p w14:paraId="2290DAF6" w14:textId="0F2991A4" w:rsidR="00E16CB0" w:rsidRPr="00E16CB0" w:rsidRDefault="003E158E" w:rsidP="00892061">
      <w:pPr>
        <w:pStyle w:val="NormalnyWeb"/>
        <w:jc w:val="both"/>
        <w:rPr>
          <w:rFonts w:ascii="StoneSansPl" w:hAnsi="StoneSansPl"/>
          <w:sz w:val="20"/>
          <w:szCs w:val="20"/>
        </w:rPr>
      </w:pPr>
      <w:r w:rsidRPr="00E16CB0">
        <w:rPr>
          <w:rFonts w:ascii="StoneSansPl" w:hAnsi="StoneSansPl"/>
          <w:sz w:val="20"/>
          <w:szCs w:val="20"/>
        </w:rPr>
        <w:t xml:space="preserve">UNIQA w Polsce reprezentują spółki UNIQA TU oraz UNIQA TU na Życie, oferujące ubezpieczenia majątkowe, komunikacyjne i życiowe, zarówno dla klientów indywidualnych, jak </w:t>
      </w:r>
      <w:r w:rsidR="00D27EEF">
        <w:rPr>
          <w:rFonts w:ascii="StoneSansPl" w:hAnsi="StoneSansPl"/>
          <w:sz w:val="20"/>
          <w:szCs w:val="20"/>
        </w:rPr>
        <w:t>i</w:t>
      </w:r>
      <w:r w:rsidR="00D27EEF" w:rsidRPr="00E16CB0">
        <w:rPr>
          <w:rFonts w:ascii="StoneSansPl" w:hAnsi="StoneSansPl"/>
          <w:sz w:val="20"/>
          <w:szCs w:val="20"/>
        </w:rPr>
        <w:t> </w:t>
      </w:r>
      <w:r w:rsidRPr="00E16CB0">
        <w:rPr>
          <w:rFonts w:ascii="StoneSansPl" w:hAnsi="StoneSansPl"/>
          <w:sz w:val="20"/>
          <w:szCs w:val="20"/>
        </w:rPr>
        <w:t xml:space="preserve">instytucjonalnych. </w:t>
      </w:r>
      <w:r w:rsidRPr="003E4CCF">
        <w:rPr>
          <w:rFonts w:ascii="StoneSansPl" w:hAnsi="StoneSansPl"/>
          <w:sz w:val="20"/>
          <w:szCs w:val="20"/>
        </w:rPr>
        <w:t xml:space="preserve">Majątkowe towarzystwo UNIQA </w:t>
      </w:r>
      <w:r w:rsidR="003E4CCF" w:rsidRPr="003E4CCF">
        <w:rPr>
          <w:rFonts w:ascii="StoneSansPl" w:hAnsi="StoneSansPl"/>
          <w:sz w:val="20"/>
          <w:szCs w:val="20"/>
        </w:rPr>
        <w:t>j</w:t>
      </w:r>
      <w:r w:rsidRPr="003E4CCF">
        <w:rPr>
          <w:rFonts w:ascii="StoneSansPl" w:hAnsi="StoneSansPl"/>
          <w:sz w:val="20"/>
          <w:szCs w:val="20"/>
        </w:rPr>
        <w:t>est</w:t>
      </w:r>
      <w:r w:rsidRPr="00E16CB0">
        <w:rPr>
          <w:rFonts w:ascii="StoneSansPl" w:hAnsi="StoneSansPl"/>
          <w:sz w:val="20"/>
          <w:szCs w:val="20"/>
        </w:rPr>
        <w:t xml:space="preserve"> liderem w ubezpieczeniach majątku spółdzielni i wspólnot mieszkaniowych </w:t>
      </w:r>
      <w:r w:rsidR="00C51386">
        <w:rPr>
          <w:rFonts w:ascii="StoneSansPl" w:hAnsi="StoneSansPl"/>
          <w:sz w:val="20"/>
          <w:szCs w:val="20"/>
        </w:rPr>
        <w:t xml:space="preserve">w </w:t>
      </w:r>
      <w:r w:rsidRPr="00E16CB0">
        <w:rPr>
          <w:rFonts w:ascii="StoneSansPl" w:hAnsi="StoneSansPl"/>
          <w:sz w:val="20"/>
          <w:szCs w:val="20"/>
        </w:rPr>
        <w:t xml:space="preserve">Polsce. Ubezpiecza 50 proc. spółdzielni mieszkaniowych, 40 proc. wspólnot mieszkaniowych. Produkty UNIQA można kupić zarówno w ramach sieci wyłącznej, składającej się </w:t>
      </w:r>
      <w:r w:rsidR="00023B73">
        <w:rPr>
          <w:rFonts w:ascii="StoneSansPl" w:hAnsi="StoneSansPl"/>
          <w:sz w:val="20"/>
          <w:szCs w:val="20"/>
        </w:rPr>
        <w:t>z 200</w:t>
      </w:r>
      <w:r w:rsidRPr="00E16CB0">
        <w:rPr>
          <w:rFonts w:ascii="StoneSansPl" w:hAnsi="StoneSansPl"/>
          <w:sz w:val="20"/>
          <w:szCs w:val="20"/>
        </w:rPr>
        <w:t xml:space="preserve"> placówek, jak też w </w:t>
      </w:r>
      <w:proofErr w:type="spellStart"/>
      <w:r w:rsidRPr="00E16CB0">
        <w:rPr>
          <w:rFonts w:ascii="StoneSansPl" w:hAnsi="StoneSansPl"/>
          <w:sz w:val="20"/>
          <w:szCs w:val="20"/>
        </w:rPr>
        <w:t>multiagencjach</w:t>
      </w:r>
      <w:proofErr w:type="spellEnd"/>
      <w:r w:rsidR="003E4CCF">
        <w:rPr>
          <w:rFonts w:ascii="StoneSansPl" w:hAnsi="StoneSansPl"/>
          <w:sz w:val="20"/>
          <w:szCs w:val="20"/>
        </w:rPr>
        <w:t>,</w:t>
      </w:r>
      <w:r w:rsidRPr="00E16CB0">
        <w:rPr>
          <w:rFonts w:ascii="StoneSansPl" w:hAnsi="StoneSansPl"/>
          <w:sz w:val="20"/>
          <w:szCs w:val="20"/>
        </w:rPr>
        <w:t xml:space="preserve"> oraz u brokerów i dealerów samochodowych. W 201</w:t>
      </w:r>
      <w:r w:rsidR="00C51386">
        <w:rPr>
          <w:rFonts w:ascii="StoneSansPl" w:hAnsi="StoneSansPl"/>
          <w:sz w:val="20"/>
          <w:szCs w:val="20"/>
        </w:rPr>
        <w:t>6</w:t>
      </w:r>
      <w:r w:rsidR="007A30BC">
        <w:rPr>
          <w:rFonts w:ascii="StoneSansPl" w:hAnsi="StoneSansPl"/>
          <w:sz w:val="20"/>
          <w:szCs w:val="20"/>
        </w:rPr>
        <w:t xml:space="preserve">, </w:t>
      </w:r>
      <w:r w:rsidRPr="00E16CB0">
        <w:rPr>
          <w:rFonts w:ascii="StoneSansPl" w:hAnsi="StoneSansPl"/>
          <w:sz w:val="20"/>
          <w:szCs w:val="20"/>
        </w:rPr>
        <w:t>201</w:t>
      </w:r>
      <w:r w:rsidR="00C51386">
        <w:rPr>
          <w:rFonts w:ascii="StoneSansPl" w:hAnsi="StoneSansPl"/>
          <w:sz w:val="20"/>
          <w:szCs w:val="20"/>
        </w:rPr>
        <w:t>7</w:t>
      </w:r>
      <w:r w:rsidR="007A30BC">
        <w:rPr>
          <w:rFonts w:ascii="StoneSansPl" w:hAnsi="StoneSansPl"/>
          <w:sz w:val="20"/>
          <w:szCs w:val="20"/>
        </w:rPr>
        <w:t xml:space="preserve"> i 2018</w:t>
      </w:r>
      <w:r w:rsidRPr="00E16CB0">
        <w:rPr>
          <w:rFonts w:ascii="StoneSansPl" w:hAnsi="StoneSansPl"/>
          <w:sz w:val="20"/>
          <w:szCs w:val="20"/>
        </w:rPr>
        <w:t xml:space="preserve"> roku</w:t>
      </w:r>
      <w:r w:rsidR="003E4CCF">
        <w:rPr>
          <w:rFonts w:ascii="StoneSansPl" w:hAnsi="StoneSansPl"/>
          <w:sz w:val="20"/>
          <w:szCs w:val="20"/>
        </w:rPr>
        <w:t xml:space="preserve"> UNIQA uzyskała tytuł Instytucji</w:t>
      </w:r>
      <w:r w:rsidRPr="00E16CB0">
        <w:rPr>
          <w:rFonts w:ascii="StoneSansPl" w:hAnsi="StoneSansPl"/>
          <w:sz w:val="20"/>
          <w:szCs w:val="20"/>
        </w:rPr>
        <w:t xml:space="preserve"> Roku nadany przez niezależny portal MojeBankowanie.pl. UNIQA jest laureate</w:t>
      </w:r>
      <w:r w:rsidR="003E4CCF">
        <w:rPr>
          <w:rFonts w:ascii="StoneSansPl" w:hAnsi="StoneSansPl"/>
          <w:sz w:val="20"/>
          <w:szCs w:val="20"/>
        </w:rPr>
        <w:t xml:space="preserve">m konkursu Solidny Pracodawca. Pod koniec 2017 roku </w:t>
      </w:r>
      <w:r w:rsidR="003E4CCF" w:rsidRPr="003E4CCF">
        <w:rPr>
          <w:rFonts w:ascii="StoneSansPl" w:hAnsi="StoneSansPl"/>
          <w:bCs/>
          <w:sz w:val="20"/>
          <w:szCs w:val="20"/>
        </w:rPr>
        <w:t>ubezpieczenie mienia za składką płatną miesięcznie, które dedykowane jest lokatorom spółdzielni i wspólnot mieszkaniowych</w:t>
      </w:r>
      <w:r w:rsidR="003E4CCF">
        <w:rPr>
          <w:rFonts w:ascii="StoneSansPl" w:hAnsi="StoneSansPl"/>
          <w:bCs/>
          <w:sz w:val="20"/>
          <w:szCs w:val="20"/>
        </w:rPr>
        <w:t>,</w:t>
      </w:r>
      <w:r w:rsidR="003E4CCF" w:rsidRPr="003E4CCF">
        <w:rPr>
          <w:rFonts w:ascii="StoneSansPl" w:hAnsi="StoneSansPl"/>
          <w:bCs/>
          <w:sz w:val="20"/>
          <w:szCs w:val="20"/>
        </w:rPr>
        <w:t xml:space="preserve"> po raz trzeci uzyskało certyfikat „Dobra Polisa”</w:t>
      </w:r>
      <w:r w:rsidRPr="00E16CB0">
        <w:rPr>
          <w:rFonts w:ascii="StoneSansPl" w:hAnsi="StoneSansPl"/>
          <w:sz w:val="20"/>
          <w:szCs w:val="20"/>
        </w:rPr>
        <w:t xml:space="preserve">. Inwestorem strategicznym spółek jest europejski holding ubezpieczeniowy o austriackich korzeniach - UNIQA </w:t>
      </w:r>
      <w:proofErr w:type="spellStart"/>
      <w:r w:rsidRPr="00E16CB0">
        <w:rPr>
          <w:rFonts w:ascii="StoneSansPl" w:hAnsi="StoneSansPl"/>
          <w:sz w:val="20"/>
          <w:szCs w:val="20"/>
        </w:rPr>
        <w:t>Insurance</w:t>
      </w:r>
      <w:proofErr w:type="spellEnd"/>
      <w:r w:rsidRPr="00E16CB0">
        <w:rPr>
          <w:rFonts w:ascii="StoneSansPl" w:hAnsi="StoneSansPl"/>
          <w:sz w:val="20"/>
          <w:szCs w:val="20"/>
        </w:rPr>
        <w:t xml:space="preserve"> </w:t>
      </w:r>
      <w:proofErr w:type="spellStart"/>
      <w:r w:rsidRPr="00E16CB0">
        <w:rPr>
          <w:rFonts w:ascii="StoneSansPl" w:hAnsi="StoneSansPl"/>
          <w:sz w:val="20"/>
          <w:szCs w:val="20"/>
        </w:rPr>
        <w:t>Group</w:t>
      </w:r>
      <w:proofErr w:type="spellEnd"/>
      <w:r w:rsidRPr="00E16CB0">
        <w:rPr>
          <w:rFonts w:ascii="StoneSansPl" w:hAnsi="StoneSansPl"/>
          <w:sz w:val="20"/>
          <w:szCs w:val="20"/>
        </w:rPr>
        <w:t xml:space="preserve"> AG. </w:t>
      </w:r>
    </w:p>
    <w:p w14:paraId="2A2CD4AD" w14:textId="77777777" w:rsidR="003E158E" w:rsidRPr="00E16CB0" w:rsidRDefault="003E158E" w:rsidP="00892061">
      <w:pPr>
        <w:pStyle w:val="NormalnyWeb"/>
        <w:jc w:val="both"/>
        <w:rPr>
          <w:rFonts w:ascii="StoneSansPl" w:hAnsi="StoneSansPl"/>
          <w:sz w:val="20"/>
          <w:szCs w:val="20"/>
        </w:rPr>
      </w:pPr>
      <w:r w:rsidRPr="00E16CB0">
        <w:rPr>
          <w:rFonts w:ascii="StoneSansPl" w:hAnsi="StoneSansPl"/>
          <w:sz w:val="20"/>
          <w:szCs w:val="20"/>
        </w:rPr>
        <w:t xml:space="preserve">Więcej informacji: </w:t>
      </w:r>
      <w:hyperlink r:id="rId8" w:history="1">
        <w:r w:rsidRPr="00E16CB0">
          <w:rPr>
            <w:rStyle w:val="Hipercze"/>
            <w:rFonts w:ascii="StoneSansPl" w:hAnsi="StoneSansPl"/>
            <w:sz w:val="20"/>
            <w:szCs w:val="20"/>
          </w:rPr>
          <w:t>www.uniqa.pl</w:t>
        </w:r>
      </w:hyperlink>
    </w:p>
    <w:p w14:paraId="14E7CB5D" w14:textId="77777777" w:rsidR="003E158E" w:rsidRPr="00E16CB0" w:rsidRDefault="003E158E" w:rsidP="00892061">
      <w:pPr>
        <w:pStyle w:val="NormalnyWeb"/>
        <w:jc w:val="both"/>
        <w:rPr>
          <w:rStyle w:val="Pogrubienie"/>
          <w:rFonts w:ascii="StoneSansPl" w:hAnsi="StoneSansPl"/>
          <w:sz w:val="20"/>
          <w:szCs w:val="20"/>
        </w:rPr>
      </w:pPr>
      <w:r w:rsidRPr="00E16CB0">
        <w:rPr>
          <w:rStyle w:val="Pogrubienie"/>
          <w:rFonts w:ascii="StoneSansPl" w:hAnsi="StoneSansPl"/>
          <w:sz w:val="20"/>
          <w:szCs w:val="20"/>
        </w:rPr>
        <w:t>Grupa UNIQA</w:t>
      </w:r>
    </w:p>
    <w:p w14:paraId="1B717273" w14:textId="3870B2B0" w:rsidR="003E158E" w:rsidRPr="00E16CB0" w:rsidRDefault="003E158E" w:rsidP="00892061">
      <w:pPr>
        <w:pStyle w:val="NormalnyWeb"/>
        <w:jc w:val="both"/>
        <w:rPr>
          <w:rFonts w:ascii="StoneSansPl" w:hAnsi="StoneSansPl"/>
          <w:sz w:val="20"/>
          <w:szCs w:val="20"/>
        </w:rPr>
      </w:pPr>
      <w:r w:rsidRPr="00E16CB0">
        <w:rPr>
          <w:rFonts w:ascii="StoneSansPl" w:hAnsi="StoneSansPl"/>
          <w:sz w:val="20"/>
          <w:szCs w:val="20"/>
        </w:rPr>
        <w:t xml:space="preserve">Grupa UNIQA należy do czołowych grup ubezpieczeniowych na rynkach w Austrii i Europie Środkowo-Wschodniej. </w:t>
      </w:r>
      <w:r w:rsidR="003E4CCF">
        <w:rPr>
          <w:rFonts w:ascii="StoneSansPl" w:hAnsi="StoneSansPl"/>
          <w:sz w:val="20"/>
          <w:szCs w:val="20"/>
        </w:rPr>
        <w:t xml:space="preserve"> P</w:t>
      </w:r>
      <w:r w:rsidRPr="00E16CB0">
        <w:rPr>
          <w:rFonts w:ascii="StoneSansPl" w:hAnsi="StoneSansPl"/>
          <w:sz w:val="20"/>
          <w:szCs w:val="20"/>
        </w:rPr>
        <w:t xml:space="preserve">rowadzi działalność w 18 krajach Europy Środkowo-Wschodniej. </w:t>
      </w:r>
      <w:r w:rsidR="00FF4A6B">
        <w:rPr>
          <w:rFonts w:ascii="StoneSansPl" w:hAnsi="StoneSansPl"/>
          <w:sz w:val="20"/>
          <w:szCs w:val="20"/>
        </w:rPr>
        <w:t>Około 20</w:t>
      </w:r>
      <w:r w:rsidRPr="00E16CB0">
        <w:rPr>
          <w:rFonts w:ascii="StoneSansPl" w:hAnsi="StoneSansPl"/>
          <w:sz w:val="20"/>
          <w:szCs w:val="20"/>
        </w:rPr>
        <w:t xml:space="preserve"> tys. pracowników i partnerów wyłącznych obsługuje </w:t>
      </w:r>
      <w:r w:rsidR="00FF4A6B">
        <w:rPr>
          <w:rFonts w:ascii="StoneSansPl" w:hAnsi="StoneSansPl"/>
          <w:sz w:val="20"/>
          <w:szCs w:val="20"/>
        </w:rPr>
        <w:t>prawie</w:t>
      </w:r>
      <w:r w:rsidRPr="00E16CB0">
        <w:rPr>
          <w:rFonts w:ascii="StoneSansPl" w:hAnsi="StoneSansPl"/>
          <w:sz w:val="20"/>
          <w:szCs w:val="20"/>
        </w:rPr>
        <w:t xml:space="preserve"> 10 mln klientów. UNIQA jest drugą co do wielkości grupą ubezpieczeniową w Austrii, posiadającą ok. 2</w:t>
      </w:r>
      <w:r w:rsidR="00FF4A6B">
        <w:rPr>
          <w:rFonts w:ascii="StoneSansPl" w:hAnsi="StoneSansPl"/>
          <w:sz w:val="20"/>
          <w:szCs w:val="20"/>
        </w:rPr>
        <w:t>1</w:t>
      </w:r>
      <w:r w:rsidR="003E4CCF">
        <w:rPr>
          <w:rFonts w:ascii="StoneSansPl" w:hAnsi="StoneSansPl"/>
          <w:sz w:val="20"/>
          <w:szCs w:val="20"/>
        </w:rPr>
        <w:t>-proc. udział</w:t>
      </w:r>
      <w:r w:rsidRPr="00E16CB0">
        <w:rPr>
          <w:rFonts w:ascii="StoneSansPl" w:hAnsi="StoneSansPl"/>
          <w:sz w:val="20"/>
          <w:szCs w:val="20"/>
        </w:rPr>
        <w:t xml:space="preserve"> w rynku. </w:t>
      </w:r>
      <w:r w:rsidR="003E4CCF">
        <w:rPr>
          <w:rFonts w:ascii="StoneSansPl" w:hAnsi="StoneSansPl"/>
          <w:sz w:val="20"/>
          <w:szCs w:val="20"/>
        </w:rPr>
        <w:t>W</w:t>
      </w:r>
      <w:r w:rsidR="003E4CCF" w:rsidRPr="003E4CCF">
        <w:rPr>
          <w:rFonts w:ascii="StoneSansPl" w:hAnsi="StoneSansPl"/>
          <w:b/>
          <w:bCs/>
          <w:sz w:val="20"/>
          <w:szCs w:val="20"/>
        </w:rPr>
        <w:t xml:space="preserve"> </w:t>
      </w:r>
      <w:r w:rsidR="003E4CCF" w:rsidRPr="003E4CCF">
        <w:rPr>
          <w:rFonts w:ascii="StoneSansPl" w:hAnsi="StoneSansPl"/>
          <w:bCs/>
          <w:sz w:val="20"/>
          <w:szCs w:val="20"/>
        </w:rPr>
        <w:t>2017 roku Grupa UNIQA zebrała 5,3 mld euro składki. J</w:t>
      </w:r>
      <w:r w:rsidR="003E4CCF">
        <w:rPr>
          <w:rFonts w:ascii="StoneSansPl" w:hAnsi="StoneSansPl"/>
          <w:sz w:val="20"/>
          <w:szCs w:val="20"/>
        </w:rPr>
        <w:t>est</w:t>
      </w:r>
      <w:r w:rsidRPr="00E16CB0">
        <w:rPr>
          <w:rFonts w:ascii="StoneSansPl" w:hAnsi="StoneSansPl"/>
          <w:sz w:val="20"/>
          <w:szCs w:val="20"/>
        </w:rPr>
        <w:t xml:space="preserve"> obecna w 15 krajach w regionie Europy Środkowo-Wschodniej: Albanii, Bośni i Hercegowinie, Bułgarii, Chorwacji, Czechach, na Węgrzech, w Kosowie, Macedonii, Czarnogórze, Polsce, Rumunii, Rosji, Serbii, Słowacji oraz na Ukrainie. Do Grupy UNIQA należą również spółki ubezpieczeniowe w Szwajcarii i Liechtensteinie.</w:t>
      </w:r>
    </w:p>
    <w:p w14:paraId="6A405A13" w14:textId="77777777" w:rsidR="00E16CB0" w:rsidRPr="00E16CB0" w:rsidRDefault="00E16CB0" w:rsidP="00892061">
      <w:pPr>
        <w:pStyle w:val="NormalnyWeb"/>
        <w:jc w:val="both"/>
        <w:rPr>
          <w:rFonts w:ascii="StoneSansPl" w:hAnsi="StoneSansPl"/>
          <w:sz w:val="20"/>
          <w:szCs w:val="20"/>
        </w:rPr>
      </w:pPr>
      <w:r w:rsidRPr="00E16CB0">
        <w:rPr>
          <w:rFonts w:ascii="StoneSansPl" w:hAnsi="StoneSansPl"/>
          <w:color w:val="0A0A0A"/>
          <w:sz w:val="20"/>
          <w:szCs w:val="20"/>
          <w:shd w:val="clear" w:color="auto" w:fill="FFFFFF"/>
        </w:rPr>
        <w:t>Więcej informacji: </w:t>
      </w:r>
      <w:hyperlink r:id="rId9" w:history="1">
        <w:r w:rsidRPr="00515467">
          <w:rPr>
            <w:rStyle w:val="Hipercze"/>
            <w:rFonts w:ascii="StoneSansPl" w:hAnsi="StoneSansPl" w:cs="Arial"/>
            <w:i/>
            <w:iCs/>
            <w:color w:val="005EA8"/>
            <w:sz w:val="20"/>
            <w:szCs w:val="20"/>
            <w:shd w:val="clear" w:color="auto" w:fill="FFFFFF"/>
          </w:rPr>
          <w:t>www.uniqagroup.com</w:t>
        </w:r>
      </w:hyperlink>
    </w:p>
    <w:p w14:paraId="41CC82DD" w14:textId="77777777" w:rsidR="00E16CB0" w:rsidRPr="00F40951" w:rsidRDefault="00E16CB0" w:rsidP="00892061">
      <w:pPr>
        <w:pStyle w:val="NormalnyWeb"/>
        <w:jc w:val="both"/>
        <w:rPr>
          <w:rFonts w:ascii="StoneSansPl" w:hAnsi="StoneSansPl"/>
          <w:sz w:val="20"/>
        </w:rPr>
      </w:pPr>
    </w:p>
    <w:p w14:paraId="5DC52AB4" w14:textId="77777777" w:rsidR="003E158E" w:rsidRPr="00F40951" w:rsidRDefault="003E158E" w:rsidP="003E158E">
      <w:pPr>
        <w:spacing w:before="240"/>
        <w:jc w:val="both"/>
        <w:rPr>
          <w:rFonts w:ascii="StoneSansPl" w:hAnsi="StoneSansPl"/>
          <w:sz w:val="20"/>
        </w:rPr>
      </w:pPr>
    </w:p>
    <w:p w14:paraId="70043419" w14:textId="77777777" w:rsidR="00E16CB0" w:rsidRPr="00C87B1F" w:rsidRDefault="003E158E" w:rsidP="00C87B1F">
      <w:pPr>
        <w:pStyle w:val="Tekstpodstawowy2"/>
        <w:spacing w:line="276" w:lineRule="auto"/>
        <w:rPr>
          <w:rFonts w:ascii="StoneSansPl" w:hAnsi="StoneSansPl" w:cs="Arial"/>
          <w:szCs w:val="22"/>
          <w:u w:val="single"/>
        </w:rPr>
      </w:pPr>
      <w:r w:rsidRPr="00F40951">
        <w:rPr>
          <w:rFonts w:ascii="StoneSansPl" w:hAnsi="StoneSansPl" w:cs="Arial"/>
          <w:szCs w:val="22"/>
          <w:u w:val="single"/>
        </w:rPr>
        <w:t>KONTAKT DLA MEDIÓW:</w:t>
      </w:r>
    </w:p>
    <w:p w14:paraId="6C4F94D2" w14:textId="77777777" w:rsidR="00E16CB0" w:rsidRDefault="00E16CB0" w:rsidP="00E16CB0">
      <w:pPr>
        <w:pStyle w:val="Tekstpodstawowy2"/>
        <w:spacing w:after="0" w:line="276" w:lineRule="auto"/>
        <w:rPr>
          <w:rFonts w:ascii="StoneSansPl" w:hAnsi="StoneSansPl" w:cs="Arial"/>
          <w:szCs w:val="22"/>
        </w:rPr>
      </w:pPr>
      <w:r>
        <w:rPr>
          <w:rFonts w:ascii="StoneSansPl" w:hAnsi="StoneSansPl" w:cs="Arial"/>
          <w:b/>
          <w:szCs w:val="22"/>
        </w:rPr>
        <w:t>Katarzyna Ostrowska</w:t>
      </w:r>
      <w:r>
        <w:rPr>
          <w:rFonts w:ascii="StoneSansPl" w:hAnsi="StoneSansPl" w:cs="Arial"/>
          <w:b/>
          <w:szCs w:val="22"/>
        </w:rPr>
        <w:tab/>
      </w:r>
      <w:r>
        <w:rPr>
          <w:rFonts w:ascii="StoneSansPl" w:hAnsi="StoneSansPl" w:cs="Arial"/>
          <w:b/>
          <w:szCs w:val="22"/>
        </w:rPr>
        <w:tab/>
      </w:r>
      <w:r>
        <w:rPr>
          <w:rFonts w:ascii="StoneSansPl" w:hAnsi="StoneSansPl" w:cs="Arial"/>
          <w:b/>
          <w:szCs w:val="22"/>
        </w:rPr>
        <w:tab/>
      </w:r>
      <w:r>
        <w:rPr>
          <w:rFonts w:ascii="StoneSansPl" w:hAnsi="StoneSansPl" w:cs="Arial"/>
          <w:b/>
          <w:szCs w:val="22"/>
        </w:rPr>
        <w:tab/>
      </w:r>
      <w:r>
        <w:rPr>
          <w:rFonts w:ascii="StoneSansPl" w:hAnsi="StoneSansPl" w:cs="Arial"/>
          <w:b/>
          <w:szCs w:val="22"/>
        </w:rPr>
        <w:tab/>
      </w:r>
      <w:r>
        <w:rPr>
          <w:rFonts w:ascii="StoneSansPl" w:hAnsi="StoneSansPl" w:cs="Arial"/>
          <w:b/>
          <w:szCs w:val="22"/>
        </w:rPr>
        <w:tab/>
      </w:r>
      <w:r>
        <w:rPr>
          <w:rFonts w:ascii="StoneSansPl" w:hAnsi="StoneSansPl" w:cs="Arial"/>
          <w:b/>
          <w:szCs w:val="22"/>
        </w:rPr>
        <w:tab/>
      </w:r>
      <w:r>
        <w:rPr>
          <w:rFonts w:ascii="StoneSansPl" w:hAnsi="StoneSansPl" w:cs="Arial"/>
          <w:b/>
          <w:szCs w:val="22"/>
        </w:rPr>
        <w:br/>
      </w:r>
      <w:r>
        <w:rPr>
          <w:rFonts w:ascii="StoneSansPl" w:hAnsi="StoneSansPl" w:cs="Arial"/>
          <w:szCs w:val="22"/>
        </w:rPr>
        <w:t xml:space="preserve">rzeczniczka prasowa UNIQA </w:t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 w:cs="Arial"/>
          <w:szCs w:val="22"/>
        </w:rPr>
        <w:tab/>
      </w:r>
      <w:r>
        <w:rPr>
          <w:rFonts w:ascii="StoneSansPl" w:hAnsi="StoneSansPl" w:cs="Arial"/>
          <w:szCs w:val="22"/>
        </w:rPr>
        <w:tab/>
      </w:r>
    </w:p>
    <w:p w14:paraId="440D324D" w14:textId="77777777" w:rsidR="00E16CB0" w:rsidRPr="00A82389" w:rsidRDefault="00E16CB0" w:rsidP="00E16CB0">
      <w:pPr>
        <w:pStyle w:val="Tekstpodstawowy2"/>
        <w:spacing w:after="0" w:line="276" w:lineRule="auto"/>
        <w:rPr>
          <w:rFonts w:ascii="StoneSansPl" w:hAnsi="StoneSansPl" w:cs="Arial"/>
          <w:szCs w:val="22"/>
          <w:lang w:val="de-AT"/>
        </w:rPr>
      </w:pPr>
      <w:r w:rsidRPr="00A82389">
        <w:rPr>
          <w:rFonts w:ascii="StoneSansPl" w:hAnsi="StoneSansPl" w:cs="Arial"/>
          <w:szCs w:val="22"/>
          <w:lang w:val="de-AT"/>
        </w:rPr>
        <w:t>tel. (+48) 697 770</w:t>
      </w:r>
      <w:r w:rsidRPr="00A82389">
        <w:rPr>
          <w:rFonts w:ascii="StoneSansPl" w:hAnsi="StoneSansPl" w:hint="eastAsia"/>
          <w:szCs w:val="22"/>
          <w:lang w:val="de-AT"/>
        </w:rPr>
        <w:t> </w:t>
      </w:r>
      <w:r w:rsidRPr="00A82389">
        <w:rPr>
          <w:rFonts w:ascii="StoneSansPl" w:hAnsi="StoneSansPl" w:cs="Arial"/>
          <w:szCs w:val="22"/>
          <w:lang w:val="de-AT"/>
        </w:rPr>
        <w:t xml:space="preserve">498 </w:t>
      </w:r>
      <w:r w:rsidRPr="00A82389">
        <w:rPr>
          <w:rFonts w:ascii="StoneSansPl" w:hAnsi="StoneSansPl" w:cs="Arial"/>
          <w:szCs w:val="22"/>
          <w:lang w:val="de-AT"/>
        </w:rPr>
        <w:tab/>
      </w:r>
      <w:r w:rsidRPr="00A82389">
        <w:rPr>
          <w:rFonts w:ascii="StoneSansPl" w:hAnsi="StoneSansPl" w:cs="Arial"/>
          <w:szCs w:val="22"/>
          <w:lang w:val="de-AT"/>
        </w:rPr>
        <w:tab/>
      </w:r>
      <w:r w:rsidRPr="00A82389">
        <w:rPr>
          <w:rFonts w:ascii="StoneSansPl" w:hAnsi="StoneSansPl" w:cs="Arial"/>
          <w:szCs w:val="22"/>
          <w:lang w:val="de-AT"/>
        </w:rPr>
        <w:tab/>
      </w:r>
      <w:r w:rsidRPr="00A82389">
        <w:rPr>
          <w:rFonts w:ascii="StoneSansPl" w:hAnsi="StoneSansPl" w:cs="Arial"/>
          <w:szCs w:val="22"/>
          <w:lang w:val="de-AT"/>
        </w:rPr>
        <w:tab/>
      </w:r>
      <w:r w:rsidRPr="00A82389">
        <w:rPr>
          <w:rFonts w:ascii="StoneSansPl" w:hAnsi="StoneSansPl" w:cs="Arial"/>
          <w:szCs w:val="22"/>
          <w:lang w:val="de-AT"/>
        </w:rPr>
        <w:tab/>
      </w:r>
      <w:r w:rsidRPr="00A82389">
        <w:rPr>
          <w:rFonts w:ascii="StoneSansPl" w:hAnsi="StoneSansPl" w:cs="Arial"/>
          <w:szCs w:val="22"/>
          <w:lang w:val="de-AT"/>
        </w:rPr>
        <w:tab/>
      </w:r>
      <w:r w:rsidRPr="00A82389">
        <w:rPr>
          <w:rFonts w:ascii="StoneSansPl" w:hAnsi="StoneSansPl" w:cs="Arial"/>
          <w:szCs w:val="22"/>
          <w:lang w:val="de-AT"/>
        </w:rPr>
        <w:tab/>
      </w:r>
      <w:r w:rsidRPr="00A82389">
        <w:rPr>
          <w:rFonts w:ascii="StoneSansPl" w:hAnsi="StoneSansPl"/>
          <w:lang w:val="de-AT"/>
        </w:rPr>
        <w:t xml:space="preserve"> </w:t>
      </w:r>
    </w:p>
    <w:p w14:paraId="494F911C" w14:textId="77777777" w:rsidR="00E16CB0" w:rsidRPr="00A82389" w:rsidRDefault="00E16CB0" w:rsidP="00E16CB0">
      <w:pPr>
        <w:spacing w:line="276" w:lineRule="auto"/>
        <w:jc w:val="both"/>
        <w:rPr>
          <w:rFonts w:ascii="StoneSansPl" w:hAnsi="StoneSansPl"/>
          <w:lang w:val="de-AT"/>
        </w:rPr>
      </w:pPr>
      <w:proofErr w:type="spellStart"/>
      <w:r w:rsidRPr="00A82389">
        <w:rPr>
          <w:rFonts w:ascii="StoneSansPl" w:hAnsi="StoneSansPl" w:cs="Arial"/>
          <w:szCs w:val="22"/>
          <w:lang w:val="de-AT"/>
        </w:rPr>
        <w:t>e-mail</w:t>
      </w:r>
      <w:proofErr w:type="spellEnd"/>
      <w:r w:rsidRPr="00A82389">
        <w:rPr>
          <w:rFonts w:ascii="StoneSansPl" w:hAnsi="StoneSansPl" w:cs="Arial"/>
          <w:szCs w:val="22"/>
          <w:lang w:val="de-AT"/>
        </w:rPr>
        <w:t xml:space="preserve">: </w:t>
      </w:r>
      <w:hyperlink r:id="rId10" w:history="1">
        <w:r w:rsidRPr="00A82389">
          <w:rPr>
            <w:rStyle w:val="Hipercze"/>
            <w:rFonts w:ascii="StoneSansPl" w:hAnsi="StoneSansPl"/>
            <w:szCs w:val="22"/>
            <w:lang w:val="de-AT"/>
          </w:rPr>
          <w:t>katarzyna.ostrowska@uniqa.pl</w:t>
        </w:r>
      </w:hyperlink>
      <w:r w:rsidRPr="00A82389">
        <w:rPr>
          <w:rFonts w:ascii="StoneSansPl" w:hAnsi="StoneSansPl"/>
          <w:szCs w:val="22"/>
          <w:lang w:val="de-AT"/>
        </w:rPr>
        <w:tab/>
      </w:r>
      <w:r w:rsidRPr="00A82389">
        <w:rPr>
          <w:rFonts w:ascii="StoneSansPl" w:hAnsi="StoneSansPl"/>
          <w:szCs w:val="22"/>
          <w:lang w:val="de-AT"/>
        </w:rPr>
        <w:tab/>
      </w:r>
      <w:r w:rsidRPr="00A82389">
        <w:rPr>
          <w:rFonts w:ascii="StoneSansPl" w:hAnsi="StoneSansPl"/>
          <w:szCs w:val="22"/>
          <w:lang w:val="de-AT"/>
        </w:rPr>
        <w:tab/>
      </w:r>
      <w:r w:rsidRPr="00A82389">
        <w:rPr>
          <w:rFonts w:ascii="StoneSansPl" w:hAnsi="StoneSansPl"/>
          <w:szCs w:val="22"/>
          <w:lang w:val="de-AT"/>
        </w:rPr>
        <w:tab/>
      </w:r>
      <w:r w:rsidRPr="00A82389">
        <w:rPr>
          <w:rFonts w:ascii="StoneSansPl" w:hAnsi="StoneSansPl"/>
          <w:szCs w:val="22"/>
          <w:lang w:val="de-AT"/>
        </w:rPr>
        <w:tab/>
      </w:r>
    </w:p>
    <w:p w14:paraId="0C7EB08C" w14:textId="77777777" w:rsidR="00E16CB0" w:rsidRDefault="00E16CB0" w:rsidP="00E16CB0">
      <w:pPr>
        <w:spacing w:line="276" w:lineRule="auto"/>
        <w:jc w:val="both"/>
        <w:rPr>
          <w:rStyle w:val="Hipercze"/>
          <w:rFonts w:ascii="StoneSansPl" w:hAnsi="StoneSansPl"/>
          <w:szCs w:val="22"/>
        </w:rPr>
      </w:pPr>
      <w:proofErr w:type="spellStart"/>
      <w:r>
        <w:rPr>
          <w:rFonts w:ascii="StoneSansPl" w:hAnsi="StoneSansPl" w:cs="Arial"/>
          <w:szCs w:val="22"/>
          <w:lang w:val="de-DE"/>
        </w:rPr>
        <w:t>tt</w:t>
      </w:r>
      <w:proofErr w:type="spellEnd"/>
      <w:r>
        <w:rPr>
          <w:rFonts w:ascii="StoneSansPl" w:hAnsi="StoneSansPl" w:cs="Arial"/>
          <w:szCs w:val="22"/>
          <w:lang w:val="de-DE"/>
        </w:rPr>
        <w:t>/</w:t>
      </w:r>
      <w:proofErr w:type="spellStart"/>
      <w:r>
        <w:rPr>
          <w:rFonts w:ascii="StoneSansPl" w:hAnsi="StoneSansPl" w:cs="Arial"/>
          <w:szCs w:val="22"/>
          <w:lang w:val="de-DE"/>
        </w:rPr>
        <w:t>instagram</w:t>
      </w:r>
      <w:proofErr w:type="spellEnd"/>
      <w:r>
        <w:rPr>
          <w:rFonts w:ascii="StoneSansPl" w:hAnsi="StoneSansPl" w:cs="Arial"/>
          <w:szCs w:val="22"/>
          <w:lang w:val="de-DE"/>
        </w:rPr>
        <w:t xml:space="preserve"> @</w:t>
      </w:r>
      <w:proofErr w:type="spellStart"/>
      <w:r>
        <w:rPr>
          <w:rFonts w:ascii="StoneSansPl" w:hAnsi="StoneSansPl" w:cs="Arial"/>
          <w:szCs w:val="22"/>
          <w:lang w:val="de-DE"/>
        </w:rPr>
        <w:t>uniqapolska</w:t>
      </w:r>
      <w:proofErr w:type="spellEnd"/>
      <w:r>
        <w:rPr>
          <w:rFonts w:ascii="StoneSansPl" w:hAnsi="StoneSansPl" w:cs="Arial"/>
          <w:szCs w:val="22"/>
          <w:lang w:val="de-DE"/>
        </w:rPr>
        <w:t xml:space="preserve"> </w:t>
      </w:r>
      <w:r>
        <w:rPr>
          <w:rFonts w:ascii="StoneSansPl" w:hAnsi="StoneSansPl" w:cs="Arial"/>
          <w:szCs w:val="22"/>
          <w:lang w:val="de-DE"/>
        </w:rPr>
        <w:tab/>
      </w:r>
      <w:r>
        <w:rPr>
          <w:rFonts w:ascii="StoneSansPl" w:hAnsi="StoneSansPl" w:cs="Arial"/>
          <w:szCs w:val="22"/>
          <w:lang w:val="de-DE"/>
        </w:rPr>
        <w:tab/>
      </w:r>
      <w:r>
        <w:rPr>
          <w:rFonts w:ascii="StoneSansPl" w:hAnsi="StoneSansPl" w:cs="Arial"/>
          <w:szCs w:val="22"/>
          <w:lang w:val="de-DE"/>
        </w:rPr>
        <w:tab/>
      </w:r>
      <w:r>
        <w:rPr>
          <w:rFonts w:ascii="StoneSansPl" w:hAnsi="StoneSansPl" w:cs="Arial"/>
          <w:szCs w:val="22"/>
          <w:lang w:val="de-DE"/>
        </w:rPr>
        <w:tab/>
      </w:r>
      <w:r>
        <w:rPr>
          <w:rFonts w:ascii="StoneSansPl" w:hAnsi="StoneSansPl" w:cs="Arial"/>
          <w:szCs w:val="22"/>
          <w:lang w:val="de-DE"/>
        </w:rPr>
        <w:tab/>
      </w:r>
      <w:r>
        <w:rPr>
          <w:rFonts w:ascii="StoneSansPl" w:hAnsi="StoneSansPl" w:cs="Arial"/>
          <w:szCs w:val="22"/>
          <w:lang w:val="de-DE"/>
        </w:rPr>
        <w:tab/>
      </w:r>
    </w:p>
    <w:p w14:paraId="7347A85F" w14:textId="77777777" w:rsidR="003E158E" w:rsidRPr="00C31D19" w:rsidRDefault="003E158E" w:rsidP="003E158E">
      <w:pPr>
        <w:spacing w:line="276" w:lineRule="auto"/>
        <w:jc w:val="both"/>
        <w:rPr>
          <w:color w:val="000000"/>
          <w:sz w:val="27"/>
          <w:szCs w:val="27"/>
        </w:rPr>
      </w:pPr>
    </w:p>
    <w:p w14:paraId="1F134996" w14:textId="77777777" w:rsidR="00D715D4" w:rsidRPr="003E158E" w:rsidRDefault="00D715D4" w:rsidP="003E158E"/>
    <w:p w14:paraId="41FAC9BF" w14:textId="77777777" w:rsidR="00A82389" w:rsidRPr="003E158E" w:rsidRDefault="00A82389"/>
    <w:sectPr w:rsidR="00A82389" w:rsidRPr="003E158E" w:rsidSect="003B0090">
      <w:headerReference w:type="default" r:id="rId11"/>
      <w:footerReference w:type="default" r:id="rId12"/>
      <w:pgSz w:w="11906" w:h="16838"/>
      <w:pgMar w:top="2268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F9566" w14:textId="77777777" w:rsidR="006713BA" w:rsidRDefault="006713BA">
      <w:r>
        <w:separator/>
      </w:r>
    </w:p>
  </w:endnote>
  <w:endnote w:type="continuationSeparator" w:id="0">
    <w:p w14:paraId="0D71B917" w14:textId="77777777" w:rsidR="006713BA" w:rsidRDefault="0067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oneSansP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260EF" w14:textId="77777777" w:rsidR="007D5D22" w:rsidRDefault="007D5D22" w:rsidP="007D5D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D5A95" w14:textId="77777777" w:rsidR="006713BA" w:rsidRDefault="006713BA">
      <w:r>
        <w:separator/>
      </w:r>
    </w:p>
  </w:footnote>
  <w:footnote w:type="continuationSeparator" w:id="0">
    <w:p w14:paraId="54AA86B2" w14:textId="77777777" w:rsidR="006713BA" w:rsidRDefault="0067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6C84E" w14:textId="77777777" w:rsidR="00EA73C5" w:rsidRDefault="001E751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2F9605" wp14:editId="359B2884">
          <wp:simplePos x="0" y="0"/>
          <wp:positionH relativeFrom="column">
            <wp:posOffset>-739140</wp:posOffset>
          </wp:positionH>
          <wp:positionV relativeFrom="paragraph">
            <wp:posOffset>-449579</wp:posOffset>
          </wp:positionV>
          <wp:extent cx="7576185" cy="9563100"/>
          <wp:effectExtent l="0" t="0" r="5715" b="0"/>
          <wp:wrapNone/>
          <wp:docPr id="17" name="Obraz 17" descr="JA:Users:ja:Prace:UNIQA:Manual 2017:papier listowy 2017-maj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A:Users:ja:Prace:UNIQA:Manual 2017:papier listowy 2017-majate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1" b="8587"/>
                  <a:stretch/>
                </pic:blipFill>
                <pic:spPr bwMode="auto">
                  <a:xfrm>
                    <a:off x="0" y="0"/>
                    <a:ext cx="7576185" cy="956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C23B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C0C7A"/>
    <w:multiLevelType w:val="hybridMultilevel"/>
    <w:tmpl w:val="A6D48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47F2"/>
    <w:multiLevelType w:val="multilevel"/>
    <w:tmpl w:val="861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E24309"/>
    <w:multiLevelType w:val="hybridMultilevel"/>
    <w:tmpl w:val="26DAE816"/>
    <w:lvl w:ilvl="0" w:tplc="A8568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4187E"/>
    <w:multiLevelType w:val="hybridMultilevel"/>
    <w:tmpl w:val="B1602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F3215"/>
    <w:multiLevelType w:val="singleLevel"/>
    <w:tmpl w:val="2FD678E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 w15:restartNumberingAfterBreak="0">
    <w:nsid w:val="501A28FA"/>
    <w:multiLevelType w:val="hybridMultilevel"/>
    <w:tmpl w:val="96C0E8EC"/>
    <w:lvl w:ilvl="0" w:tplc="3A7861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D3857"/>
    <w:multiLevelType w:val="hybridMultilevel"/>
    <w:tmpl w:val="F474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E1187"/>
    <w:multiLevelType w:val="hybridMultilevel"/>
    <w:tmpl w:val="EF44B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F38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DC322D"/>
    <w:multiLevelType w:val="hybridMultilevel"/>
    <w:tmpl w:val="318041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B1C1F"/>
    <w:multiLevelType w:val="multilevel"/>
    <w:tmpl w:val="31A86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2"/>
  </w:num>
  <w:num w:numId="11">
    <w:abstractNumId w:val="4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4C"/>
    <w:rsid w:val="00000B41"/>
    <w:rsid w:val="000010E0"/>
    <w:rsid w:val="000013C2"/>
    <w:rsid w:val="0000195C"/>
    <w:rsid w:val="00002D44"/>
    <w:rsid w:val="000108D0"/>
    <w:rsid w:val="00023B73"/>
    <w:rsid w:val="00030C27"/>
    <w:rsid w:val="00033100"/>
    <w:rsid w:val="00034112"/>
    <w:rsid w:val="00037E0F"/>
    <w:rsid w:val="00053B83"/>
    <w:rsid w:val="00062BFD"/>
    <w:rsid w:val="00066792"/>
    <w:rsid w:val="00070041"/>
    <w:rsid w:val="000800A3"/>
    <w:rsid w:val="000B0461"/>
    <w:rsid w:val="000B46FA"/>
    <w:rsid w:val="000C2E49"/>
    <w:rsid w:val="000C61C3"/>
    <w:rsid w:val="000D01BF"/>
    <w:rsid w:val="000E0D8B"/>
    <w:rsid w:val="000E584B"/>
    <w:rsid w:val="00124B15"/>
    <w:rsid w:val="00125D56"/>
    <w:rsid w:val="00130E87"/>
    <w:rsid w:val="0014498B"/>
    <w:rsid w:val="00150A55"/>
    <w:rsid w:val="00150C3C"/>
    <w:rsid w:val="001574D9"/>
    <w:rsid w:val="0016070B"/>
    <w:rsid w:val="0017590E"/>
    <w:rsid w:val="00185FC1"/>
    <w:rsid w:val="0019188F"/>
    <w:rsid w:val="00193BA0"/>
    <w:rsid w:val="00193CBE"/>
    <w:rsid w:val="00195C24"/>
    <w:rsid w:val="001A5401"/>
    <w:rsid w:val="001B5978"/>
    <w:rsid w:val="001C0C59"/>
    <w:rsid w:val="001C16EA"/>
    <w:rsid w:val="001E5FEF"/>
    <w:rsid w:val="001E7518"/>
    <w:rsid w:val="001F09A7"/>
    <w:rsid w:val="001F0F1E"/>
    <w:rsid w:val="001F6377"/>
    <w:rsid w:val="00207BBE"/>
    <w:rsid w:val="00220021"/>
    <w:rsid w:val="0022046F"/>
    <w:rsid w:val="0022526C"/>
    <w:rsid w:val="00262198"/>
    <w:rsid w:val="00266CB1"/>
    <w:rsid w:val="00284AAB"/>
    <w:rsid w:val="002875B8"/>
    <w:rsid w:val="00296FE4"/>
    <w:rsid w:val="002A6DF9"/>
    <w:rsid w:val="002B2306"/>
    <w:rsid w:val="002C4244"/>
    <w:rsid w:val="002C6556"/>
    <w:rsid w:val="002D293F"/>
    <w:rsid w:val="002D3101"/>
    <w:rsid w:val="002D51E1"/>
    <w:rsid w:val="002D5F2A"/>
    <w:rsid w:val="002E0E65"/>
    <w:rsid w:val="002E1553"/>
    <w:rsid w:val="002F52C8"/>
    <w:rsid w:val="00301ABE"/>
    <w:rsid w:val="003068C0"/>
    <w:rsid w:val="0033065F"/>
    <w:rsid w:val="00331F0F"/>
    <w:rsid w:val="0033725B"/>
    <w:rsid w:val="00340F07"/>
    <w:rsid w:val="0034301D"/>
    <w:rsid w:val="00362289"/>
    <w:rsid w:val="0036668A"/>
    <w:rsid w:val="00374423"/>
    <w:rsid w:val="00374AF7"/>
    <w:rsid w:val="0038504D"/>
    <w:rsid w:val="003A1950"/>
    <w:rsid w:val="003B0090"/>
    <w:rsid w:val="003B3FDE"/>
    <w:rsid w:val="003C7318"/>
    <w:rsid w:val="003D156B"/>
    <w:rsid w:val="003D1985"/>
    <w:rsid w:val="003D48AF"/>
    <w:rsid w:val="003D7410"/>
    <w:rsid w:val="003E158E"/>
    <w:rsid w:val="003E2593"/>
    <w:rsid w:val="003E4CCF"/>
    <w:rsid w:val="003E54F3"/>
    <w:rsid w:val="003F25E4"/>
    <w:rsid w:val="003F57CB"/>
    <w:rsid w:val="004071D8"/>
    <w:rsid w:val="00410C7E"/>
    <w:rsid w:val="004153BB"/>
    <w:rsid w:val="00416099"/>
    <w:rsid w:val="0042724C"/>
    <w:rsid w:val="00431CE7"/>
    <w:rsid w:val="00433910"/>
    <w:rsid w:val="00446E85"/>
    <w:rsid w:val="00447D7B"/>
    <w:rsid w:val="004514DF"/>
    <w:rsid w:val="00455758"/>
    <w:rsid w:val="00460D4B"/>
    <w:rsid w:val="00463692"/>
    <w:rsid w:val="004717BA"/>
    <w:rsid w:val="004727D8"/>
    <w:rsid w:val="00475F17"/>
    <w:rsid w:val="004914AE"/>
    <w:rsid w:val="004A00EA"/>
    <w:rsid w:val="004B4A7A"/>
    <w:rsid w:val="004C2D2F"/>
    <w:rsid w:val="004F39B2"/>
    <w:rsid w:val="004F4FD6"/>
    <w:rsid w:val="004F5755"/>
    <w:rsid w:val="00501EB0"/>
    <w:rsid w:val="0050784F"/>
    <w:rsid w:val="00515467"/>
    <w:rsid w:val="00522082"/>
    <w:rsid w:val="0052265A"/>
    <w:rsid w:val="00523A74"/>
    <w:rsid w:val="00525219"/>
    <w:rsid w:val="005400EE"/>
    <w:rsid w:val="00542AD9"/>
    <w:rsid w:val="00544C70"/>
    <w:rsid w:val="00551B79"/>
    <w:rsid w:val="0055314D"/>
    <w:rsid w:val="005538A3"/>
    <w:rsid w:val="00555855"/>
    <w:rsid w:val="00557E0F"/>
    <w:rsid w:val="00563F13"/>
    <w:rsid w:val="005701DC"/>
    <w:rsid w:val="00571DA1"/>
    <w:rsid w:val="005B0C0E"/>
    <w:rsid w:val="005B4D8C"/>
    <w:rsid w:val="005C62F8"/>
    <w:rsid w:val="005C671E"/>
    <w:rsid w:val="005F0D35"/>
    <w:rsid w:val="005F40E5"/>
    <w:rsid w:val="00601642"/>
    <w:rsid w:val="00604A77"/>
    <w:rsid w:val="006124E4"/>
    <w:rsid w:val="00631782"/>
    <w:rsid w:val="0064214F"/>
    <w:rsid w:val="0064699A"/>
    <w:rsid w:val="00656FAF"/>
    <w:rsid w:val="00664D91"/>
    <w:rsid w:val="006713BA"/>
    <w:rsid w:val="00676129"/>
    <w:rsid w:val="006779A6"/>
    <w:rsid w:val="006876FB"/>
    <w:rsid w:val="006A2EB6"/>
    <w:rsid w:val="006D2241"/>
    <w:rsid w:val="006D35DA"/>
    <w:rsid w:val="006E3121"/>
    <w:rsid w:val="006F26C9"/>
    <w:rsid w:val="006F540B"/>
    <w:rsid w:val="00701506"/>
    <w:rsid w:val="0070435E"/>
    <w:rsid w:val="00711E68"/>
    <w:rsid w:val="00714BA6"/>
    <w:rsid w:val="0073015C"/>
    <w:rsid w:val="00733DB3"/>
    <w:rsid w:val="00754398"/>
    <w:rsid w:val="0075634D"/>
    <w:rsid w:val="00774FD6"/>
    <w:rsid w:val="00786F45"/>
    <w:rsid w:val="007920EC"/>
    <w:rsid w:val="007A30BC"/>
    <w:rsid w:val="007A5829"/>
    <w:rsid w:val="007B7684"/>
    <w:rsid w:val="007C104D"/>
    <w:rsid w:val="007C3DCB"/>
    <w:rsid w:val="007D01B4"/>
    <w:rsid w:val="007D089F"/>
    <w:rsid w:val="007D3714"/>
    <w:rsid w:val="007D5D22"/>
    <w:rsid w:val="007E07C7"/>
    <w:rsid w:val="007E12A5"/>
    <w:rsid w:val="007E1BAE"/>
    <w:rsid w:val="00802F11"/>
    <w:rsid w:val="00803151"/>
    <w:rsid w:val="00804190"/>
    <w:rsid w:val="00806F0F"/>
    <w:rsid w:val="00824380"/>
    <w:rsid w:val="00857A4C"/>
    <w:rsid w:val="00866DC1"/>
    <w:rsid w:val="00867679"/>
    <w:rsid w:val="00876BCC"/>
    <w:rsid w:val="00892061"/>
    <w:rsid w:val="00897FE6"/>
    <w:rsid w:val="008A3CD2"/>
    <w:rsid w:val="008B424A"/>
    <w:rsid w:val="008F5964"/>
    <w:rsid w:val="0090716D"/>
    <w:rsid w:val="00933B67"/>
    <w:rsid w:val="00941FBA"/>
    <w:rsid w:val="00944068"/>
    <w:rsid w:val="00952304"/>
    <w:rsid w:val="0095320A"/>
    <w:rsid w:val="009757E7"/>
    <w:rsid w:val="00980B68"/>
    <w:rsid w:val="009A6FB5"/>
    <w:rsid w:val="009B0360"/>
    <w:rsid w:val="009B3500"/>
    <w:rsid w:val="009C7739"/>
    <w:rsid w:val="009E1E25"/>
    <w:rsid w:val="009E4739"/>
    <w:rsid w:val="009F00DA"/>
    <w:rsid w:val="009F7EC7"/>
    <w:rsid w:val="00A00124"/>
    <w:rsid w:val="00A039FF"/>
    <w:rsid w:val="00A04A91"/>
    <w:rsid w:val="00A07A99"/>
    <w:rsid w:val="00A362FD"/>
    <w:rsid w:val="00A43D48"/>
    <w:rsid w:val="00A476E4"/>
    <w:rsid w:val="00A525A8"/>
    <w:rsid w:val="00A7394E"/>
    <w:rsid w:val="00A742E2"/>
    <w:rsid w:val="00A754E0"/>
    <w:rsid w:val="00A82389"/>
    <w:rsid w:val="00A82861"/>
    <w:rsid w:val="00A9394D"/>
    <w:rsid w:val="00AC037A"/>
    <w:rsid w:val="00AE0300"/>
    <w:rsid w:val="00AF605D"/>
    <w:rsid w:val="00AF7F0E"/>
    <w:rsid w:val="00B16E25"/>
    <w:rsid w:val="00B34D65"/>
    <w:rsid w:val="00B36B8B"/>
    <w:rsid w:val="00B36FA4"/>
    <w:rsid w:val="00B42721"/>
    <w:rsid w:val="00B45F5D"/>
    <w:rsid w:val="00B62A9A"/>
    <w:rsid w:val="00B825F8"/>
    <w:rsid w:val="00B849E0"/>
    <w:rsid w:val="00B93C2F"/>
    <w:rsid w:val="00B9742C"/>
    <w:rsid w:val="00BC5660"/>
    <w:rsid w:val="00BC5A1D"/>
    <w:rsid w:val="00BC7680"/>
    <w:rsid w:val="00BE5CC7"/>
    <w:rsid w:val="00BF0292"/>
    <w:rsid w:val="00BF59E1"/>
    <w:rsid w:val="00BF7FAF"/>
    <w:rsid w:val="00C04408"/>
    <w:rsid w:val="00C226AA"/>
    <w:rsid w:val="00C45998"/>
    <w:rsid w:val="00C51386"/>
    <w:rsid w:val="00C521CC"/>
    <w:rsid w:val="00C53AF4"/>
    <w:rsid w:val="00C56A77"/>
    <w:rsid w:val="00C62245"/>
    <w:rsid w:val="00C7315A"/>
    <w:rsid w:val="00C740CF"/>
    <w:rsid w:val="00C82E07"/>
    <w:rsid w:val="00C87B1F"/>
    <w:rsid w:val="00C9056E"/>
    <w:rsid w:val="00C9525B"/>
    <w:rsid w:val="00CA714F"/>
    <w:rsid w:val="00CB4355"/>
    <w:rsid w:val="00CB4681"/>
    <w:rsid w:val="00CB6BD0"/>
    <w:rsid w:val="00CC5316"/>
    <w:rsid w:val="00CD4855"/>
    <w:rsid w:val="00CE1C67"/>
    <w:rsid w:val="00CE3A0A"/>
    <w:rsid w:val="00CE4A70"/>
    <w:rsid w:val="00D12707"/>
    <w:rsid w:val="00D21412"/>
    <w:rsid w:val="00D27EEF"/>
    <w:rsid w:val="00D34A98"/>
    <w:rsid w:val="00D44E13"/>
    <w:rsid w:val="00D51096"/>
    <w:rsid w:val="00D61958"/>
    <w:rsid w:val="00D70F18"/>
    <w:rsid w:val="00D715D4"/>
    <w:rsid w:val="00D75D23"/>
    <w:rsid w:val="00D8151A"/>
    <w:rsid w:val="00D90A66"/>
    <w:rsid w:val="00DA7172"/>
    <w:rsid w:val="00DB5C6D"/>
    <w:rsid w:val="00DD396B"/>
    <w:rsid w:val="00DD4389"/>
    <w:rsid w:val="00DE06B9"/>
    <w:rsid w:val="00DE2E79"/>
    <w:rsid w:val="00E01CBE"/>
    <w:rsid w:val="00E11983"/>
    <w:rsid w:val="00E16CB0"/>
    <w:rsid w:val="00E21A35"/>
    <w:rsid w:val="00E416DE"/>
    <w:rsid w:val="00E446A8"/>
    <w:rsid w:val="00E56852"/>
    <w:rsid w:val="00E72E9A"/>
    <w:rsid w:val="00E776B8"/>
    <w:rsid w:val="00E834B2"/>
    <w:rsid w:val="00E86992"/>
    <w:rsid w:val="00EA73C5"/>
    <w:rsid w:val="00EE74DA"/>
    <w:rsid w:val="00EF12C0"/>
    <w:rsid w:val="00EF1EEC"/>
    <w:rsid w:val="00F029D9"/>
    <w:rsid w:val="00F04327"/>
    <w:rsid w:val="00F05DB9"/>
    <w:rsid w:val="00F07665"/>
    <w:rsid w:val="00F13FE7"/>
    <w:rsid w:val="00F206B1"/>
    <w:rsid w:val="00F233A2"/>
    <w:rsid w:val="00F262CD"/>
    <w:rsid w:val="00F30EC0"/>
    <w:rsid w:val="00F3482D"/>
    <w:rsid w:val="00F35977"/>
    <w:rsid w:val="00F40951"/>
    <w:rsid w:val="00F41E71"/>
    <w:rsid w:val="00F43378"/>
    <w:rsid w:val="00F5068B"/>
    <w:rsid w:val="00F879B4"/>
    <w:rsid w:val="00FA1D84"/>
    <w:rsid w:val="00FA5EF5"/>
    <w:rsid w:val="00FD3A37"/>
    <w:rsid w:val="00FF140B"/>
    <w:rsid w:val="00FF4A6B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C392E"/>
  <w14:defaultImageDpi w14:val="300"/>
  <w15:docId w15:val="{B9688992-7B7E-4E58-AD12-74D5419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855"/>
    <w:rPr>
      <w:rFonts w:ascii="Arial" w:hAnsi="Arial"/>
      <w:sz w:val="22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3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basedOn w:val="Normalny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E15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158E"/>
    <w:rPr>
      <w:rFonts w:ascii="Arial" w:hAnsi="Arial"/>
      <w:sz w:val="22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3E158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7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7C7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7C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95C24"/>
    <w:rPr>
      <w:i/>
      <w:iCs/>
    </w:rPr>
  </w:style>
  <w:style w:type="character" w:customStyle="1" w:styleId="apple-converted-space">
    <w:name w:val="apple-converted-space"/>
    <w:basedOn w:val="Domylnaczcionkaakapitu"/>
    <w:rsid w:val="00195C24"/>
  </w:style>
  <w:style w:type="character" w:styleId="Odwoaniedokomentarza">
    <w:name w:val="annotation reference"/>
    <w:basedOn w:val="Domylnaczcionkaakapitu"/>
    <w:uiPriority w:val="99"/>
    <w:semiHidden/>
    <w:unhideWhenUsed/>
    <w:rsid w:val="00CC5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3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316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316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3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16"/>
    <w:rPr>
      <w:rFonts w:ascii="Segoe UI" w:hAnsi="Segoe UI" w:cs="Segoe UI"/>
      <w:sz w:val="18"/>
      <w:szCs w:val="18"/>
      <w:lang w:val="pl-PL"/>
    </w:rPr>
  </w:style>
  <w:style w:type="paragraph" w:styleId="Listapunktowana">
    <w:name w:val="List Bullet"/>
    <w:basedOn w:val="Normalny"/>
    <w:uiPriority w:val="99"/>
    <w:unhideWhenUsed/>
    <w:rsid w:val="00AF7F0E"/>
    <w:pPr>
      <w:numPr>
        <w:numId w:val="8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3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arzyna.ostrowska@uniq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qagroup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18122C-32DF-4314-A029-42AA2CFF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 Kowalski</vt:lpstr>
    </vt:vector>
  </TitlesOfParts>
  <Company>dom</Company>
  <LinksUpToDate>false</LinksUpToDate>
  <CharactersWithSpaces>9452</CharactersWithSpaces>
  <SharedDoc>false</SharedDoc>
  <HLinks>
    <vt:vector size="6" baseType="variant">
      <vt:variant>
        <vt:i4>6553615</vt:i4>
      </vt:variant>
      <vt:variant>
        <vt:i4>-1</vt:i4>
      </vt:variant>
      <vt:variant>
        <vt:i4>2056</vt:i4>
      </vt:variant>
      <vt:variant>
        <vt:i4>1</vt:i4>
      </vt:variant>
      <vt:variant>
        <vt:lpwstr>papier firmowy 2015 jasny zycie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Kowalski</dc:title>
  <dc:subject/>
  <dc:creator>Marcin</dc:creator>
  <cp:keywords/>
  <dc:description/>
  <cp:lastModifiedBy>Ostrowska Katarzyna - u00kost</cp:lastModifiedBy>
  <cp:revision>19</cp:revision>
  <cp:lastPrinted>2018-03-21T08:02:00Z</cp:lastPrinted>
  <dcterms:created xsi:type="dcterms:W3CDTF">2018-03-13T09:34:00Z</dcterms:created>
  <dcterms:modified xsi:type="dcterms:W3CDTF">2018-03-21T08:07:00Z</dcterms:modified>
</cp:coreProperties>
</file>