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6E" w:rsidRDefault="0086216E" w:rsidP="0086216E">
      <w:pPr>
        <w:jc w:val="both"/>
      </w:pPr>
    </w:p>
    <w:p w:rsidR="0086216E" w:rsidRDefault="0086216E" w:rsidP="0086216E">
      <w:pPr>
        <w:ind w:left="5664" w:firstLine="708"/>
        <w:jc w:val="both"/>
      </w:pPr>
      <w:r>
        <w:t xml:space="preserve"> Warszawa, </w:t>
      </w:r>
      <w:r w:rsidR="00EC6D2F">
        <w:t>13.</w:t>
      </w:r>
      <w:r>
        <w:t>0</w:t>
      </w:r>
      <w:r w:rsidR="00EC6D2F">
        <w:t>6</w:t>
      </w:r>
      <w:r>
        <w:t xml:space="preserve">.2018 </w:t>
      </w:r>
      <w:r w:rsidRPr="00F37C25">
        <w:t>r.</w:t>
      </w:r>
    </w:p>
    <w:p w:rsidR="0086216E" w:rsidRDefault="0086216E" w:rsidP="0086216E">
      <w:pPr>
        <w:jc w:val="both"/>
        <w:rPr>
          <w:rStyle w:val="Pogrubienie"/>
          <w:rFonts w:cs="Arial"/>
          <w:b w:val="0"/>
          <w:color w:val="242323"/>
          <w:szCs w:val="23"/>
        </w:rPr>
      </w:pPr>
    </w:p>
    <w:p w:rsidR="00CD0B2C" w:rsidRPr="00CD0B2C" w:rsidRDefault="007F3E2F" w:rsidP="00CD0B2C">
      <w:pPr>
        <w:spacing w:before="100" w:beforeAutospacing="1" w:after="100" w:afterAutospacing="1"/>
        <w:jc w:val="both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Komfortowe warunki rynkowe dla hoteli nie zapobiegły p</w:t>
      </w:r>
      <w:r w:rsidR="00870A18">
        <w:rPr>
          <w:b/>
          <w:bCs/>
          <w:sz w:val="32"/>
          <w:szCs w:val="32"/>
        </w:rPr>
        <w:t>roblem</w:t>
      </w:r>
      <w:r>
        <w:rPr>
          <w:b/>
          <w:bCs/>
          <w:sz w:val="32"/>
          <w:szCs w:val="32"/>
        </w:rPr>
        <w:t>om z płatnościami</w:t>
      </w:r>
    </w:p>
    <w:p w:rsidR="0069116A" w:rsidRDefault="0071187C" w:rsidP="00CD0B2C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Nie tylko zbliżające się wakacje są dobrą informacją dla hoteli. </w:t>
      </w:r>
      <w:r w:rsidR="00E9439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Optymistyczne</w:t>
      </w:r>
      <w:r w:rsidR="00CD0B2C" w:rsidRPr="00CD0B2C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 wyniki gospodarcze</w:t>
      </w:r>
      <w:r w:rsidR="006A4B50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, rosnące znacznie turystyczne i </w:t>
      </w:r>
      <w:r w:rsidR="00CD0B2C" w:rsidRPr="00CD0B2C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biznesowe Polski</w:t>
      </w:r>
      <w:r w:rsidR="002D5BD8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,</w:t>
      </w:r>
      <w:r w:rsidR="00CD0B2C" w:rsidRPr="00CD0B2C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 wpływają pozytywnie na rozwój rynku hotelowego. Szacunki rynkowe pokazują, że w ciągu najbliższych kilku lat liczba pokoi do dyspozycji gości wzrośnie o około jedną trzecią.</w:t>
      </w:r>
      <w:r w:rsidR="00CD0B2C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71187C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Sprzyjające warunki </w:t>
      </w:r>
      <w:r w:rsidR="006A4B50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rozwoju </w:t>
      </w:r>
      <w:r w:rsidRPr="0071187C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nie oznaczają, że rynek ten jest wolny od ograniczeń </w:t>
      </w:r>
      <w:r w:rsidR="00870A18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i</w:t>
      </w:r>
      <w:r w:rsidRPr="0071187C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 wyzwań.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="00870A18" w:rsidRPr="00C4679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Wśród nich zna</w:t>
      </w:r>
      <w:r w:rsidR="00B4556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jdują się niespłacone zobowiązania. </w:t>
      </w:r>
      <w:r w:rsidR="00397334" w:rsidRPr="00C4679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Z raportu </w:t>
      </w:r>
      <w:r w:rsidR="00B4556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„</w:t>
      </w:r>
      <w:r w:rsidR="00C46797" w:rsidRPr="00C46797">
        <w:rPr>
          <w:rFonts w:cs="MyriadPro-Bold"/>
          <w:b/>
          <w:bCs/>
          <w:sz w:val="23"/>
          <w:szCs w:val="23"/>
        </w:rPr>
        <w:t>Sytuacja na rynku hotelowym. Pełne obłożenie”</w:t>
      </w:r>
      <w:r w:rsidR="00C46797" w:rsidRPr="00C4679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="00397334" w:rsidRPr="00C4679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przygotowanego przez BIG InfoMonitor i Profitroom wynika, </w:t>
      </w:r>
      <w:r w:rsidR="00B45567" w:rsidRPr="00C4679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że po I kwartale 2018 r. z przeterminowanym zadłużeniem kredytowym i pozakredytowym borykało się co 11. przedsiębiorstwo oferujące usługi hotelowe</w:t>
      </w:r>
      <w:r w:rsidR="00EC6D2F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397334" w:rsidRPr="00C4679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C4679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779 „hotelarzy” miało </w:t>
      </w:r>
      <w:r w:rsidR="00B4556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łącznie </w:t>
      </w:r>
      <w:r w:rsidRPr="00C4679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ponad 970 mln zł zaległości</w:t>
      </w:r>
      <w:r w:rsidR="00B4556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.</w:t>
      </w:r>
    </w:p>
    <w:p w:rsidR="0071187C" w:rsidRPr="0071187C" w:rsidRDefault="00D85246" w:rsidP="0071187C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/>
          <w:bCs/>
          <w:color w:val="000000"/>
          <w:sz w:val="23"/>
          <w:szCs w:val="23"/>
          <w:lang w:eastAsia="pl-PL"/>
        </w:rPr>
        <w:t>O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>znacza</w:t>
      </w:r>
      <w:r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to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, że na jedną firmę w tym sektorze przypada ponad 1,2 mln zł niespłaconych </w:t>
      </w:r>
      <w:r w:rsidR="00AD7E07">
        <w:rPr>
          <w:rFonts w:eastAsia="Times New Roman" w:cs="Times New Roman"/>
          <w:bCs/>
          <w:color w:val="000000"/>
          <w:sz w:val="23"/>
          <w:szCs w:val="23"/>
          <w:lang w:eastAsia="pl-PL"/>
        </w:rPr>
        <w:t>zobowiązań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. </w:t>
      </w:r>
      <w:r w:rsidR="00B45567">
        <w:rPr>
          <w:rFonts w:eastAsia="Times New Roman" w:cs="Times New Roman"/>
          <w:bCs/>
          <w:color w:val="000000"/>
          <w:sz w:val="23"/>
          <w:szCs w:val="23"/>
          <w:lang w:eastAsia="pl-PL"/>
        </w:rPr>
        <w:t>P</w:t>
      </w:r>
      <w:r w:rsidR="00145F1F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onad 90 proc. </w:t>
      </w:r>
      <w:r w:rsidR="00B45567">
        <w:rPr>
          <w:rFonts w:eastAsia="Times New Roman" w:cs="Times New Roman"/>
          <w:bCs/>
          <w:color w:val="000000"/>
          <w:sz w:val="23"/>
          <w:szCs w:val="23"/>
          <w:lang w:eastAsia="pl-PL"/>
        </w:rPr>
        <w:t>wartości zaległości</w:t>
      </w:r>
      <w:r w:rsidR="00AD7E07">
        <w:rPr>
          <w:rFonts w:eastAsia="Times New Roman" w:cs="Times New Roman"/>
          <w:bCs/>
          <w:color w:val="000000"/>
          <w:sz w:val="23"/>
          <w:szCs w:val="23"/>
          <w:lang w:eastAsia="pl-PL"/>
        </w:rPr>
        <w:t>,</w:t>
      </w:r>
      <w:r w:rsidR="00B4556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mowa </w:t>
      </w:r>
      <w:r w:rsidR="00AD7E0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tu </w:t>
      </w:r>
      <w:r w:rsidR="00B45567">
        <w:rPr>
          <w:rFonts w:eastAsia="Times New Roman" w:cs="Times New Roman"/>
          <w:bCs/>
          <w:color w:val="000000"/>
          <w:sz w:val="23"/>
          <w:szCs w:val="23"/>
          <w:lang w:eastAsia="pl-PL"/>
        </w:rPr>
        <w:t>o zobowiązaniach nieopła</w:t>
      </w:r>
      <w:r w:rsidR="00AD7E07">
        <w:rPr>
          <w:rFonts w:eastAsia="Times New Roman" w:cs="Times New Roman"/>
          <w:bCs/>
          <w:color w:val="000000"/>
          <w:sz w:val="23"/>
          <w:szCs w:val="23"/>
          <w:lang w:eastAsia="pl-PL"/>
        </w:rPr>
        <w:t>conych przez co najmniej 30 dni</w:t>
      </w:r>
      <w:r w:rsidR="00B4556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po terminie na min. </w:t>
      </w:r>
      <w:r w:rsidR="00AD7E07">
        <w:rPr>
          <w:rFonts w:eastAsia="Times New Roman" w:cs="Times New Roman"/>
          <w:bCs/>
          <w:color w:val="000000"/>
          <w:sz w:val="23"/>
          <w:szCs w:val="23"/>
          <w:lang w:eastAsia="pl-PL"/>
        </w:rPr>
        <w:t>k</w:t>
      </w:r>
      <w:r w:rsidR="00B4556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wotę </w:t>
      </w:r>
      <w:r w:rsidR="00AD7E07">
        <w:rPr>
          <w:rFonts w:eastAsia="Times New Roman" w:cs="Times New Roman"/>
          <w:bCs/>
          <w:color w:val="000000"/>
          <w:sz w:val="23"/>
          <w:szCs w:val="23"/>
          <w:lang w:eastAsia="pl-PL"/>
        </w:rPr>
        <w:t>500 zł,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to nieopłacone na czas raty kredytów. </w:t>
      </w:r>
      <w:r w:rsidR="00C46797">
        <w:rPr>
          <w:rFonts w:eastAsia="Times New Roman" w:cs="Times New Roman"/>
          <w:bCs/>
          <w:i/>
          <w:color w:val="000000"/>
          <w:sz w:val="23"/>
          <w:szCs w:val="23"/>
          <w:lang w:eastAsia="pl-PL"/>
        </w:rPr>
        <w:t xml:space="preserve">- </w:t>
      </w:r>
      <w:r w:rsidR="0071187C" w:rsidRPr="00C46797">
        <w:rPr>
          <w:rFonts w:eastAsia="Times New Roman" w:cs="Times New Roman"/>
          <w:bCs/>
          <w:i/>
          <w:color w:val="000000"/>
          <w:sz w:val="23"/>
          <w:szCs w:val="23"/>
          <w:lang w:eastAsia="pl-PL"/>
        </w:rPr>
        <w:t>Sprzyjające warunki ekonomiczne, a co za tym idzie bogacące się społeczeństwo sprawiają, że biznes hotelarski staje się coraz atrakcyjniejszy dla wielu inwestorów. Muszą oni jednak pamiętać, że nie jest to działalność łatwa, wymaga ogromnej i specjalistycznej wiedzy oraz doświadczenia. Dodatkowe ryzyko stanowi trwający w branży boom inwestycyjny. Jego konsekwencją będzie wzrost konkurencji, która pogłębi problemy ze zdobyciem</w:t>
      </w:r>
      <w:r w:rsidR="00AA5868">
        <w:rPr>
          <w:rFonts w:eastAsia="Times New Roman" w:cs="Times New Roman"/>
          <w:bCs/>
          <w:i/>
          <w:color w:val="000000"/>
          <w:sz w:val="23"/>
          <w:szCs w:val="23"/>
          <w:lang w:eastAsia="pl-PL"/>
        </w:rPr>
        <w:t xml:space="preserve"> </w:t>
      </w:r>
      <w:r w:rsidR="0071187C" w:rsidRPr="00C46797">
        <w:rPr>
          <w:rFonts w:eastAsia="Times New Roman" w:cs="Times New Roman"/>
          <w:bCs/>
          <w:i/>
          <w:color w:val="000000"/>
          <w:sz w:val="23"/>
          <w:szCs w:val="23"/>
          <w:lang w:eastAsia="pl-PL"/>
        </w:rPr>
        <w:t>pracowników, ale może też wpłynąć na obłożenie hoteli</w:t>
      </w:r>
      <w:r w:rsidR="004E3A56" w:rsidRPr="00C46797">
        <w:rPr>
          <w:rFonts w:eastAsia="Times New Roman" w:cs="Times New Roman"/>
          <w:bCs/>
          <w:i/>
          <w:color w:val="000000"/>
          <w:sz w:val="23"/>
          <w:szCs w:val="23"/>
          <w:lang w:eastAsia="pl-PL"/>
        </w:rPr>
        <w:t>,</w:t>
      </w:r>
      <w:r w:rsidR="0071187C" w:rsidRPr="00C46797">
        <w:rPr>
          <w:rFonts w:eastAsia="Times New Roman" w:cs="Times New Roman"/>
          <w:bCs/>
          <w:i/>
          <w:color w:val="000000"/>
          <w:sz w:val="23"/>
          <w:szCs w:val="23"/>
          <w:lang w:eastAsia="pl-PL"/>
        </w:rPr>
        <w:t xml:space="preserve"> jeśli dynamika wzrostu podaży miejsc noclegowych wyprzedzi wzrost popytu na usługi hotelowe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– mówi </w:t>
      </w:r>
      <w:r w:rsidR="0071187C" w:rsidRPr="0071187C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Sławomir Grzelczak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>, Prezes BIG InfoMonitor.</w:t>
      </w:r>
      <w:r w:rsid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</w:t>
      </w:r>
    </w:p>
    <w:p w:rsidR="00870A18" w:rsidRPr="001264B9" w:rsidRDefault="006A4B50" w:rsidP="0071187C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Zaległości </w:t>
      </w:r>
      <w:r w:rsidR="00212BC3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hotelarzy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rosną wolniej</w:t>
      </w:r>
    </w:p>
    <w:p w:rsidR="004E3A56" w:rsidRDefault="00E029F0" w:rsidP="0086216E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/>
          <w:bCs/>
          <w:color w:val="000000"/>
          <w:sz w:val="23"/>
          <w:szCs w:val="23"/>
          <w:lang w:eastAsia="pl-PL"/>
        </w:rPr>
        <w:t>Przez sześć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miesięcy zaległości branży wzrosły o 93 mln zł, czyli blisko 11 proc.</w:t>
      </w:r>
      <w:r w:rsidR="006D4207">
        <w:rPr>
          <w:rFonts w:eastAsia="Times New Roman" w:cs="Times New Roman"/>
          <w:bCs/>
          <w:color w:val="000000"/>
          <w:sz w:val="23"/>
          <w:szCs w:val="23"/>
          <w:lang w:eastAsia="pl-PL"/>
        </w:rPr>
        <w:t>,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a liczba niesolidnych firm zajmujących się tego typu działalnością o 119 (18 proc.). </w:t>
      </w:r>
      <w:r w:rsidR="00C4679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- </w:t>
      </w:r>
      <w:r w:rsidR="0071187C" w:rsidRPr="00C46797">
        <w:rPr>
          <w:rFonts w:eastAsia="Times New Roman" w:cs="Times New Roman"/>
          <w:bCs/>
          <w:i/>
          <w:color w:val="000000"/>
          <w:sz w:val="23"/>
          <w:szCs w:val="23"/>
          <w:lang w:eastAsia="pl-PL"/>
        </w:rPr>
        <w:t>Dynamika zmiany pokazuje, że dobra koniunktura gospodarcza w większym stopniu sprzyja hotelarstwu niż innym branżom i problem z nieterminowym regulowaniem zobowiązań ho</w:t>
      </w:r>
      <w:r w:rsidR="00212BC3" w:rsidRPr="00C46797">
        <w:rPr>
          <w:rFonts w:eastAsia="Times New Roman" w:cs="Times New Roman"/>
          <w:bCs/>
          <w:i/>
          <w:color w:val="000000"/>
          <w:sz w:val="23"/>
          <w:szCs w:val="23"/>
          <w:lang w:eastAsia="pl-PL"/>
        </w:rPr>
        <w:t>teli pogłębia się wolniej niż w </w:t>
      </w:r>
      <w:r w:rsidR="0071187C" w:rsidRPr="00C46797">
        <w:rPr>
          <w:rFonts w:eastAsia="Times New Roman" w:cs="Times New Roman"/>
          <w:bCs/>
          <w:i/>
          <w:color w:val="000000"/>
          <w:sz w:val="23"/>
          <w:szCs w:val="23"/>
          <w:lang w:eastAsia="pl-PL"/>
        </w:rPr>
        <w:t>przypadku ogółu przedsiębiorstw</w:t>
      </w:r>
      <w:r w:rsidR="006D420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– mówi </w:t>
      </w:r>
      <w:r w:rsidR="006D4207" w:rsidRPr="006D4207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Sławomir Grzelczak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>. W omawianym okresie zaległości wszystkich firm, widocznych w bazach BIG InfoMonitor oraz BIK, wzrosły bowiem o 39 proc., a</w:t>
      </w:r>
      <w:r w:rsidR="000A1A1E">
        <w:rPr>
          <w:rFonts w:eastAsia="Times New Roman" w:cs="Times New Roman"/>
          <w:bCs/>
          <w:color w:val="000000"/>
          <w:sz w:val="23"/>
          <w:szCs w:val="23"/>
          <w:lang w:eastAsia="pl-PL"/>
        </w:rPr>
        <w:t> 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liczba przedsiębiorstw w kłopotach powiększyła się o prawie 30 proc. </w:t>
      </w:r>
      <w:r w:rsidR="006A4B50" w:rsidRPr="00A514CB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Aż </w:t>
      </w:r>
      <w:r w:rsidR="0071187C" w:rsidRPr="00A514CB">
        <w:rPr>
          <w:rFonts w:eastAsia="Times New Roman" w:cs="Times New Roman"/>
          <w:bCs/>
          <w:color w:val="000000"/>
          <w:sz w:val="23"/>
          <w:szCs w:val="23"/>
          <w:lang w:eastAsia="pl-PL"/>
        </w:rPr>
        <w:t>227 350 firm ma razem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26,5 mld zł</w:t>
      </w:r>
      <w:r w:rsidR="00C4679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zaległości</w:t>
      </w:r>
      <w:r w:rsidR="0071187C" w:rsidRPr="0071187C">
        <w:rPr>
          <w:rFonts w:eastAsia="Times New Roman" w:cs="Times New Roman"/>
          <w:bCs/>
          <w:color w:val="000000"/>
          <w:sz w:val="23"/>
          <w:szCs w:val="23"/>
          <w:lang w:eastAsia="pl-PL"/>
        </w:rPr>
        <w:t>.</w:t>
      </w:r>
      <w:r w:rsidR="006D420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</w:t>
      </w:r>
      <w:r w:rsidR="0082501F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Nie zmienia to jednak faktu, że wśród hoteli 8,9 proc. firm ma </w:t>
      </w:r>
      <w:r w:rsidR="0082501F">
        <w:rPr>
          <w:rFonts w:eastAsia="Times New Roman" w:cs="Times New Roman"/>
          <w:bCs/>
          <w:color w:val="000000"/>
          <w:sz w:val="23"/>
          <w:szCs w:val="23"/>
          <w:lang w:eastAsia="pl-PL"/>
        </w:rPr>
        <w:lastRenderedPageBreak/>
        <w:t xml:space="preserve">kłopoty ze spłatą </w:t>
      </w:r>
      <w:r w:rsidR="00AD7E07">
        <w:rPr>
          <w:rFonts w:eastAsia="Times New Roman" w:cs="Times New Roman"/>
          <w:bCs/>
          <w:color w:val="000000"/>
          <w:sz w:val="23"/>
          <w:szCs w:val="23"/>
          <w:lang w:eastAsia="pl-PL"/>
        </w:rPr>
        <w:t>zobowiązań</w:t>
      </w:r>
      <w:r w:rsidR="0082501F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, podczas gdy dla ogółu przedsiębiorstw odsetek ten wynosił po pierwszym kwartale 5,7 proc. W praktyce oznacza to, że </w:t>
      </w:r>
      <w:r w:rsidR="0082501F" w:rsidRPr="0082501F">
        <w:rPr>
          <w:rFonts w:eastAsia="Times New Roman" w:cs="Times New Roman"/>
          <w:bCs/>
          <w:color w:val="000000"/>
          <w:sz w:val="23"/>
          <w:szCs w:val="23"/>
          <w:lang w:eastAsia="pl-PL"/>
        </w:rPr>
        <w:t>ryzyko nieotrzymania płatności przez kontrahentów czy banki od przedstawicieli tej branży jest sporo wyższe</w:t>
      </w:r>
      <w:r w:rsidR="0082501F">
        <w:rPr>
          <w:rFonts w:eastAsia="Times New Roman" w:cs="Times New Roman"/>
          <w:bCs/>
          <w:color w:val="000000"/>
          <w:sz w:val="23"/>
          <w:szCs w:val="23"/>
          <w:lang w:eastAsia="pl-PL"/>
        </w:rPr>
        <w:t>. Ostatnie dane GUS pokazują</w:t>
      </w:r>
      <w:r w:rsidR="00C4679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jednak</w:t>
      </w:r>
      <w:r w:rsidR="0082501F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, że przedsiębiorcy-hotelarze </w:t>
      </w:r>
      <w:r w:rsidR="00C4679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zauważają </w:t>
      </w:r>
      <w:r w:rsidR="0082501F" w:rsidRPr="0082501F">
        <w:rPr>
          <w:rFonts w:eastAsia="Times New Roman" w:cs="Times New Roman"/>
          <w:bCs/>
          <w:color w:val="000000"/>
          <w:sz w:val="23"/>
          <w:szCs w:val="23"/>
          <w:lang w:eastAsia="pl-PL"/>
        </w:rPr>
        <w:t>spadek opóźnień płatności za wykonane usługi,</w:t>
      </w:r>
      <w:r w:rsidR="00C4679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 a to może przeło</w:t>
      </w:r>
      <w:r w:rsidR="00D85246">
        <w:rPr>
          <w:rFonts w:eastAsia="Times New Roman" w:cs="Times New Roman"/>
          <w:bCs/>
          <w:color w:val="000000"/>
          <w:sz w:val="23"/>
          <w:szCs w:val="23"/>
          <w:lang w:eastAsia="pl-PL"/>
        </w:rPr>
        <w:t>żyć na poprawę ich pł</w:t>
      </w:r>
      <w:r w:rsidR="000A1A1E">
        <w:rPr>
          <w:rFonts w:eastAsia="Times New Roman" w:cs="Times New Roman"/>
          <w:bCs/>
          <w:color w:val="000000"/>
          <w:sz w:val="23"/>
          <w:szCs w:val="23"/>
          <w:lang w:eastAsia="pl-PL"/>
        </w:rPr>
        <w:t>at</w:t>
      </w:r>
      <w:r w:rsidR="00D85246">
        <w:rPr>
          <w:rFonts w:eastAsia="Times New Roman" w:cs="Times New Roman"/>
          <w:bCs/>
          <w:color w:val="000000"/>
          <w:sz w:val="23"/>
          <w:szCs w:val="23"/>
          <w:lang w:eastAsia="pl-PL"/>
        </w:rPr>
        <w:t>ności.</w:t>
      </w:r>
    </w:p>
    <w:p w:rsidR="0082501F" w:rsidRDefault="0082501F" w:rsidP="0086216E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Cs/>
          <w:color w:val="000000"/>
          <w:sz w:val="23"/>
          <w:szCs w:val="23"/>
          <w:lang w:eastAsia="pl-PL"/>
        </w:rPr>
      </w:pPr>
      <w:r w:rsidRPr="00870A18">
        <w:rPr>
          <w:rFonts w:eastAsia="Times New Roman" w:cs="Times New Roman"/>
          <w:bCs/>
          <w:color w:val="000000"/>
          <w:sz w:val="23"/>
          <w:szCs w:val="23"/>
          <w:lang w:eastAsia="pl-PL"/>
        </w:rPr>
        <w:t>Najwięcej firm hotelarskich z niespłaconym zadłużeniem jest w województwie mazo</w:t>
      </w:r>
      <w:r w:rsidR="006A4B50">
        <w:rPr>
          <w:rFonts w:eastAsia="Times New Roman" w:cs="Times New Roman"/>
          <w:bCs/>
          <w:color w:val="000000"/>
          <w:sz w:val="23"/>
          <w:szCs w:val="23"/>
          <w:lang w:eastAsia="pl-PL"/>
        </w:rPr>
        <w:t>wieckim. Po I</w:t>
      </w:r>
      <w:r w:rsidR="00762FEC">
        <w:rPr>
          <w:rFonts w:eastAsia="Times New Roman" w:cs="Times New Roman"/>
          <w:bCs/>
          <w:color w:val="000000"/>
          <w:sz w:val="23"/>
          <w:szCs w:val="23"/>
          <w:lang w:eastAsia="pl-PL"/>
        </w:rPr>
        <w:t> </w:t>
      </w:r>
      <w:r w:rsidR="006A4B50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kwartale 2018 r. </w:t>
      </w:r>
      <w:r w:rsidRPr="00870A18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było ich 131, a liczba zaległości wynosiła 258, co oznacza, że na przedsiębiorstwo przypadało około dwóch </w:t>
      </w:r>
      <w:r w:rsidR="00EC6D2F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przeterminowanych </w:t>
      </w:r>
      <w:r w:rsidRPr="00870A18">
        <w:rPr>
          <w:rFonts w:eastAsia="Times New Roman" w:cs="Times New Roman"/>
          <w:bCs/>
          <w:color w:val="000000"/>
          <w:sz w:val="23"/>
          <w:szCs w:val="23"/>
          <w:lang w:eastAsia="pl-PL"/>
        </w:rPr>
        <w:t>zobowiązań. Drugie pod tym względem było wo</w:t>
      </w:r>
      <w:r w:rsidR="006A4B50">
        <w:rPr>
          <w:rFonts w:eastAsia="Times New Roman" w:cs="Times New Roman"/>
          <w:bCs/>
          <w:color w:val="000000"/>
          <w:sz w:val="23"/>
          <w:szCs w:val="23"/>
          <w:lang w:eastAsia="pl-PL"/>
        </w:rPr>
        <w:t>jewództwo dolnośląskie (</w:t>
      </w:r>
      <w:r w:rsidRPr="00870A18">
        <w:rPr>
          <w:rFonts w:eastAsia="Times New Roman" w:cs="Times New Roman"/>
          <w:bCs/>
          <w:color w:val="000000"/>
          <w:sz w:val="23"/>
          <w:szCs w:val="23"/>
          <w:lang w:eastAsia="pl-PL"/>
        </w:rPr>
        <w:t>112 firm z 204 historiami zadłużenia</w:t>
      </w:r>
      <w:r w:rsidR="006A4B50">
        <w:rPr>
          <w:rFonts w:eastAsia="Times New Roman" w:cs="Times New Roman"/>
          <w:bCs/>
          <w:color w:val="000000"/>
          <w:sz w:val="23"/>
          <w:szCs w:val="23"/>
          <w:lang w:eastAsia="pl-PL"/>
        </w:rPr>
        <w:t>)</w:t>
      </w:r>
      <w:r w:rsidRPr="00870A18">
        <w:rPr>
          <w:rFonts w:eastAsia="Times New Roman" w:cs="Times New Roman"/>
          <w:bCs/>
          <w:color w:val="000000"/>
          <w:sz w:val="23"/>
          <w:szCs w:val="23"/>
          <w:lang w:eastAsia="pl-PL"/>
        </w:rPr>
        <w:t>. Jeżeli chodzi o wysokość przeterminowanego zadłużenia, to przodują hotele z województwa łódzkiego z sumą 301,4 mln zł, ale dlatego, że stąd pochodzi również rekordzista. Nie</w:t>
      </w:r>
      <w:r w:rsidR="00AD7E07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uregulowane raty i faktury </w:t>
      </w:r>
      <w:r w:rsidRPr="00870A18">
        <w:rPr>
          <w:rFonts w:eastAsia="Times New Roman" w:cs="Times New Roman"/>
          <w:bCs/>
          <w:color w:val="000000"/>
          <w:sz w:val="23"/>
          <w:szCs w:val="23"/>
          <w:lang w:eastAsia="pl-PL"/>
        </w:rPr>
        <w:t xml:space="preserve">jednej firmy hotelarskiej z tego województwa wynosiły na koniec marca br. 199,2 mln zł. Dla porównania przeciętna zaległość firm oferujących usługi hotelowe wynosi 1 245 576 zł. </w:t>
      </w:r>
    </w:p>
    <w:p w:rsidR="00E94397" w:rsidRPr="00E94397" w:rsidRDefault="006A4B50" w:rsidP="0086216E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 xml:space="preserve">Więcej turystów, mniej pracowników </w:t>
      </w:r>
    </w:p>
    <w:p w:rsidR="00D56447" w:rsidRDefault="00E94397" w:rsidP="004E3A56">
      <w:pPr>
        <w:spacing w:after="120"/>
        <w:jc w:val="both"/>
        <w:rPr>
          <w:rFonts w:cstheme="minorHAnsi"/>
          <w:sz w:val="23"/>
          <w:szCs w:val="23"/>
        </w:rPr>
      </w:pPr>
      <w:r w:rsidRPr="00E94397">
        <w:rPr>
          <w:rFonts w:cstheme="minorHAnsi"/>
          <w:sz w:val="23"/>
          <w:szCs w:val="23"/>
        </w:rPr>
        <w:t>Dobra koniunktura gospodarcza skłania inwestorów do inwest</w:t>
      </w:r>
      <w:r w:rsidR="00212BC3">
        <w:rPr>
          <w:rFonts w:cstheme="minorHAnsi"/>
          <w:sz w:val="23"/>
          <w:szCs w:val="23"/>
        </w:rPr>
        <w:t xml:space="preserve">ycji w nowe </w:t>
      </w:r>
      <w:r w:rsidR="00AD7E07">
        <w:rPr>
          <w:rFonts w:cstheme="minorHAnsi"/>
          <w:sz w:val="23"/>
          <w:szCs w:val="23"/>
        </w:rPr>
        <w:t>projekty</w:t>
      </w:r>
      <w:r w:rsidR="00212BC3">
        <w:rPr>
          <w:rFonts w:cstheme="minorHAnsi"/>
          <w:sz w:val="23"/>
          <w:szCs w:val="23"/>
        </w:rPr>
        <w:t xml:space="preserve"> hotelowe. W </w:t>
      </w:r>
      <w:r w:rsidRPr="00E94397">
        <w:rPr>
          <w:rFonts w:cstheme="minorHAnsi"/>
          <w:sz w:val="23"/>
          <w:szCs w:val="23"/>
        </w:rPr>
        <w:t>ciągu najbliższych lat sama Warszawa ma się wzbogacić o 20 nowych obiektów dysponujących liczbą ok. 5 tys. pokoi hotelowych. Boom dotyczy również innych miast. Szacunki rynkowe pokazują, że w tej chwili w budowie jest ok.</w:t>
      </w:r>
      <w:r w:rsidR="00AA5868">
        <w:rPr>
          <w:rFonts w:cstheme="minorHAnsi"/>
          <w:sz w:val="23"/>
          <w:szCs w:val="23"/>
        </w:rPr>
        <w:t xml:space="preserve"> </w:t>
      </w:r>
      <w:r w:rsidRPr="00E94397">
        <w:rPr>
          <w:rFonts w:cstheme="minorHAnsi"/>
          <w:sz w:val="23"/>
          <w:szCs w:val="23"/>
        </w:rPr>
        <w:t>15 tys. pokoi. Z danych Emmerson Evaluation wynika, że do 2019 r. liczba pokoi hotelowych wzrośnie o 30 proc., a w niektórych lokalizacjach np. na</w:t>
      </w:r>
      <w:r w:rsidR="00AA5868">
        <w:rPr>
          <w:rFonts w:cstheme="minorHAnsi"/>
          <w:sz w:val="23"/>
          <w:szCs w:val="23"/>
        </w:rPr>
        <w:t xml:space="preserve"> </w:t>
      </w:r>
      <w:r w:rsidRPr="00E94397">
        <w:rPr>
          <w:rFonts w:cstheme="minorHAnsi"/>
          <w:sz w:val="23"/>
          <w:szCs w:val="23"/>
        </w:rPr>
        <w:t xml:space="preserve">Wybrzeżu, nawet o 50 proc. </w:t>
      </w:r>
    </w:p>
    <w:p w:rsidR="00D56447" w:rsidRDefault="004E3A56" w:rsidP="004E3A56">
      <w:pPr>
        <w:spacing w:after="1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Patrząc na dane o rosnącej lic</w:t>
      </w:r>
      <w:r w:rsidR="00212BC3">
        <w:rPr>
          <w:rFonts w:cstheme="minorHAnsi"/>
          <w:sz w:val="23"/>
          <w:szCs w:val="23"/>
        </w:rPr>
        <w:t>zbie turystów, korzystających z </w:t>
      </w:r>
      <w:r>
        <w:rPr>
          <w:rFonts w:cstheme="minorHAnsi"/>
          <w:sz w:val="23"/>
          <w:szCs w:val="23"/>
        </w:rPr>
        <w:t xml:space="preserve">usług hoteli, decyzje inwestycyjne miały mocne podstawy biznesowe. </w:t>
      </w:r>
      <w:r w:rsidRPr="004E3A56">
        <w:rPr>
          <w:rFonts w:cstheme="minorHAnsi"/>
          <w:sz w:val="23"/>
          <w:szCs w:val="23"/>
        </w:rPr>
        <w:t xml:space="preserve">Przez pierwsze trzy miesiące 2018 r. z oferty obiektów hotelowych skorzystało ponad 5 mln turystów, </w:t>
      </w:r>
      <w:r>
        <w:rPr>
          <w:rFonts w:cstheme="minorHAnsi"/>
          <w:sz w:val="23"/>
          <w:szCs w:val="23"/>
        </w:rPr>
        <w:t>czyli</w:t>
      </w:r>
      <w:r w:rsidRPr="004E3A56">
        <w:rPr>
          <w:rFonts w:cstheme="minorHAnsi"/>
          <w:sz w:val="23"/>
          <w:szCs w:val="23"/>
        </w:rPr>
        <w:t xml:space="preserve"> o 6,2 proc. więcej niż analogicznym okresie roku minionego (4,75 mln turystów). Jeśli dynamika utrzyma się przez kolejne kwartały liczba</w:t>
      </w:r>
      <w:r w:rsidR="00AA5868">
        <w:rPr>
          <w:rFonts w:cstheme="minorHAnsi"/>
          <w:sz w:val="23"/>
          <w:szCs w:val="23"/>
        </w:rPr>
        <w:t xml:space="preserve"> </w:t>
      </w:r>
      <w:r w:rsidRPr="004E3A56">
        <w:rPr>
          <w:rFonts w:cstheme="minorHAnsi"/>
          <w:sz w:val="23"/>
          <w:szCs w:val="23"/>
        </w:rPr>
        <w:t xml:space="preserve">gości hotelowych może zbliżyć się w tym roku do 25 mln osób, tym bardziej, że szczyt sezonu przypada na miesiące wiosenne oraz letnie. </w:t>
      </w:r>
    </w:p>
    <w:p w:rsidR="00C66EAC" w:rsidRDefault="004E3A56" w:rsidP="004E3A56">
      <w:pPr>
        <w:spacing w:after="120"/>
        <w:jc w:val="both"/>
        <w:rPr>
          <w:rFonts w:cstheme="minorHAnsi"/>
          <w:sz w:val="23"/>
          <w:szCs w:val="23"/>
        </w:rPr>
      </w:pPr>
      <w:r w:rsidRPr="004E3A56">
        <w:rPr>
          <w:rFonts w:cstheme="minorHAnsi"/>
          <w:sz w:val="23"/>
          <w:szCs w:val="23"/>
        </w:rPr>
        <w:t xml:space="preserve">Przybywało turystów krajowych, ale jeszcze szybciej zagranicznych, których liczba w omawianym czasie zwiększyła się z </w:t>
      </w:r>
      <w:r w:rsidR="00AD7E07">
        <w:rPr>
          <w:rFonts w:cstheme="minorHAnsi"/>
          <w:sz w:val="23"/>
          <w:szCs w:val="23"/>
        </w:rPr>
        <w:t xml:space="preserve">ponad </w:t>
      </w:r>
      <w:r w:rsidRPr="004E3A56">
        <w:rPr>
          <w:rFonts w:cstheme="minorHAnsi"/>
          <w:sz w:val="23"/>
          <w:szCs w:val="23"/>
        </w:rPr>
        <w:t>1 mln do 1,</w:t>
      </w:r>
      <w:r w:rsidR="00AD7E07">
        <w:rPr>
          <w:rFonts w:cstheme="minorHAnsi"/>
          <w:sz w:val="23"/>
          <w:szCs w:val="23"/>
        </w:rPr>
        <w:t>15</w:t>
      </w:r>
      <w:r w:rsidRPr="004E3A56">
        <w:rPr>
          <w:rFonts w:cstheme="minorHAnsi"/>
          <w:sz w:val="23"/>
          <w:szCs w:val="23"/>
        </w:rPr>
        <w:t xml:space="preserve"> mln, o 11,5 proc. W pierwszych trzech miesiącach tego roku goście wykupili ponad 10 mln noclegów, o prawie 770 tys. więcej niż w tym samym czasie w roku ubiegłym (9,3 mln)</w:t>
      </w:r>
      <w:r>
        <w:rPr>
          <w:rFonts w:cstheme="minorHAnsi"/>
          <w:sz w:val="23"/>
          <w:szCs w:val="23"/>
        </w:rPr>
        <w:t xml:space="preserve">. </w:t>
      </w:r>
      <w:r w:rsidR="00BD268E">
        <w:rPr>
          <w:rFonts w:cstheme="minorHAnsi"/>
          <w:sz w:val="23"/>
          <w:szCs w:val="23"/>
        </w:rPr>
        <w:t xml:space="preserve">– </w:t>
      </w:r>
      <w:r w:rsidR="00E94397" w:rsidRPr="00AD7E07">
        <w:rPr>
          <w:rFonts w:cstheme="minorHAnsi"/>
          <w:i/>
          <w:sz w:val="23"/>
          <w:szCs w:val="23"/>
        </w:rPr>
        <w:t>Przybywa obiektów hotel</w:t>
      </w:r>
      <w:r w:rsidR="00AD7E07" w:rsidRPr="00AD7E07">
        <w:rPr>
          <w:rFonts w:cstheme="minorHAnsi"/>
          <w:i/>
          <w:sz w:val="23"/>
          <w:szCs w:val="23"/>
        </w:rPr>
        <w:t xml:space="preserve">owych </w:t>
      </w:r>
      <w:r w:rsidR="00E94397" w:rsidRPr="00AD7E07">
        <w:rPr>
          <w:rFonts w:cstheme="minorHAnsi"/>
          <w:i/>
          <w:sz w:val="23"/>
          <w:szCs w:val="23"/>
        </w:rPr>
        <w:t>i apartamentów. Rośnie więc również zapotrzebowanie na personel, który pozwalałby obsłużyć ten wzmożony popyt, a branża już teraz boryka się z brakami. Coraz trudniej o pracowników na każdym szczeblu, od housekeepingu po stanowiska specjalistyczne i kierownicze. Profesjonalny serwis staje się luksusem dla nielicznych. Obiekty hotelowe muszą więc radzić sobie przy tych ograniczeniach i optymalizować procesy, szczególnie te żmudne i nierozwoj</w:t>
      </w:r>
      <w:r w:rsidR="00B512E4" w:rsidRPr="00AD7E07">
        <w:rPr>
          <w:rFonts w:cstheme="minorHAnsi"/>
          <w:i/>
          <w:sz w:val="23"/>
          <w:szCs w:val="23"/>
        </w:rPr>
        <w:t>owe dla pracowników</w:t>
      </w:r>
      <w:r w:rsidR="00E94397" w:rsidRPr="00E94397">
        <w:rPr>
          <w:rFonts w:cstheme="minorHAnsi"/>
          <w:sz w:val="23"/>
          <w:szCs w:val="23"/>
        </w:rPr>
        <w:t xml:space="preserve"> – mówi </w:t>
      </w:r>
      <w:r w:rsidR="00E94397" w:rsidRPr="00E94397">
        <w:rPr>
          <w:rFonts w:cstheme="minorHAnsi"/>
          <w:b/>
          <w:sz w:val="23"/>
          <w:szCs w:val="23"/>
        </w:rPr>
        <w:t>Marcin Dragan</w:t>
      </w:r>
      <w:r w:rsidR="00E94397" w:rsidRPr="00E94397">
        <w:rPr>
          <w:rFonts w:cstheme="minorHAnsi"/>
          <w:sz w:val="23"/>
          <w:szCs w:val="23"/>
        </w:rPr>
        <w:t xml:space="preserve">, </w:t>
      </w:r>
      <w:r w:rsidR="00AD7E07">
        <w:rPr>
          <w:rFonts w:cstheme="minorHAnsi"/>
          <w:sz w:val="23"/>
          <w:szCs w:val="23"/>
        </w:rPr>
        <w:t xml:space="preserve">Dyrektor Zarządzający </w:t>
      </w:r>
      <w:r w:rsidR="00BD268E">
        <w:rPr>
          <w:rFonts w:cstheme="minorHAnsi"/>
          <w:sz w:val="23"/>
          <w:szCs w:val="23"/>
        </w:rPr>
        <w:t xml:space="preserve">firmy </w:t>
      </w:r>
      <w:r w:rsidR="00E94397" w:rsidRPr="00E94397">
        <w:rPr>
          <w:rFonts w:cstheme="minorHAnsi"/>
          <w:sz w:val="23"/>
          <w:szCs w:val="23"/>
        </w:rPr>
        <w:t xml:space="preserve">Profitroom. </w:t>
      </w:r>
    </w:p>
    <w:p w:rsidR="00F87B2E" w:rsidRDefault="00F87B2E" w:rsidP="004E3A56">
      <w:pPr>
        <w:spacing w:after="1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Cały raport jest dostępny pod adresem: </w:t>
      </w:r>
      <w:hyperlink r:id="rId8" w:history="1">
        <w:r w:rsidR="00D27DBB" w:rsidRPr="00E57811">
          <w:rPr>
            <w:rStyle w:val="Hipercze"/>
            <w:rFonts w:cstheme="minorHAnsi"/>
            <w:sz w:val="23"/>
            <w:szCs w:val="23"/>
          </w:rPr>
          <w:t>https://media.bik.pl/publikacje/read/393767/sytuacja-na-rynku-hotelowym-w-polsce-pelne-oblozenie</w:t>
        </w:r>
      </w:hyperlink>
    </w:p>
    <w:p w:rsidR="00D27DBB" w:rsidRDefault="00D27DBB" w:rsidP="004E3A56">
      <w:pPr>
        <w:spacing w:after="120"/>
        <w:jc w:val="both"/>
        <w:rPr>
          <w:rFonts w:cstheme="minorHAnsi"/>
          <w:sz w:val="23"/>
          <w:szCs w:val="23"/>
        </w:rPr>
      </w:pPr>
    </w:p>
    <w:p w:rsidR="00F55FA8" w:rsidRPr="00E94397" w:rsidRDefault="00F55FA8" w:rsidP="004E3A56">
      <w:pPr>
        <w:spacing w:after="120"/>
        <w:jc w:val="both"/>
        <w:rPr>
          <w:rFonts w:cstheme="minorHAnsi"/>
          <w:sz w:val="23"/>
          <w:szCs w:val="23"/>
        </w:rPr>
      </w:pPr>
    </w:p>
    <w:p w:rsidR="0086216E" w:rsidRDefault="0086216E" w:rsidP="0086216E">
      <w:pPr>
        <w:tabs>
          <w:tab w:val="left" w:pos="3576"/>
        </w:tabs>
        <w:jc w:val="both"/>
        <w:rPr>
          <w:bCs/>
          <w:color w:val="595959" w:themeColor="text1" w:themeTint="A6"/>
          <w:sz w:val="18"/>
          <w:szCs w:val="18"/>
        </w:rPr>
      </w:pPr>
      <w:r w:rsidRPr="0010444F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10444F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</w:t>
      </w:r>
      <w:r>
        <w:rPr>
          <w:bCs/>
          <w:color w:val="595959" w:themeColor="text1" w:themeTint="A6"/>
          <w:sz w:val="18"/>
          <w:szCs w:val="18"/>
        </w:rPr>
        <w:t xml:space="preserve">z: Biura Informacji Kredytowej </w:t>
      </w:r>
      <w:r w:rsidRPr="0010444F">
        <w:rPr>
          <w:bCs/>
          <w:color w:val="595959" w:themeColor="text1" w:themeTint="A6"/>
          <w:sz w:val="18"/>
          <w:szCs w:val="18"/>
        </w:rPr>
        <w:t>i Związku Banków Polskich, dzięki czemu stanowi platformę wymiany informacji pomiędzy sektorem bankowym i pozostałymi sektorami gospodarki. Oferu</w:t>
      </w:r>
      <w:r>
        <w:rPr>
          <w:bCs/>
          <w:color w:val="595959" w:themeColor="text1" w:themeTint="A6"/>
          <w:sz w:val="18"/>
          <w:szCs w:val="18"/>
        </w:rPr>
        <w:t xml:space="preserve">je również sektorowi bankowemu </w:t>
      </w:r>
      <w:r w:rsidRPr="0010444F">
        <w:rPr>
          <w:bCs/>
          <w:color w:val="595959" w:themeColor="text1" w:themeTint="A6"/>
          <w:sz w:val="18"/>
          <w:szCs w:val="18"/>
        </w:rPr>
        <w:t>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:rsidR="00AD7E07" w:rsidRPr="00AD7E07" w:rsidRDefault="00AD7E07" w:rsidP="00AD7E07">
      <w:pPr>
        <w:autoSpaceDE w:val="0"/>
        <w:autoSpaceDN w:val="0"/>
        <w:adjustRightInd w:val="0"/>
        <w:spacing w:after="0" w:line="240" w:lineRule="auto"/>
        <w:rPr>
          <w:bCs/>
          <w:color w:val="595959" w:themeColor="text1" w:themeTint="A6"/>
          <w:sz w:val="18"/>
          <w:szCs w:val="18"/>
        </w:rPr>
      </w:pPr>
      <w:r w:rsidRPr="00AD7E07">
        <w:rPr>
          <w:b/>
          <w:bCs/>
          <w:color w:val="595959" w:themeColor="text1" w:themeTint="A6"/>
          <w:sz w:val="18"/>
          <w:szCs w:val="18"/>
        </w:rPr>
        <w:t xml:space="preserve">Profitroom </w:t>
      </w:r>
      <w:r w:rsidRPr="00AD7E07">
        <w:rPr>
          <w:bCs/>
          <w:color w:val="595959" w:themeColor="text1" w:themeTint="A6"/>
          <w:sz w:val="18"/>
          <w:szCs w:val="18"/>
        </w:rPr>
        <w:t>to polska firma technologiczna specjalizująca się w obsłudze branży hotelarskiej. Firma</w:t>
      </w:r>
      <w:r>
        <w:rPr>
          <w:bCs/>
          <w:color w:val="595959" w:themeColor="text1" w:themeTint="A6"/>
          <w:sz w:val="18"/>
          <w:szCs w:val="18"/>
        </w:rPr>
        <w:t xml:space="preserve"> </w:t>
      </w:r>
      <w:r w:rsidRPr="00AD7E07">
        <w:rPr>
          <w:bCs/>
          <w:color w:val="595959" w:themeColor="text1" w:themeTint="A6"/>
          <w:sz w:val="18"/>
          <w:szCs w:val="18"/>
        </w:rPr>
        <w:t>zyskała zaufanie większości polskich marek hotelarskich takich jak sieci PURO, Qubus, Focus, Q-Hotels,</w:t>
      </w:r>
      <w:r>
        <w:rPr>
          <w:bCs/>
          <w:color w:val="595959" w:themeColor="text1" w:themeTint="A6"/>
          <w:sz w:val="18"/>
          <w:szCs w:val="18"/>
        </w:rPr>
        <w:t xml:space="preserve"> </w:t>
      </w:r>
      <w:r w:rsidRPr="00AD7E07">
        <w:rPr>
          <w:bCs/>
          <w:color w:val="595959" w:themeColor="text1" w:themeTint="A6"/>
          <w:sz w:val="18"/>
          <w:szCs w:val="18"/>
        </w:rPr>
        <w:t>Dr Irena Eris oraz obiektów niezależnych m.in. Hotel Arłamów, Grand Lubicz, Bukovina, Hotel Bania,</w:t>
      </w:r>
      <w:r>
        <w:rPr>
          <w:bCs/>
          <w:color w:val="595959" w:themeColor="text1" w:themeTint="A6"/>
          <w:sz w:val="18"/>
          <w:szCs w:val="18"/>
        </w:rPr>
        <w:t xml:space="preserve"> </w:t>
      </w:r>
      <w:r w:rsidRPr="00AD7E07">
        <w:rPr>
          <w:bCs/>
          <w:color w:val="595959" w:themeColor="text1" w:themeTint="A6"/>
          <w:sz w:val="18"/>
          <w:szCs w:val="18"/>
        </w:rPr>
        <w:t>Dolina Charlotty, Aquarius. Profitroom dynamicznie rozwija się także na rynkach zagranicznych,</w:t>
      </w:r>
      <w:r>
        <w:rPr>
          <w:bCs/>
          <w:color w:val="595959" w:themeColor="text1" w:themeTint="A6"/>
          <w:sz w:val="18"/>
          <w:szCs w:val="18"/>
        </w:rPr>
        <w:t xml:space="preserve"> </w:t>
      </w:r>
      <w:r w:rsidRPr="00AD7E07">
        <w:rPr>
          <w:bCs/>
          <w:color w:val="595959" w:themeColor="text1" w:themeTint="A6"/>
          <w:sz w:val="18"/>
          <w:szCs w:val="18"/>
        </w:rPr>
        <w:t>obecnie obsługuje już ponad 3000 obiektów w różnych zakątkach świata.</w:t>
      </w:r>
    </w:p>
    <w:p w:rsidR="0086216E" w:rsidRPr="00AD7E07" w:rsidRDefault="0086216E" w:rsidP="0086216E">
      <w:pPr>
        <w:pStyle w:val="Akapitzlist"/>
        <w:spacing w:after="120"/>
        <w:ind w:left="1423"/>
        <w:jc w:val="both"/>
        <w:rPr>
          <w:rFonts w:eastAsiaTheme="minorHAnsi" w:cstheme="minorBidi"/>
          <w:bCs/>
          <w:color w:val="595959" w:themeColor="text1" w:themeTint="A6"/>
          <w:sz w:val="18"/>
          <w:szCs w:val="18"/>
          <w:lang w:eastAsia="en-US"/>
        </w:rPr>
      </w:pPr>
    </w:p>
    <w:p w:rsidR="0086216E" w:rsidRPr="00561F50" w:rsidRDefault="0086216E" w:rsidP="0086216E">
      <w:pPr>
        <w:spacing w:after="0" w:line="240" w:lineRule="auto"/>
        <w:rPr>
          <w:sz w:val="18"/>
          <w:szCs w:val="18"/>
        </w:rPr>
      </w:pPr>
      <w:r w:rsidRPr="00561F50">
        <w:rPr>
          <w:sz w:val="18"/>
          <w:szCs w:val="18"/>
        </w:rPr>
        <w:t>Kontakt dla prasy:</w:t>
      </w:r>
    </w:p>
    <w:p w:rsidR="0086216E" w:rsidRPr="00561F50" w:rsidRDefault="0086216E" w:rsidP="0086216E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216E" w:rsidRPr="00561F50" w:rsidTr="00B3361B">
        <w:tc>
          <w:tcPr>
            <w:tcW w:w="4606" w:type="dxa"/>
            <w:hideMark/>
          </w:tcPr>
          <w:p w:rsidR="0086216E" w:rsidRPr="00561F50" w:rsidRDefault="0086216E" w:rsidP="00B3361B">
            <w:pPr>
              <w:spacing w:after="0" w:line="240" w:lineRule="auto"/>
              <w:rPr>
                <w:sz w:val="18"/>
                <w:szCs w:val="18"/>
              </w:rPr>
            </w:pPr>
            <w:r w:rsidRPr="00561F50">
              <w:rPr>
                <w:sz w:val="18"/>
                <w:szCs w:val="18"/>
              </w:rPr>
              <w:t>Halina Kochalska</w:t>
            </w:r>
          </w:p>
          <w:p w:rsidR="0086216E" w:rsidRPr="00561F50" w:rsidRDefault="0086216E" w:rsidP="00B3361B">
            <w:pPr>
              <w:spacing w:after="0" w:line="240" w:lineRule="auto"/>
              <w:rPr>
                <w:sz w:val="18"/>
                <w:szCs w:val="18"/>
              </w:rPr>
            </w:pPr>
            <w:r w:rsidRPr="00561F50">
              <w:rPr>
                <w:sz w:val="18"/>
                <w:szCs w:val="18"/>
              </w:rPr>
              <w:t>Rzecznik Prasowy</w:t>
            </w:r>
          </w:p>
          <w:p w:rsidR="0086216E" w:rsidRPr="00561F50" w:rsidRDefault="0086216E" w:rsidP="00B3361B">
            <w:pPr>
              <w:spacing w:after="0" w:line="240" w:lineRule="auto"/>
              <w:rPr>
                <w:sz w:val="18"/>
                <w:szCs w:val="18"/>
              </w:rPr>
            </w:pPr>
            <w:r w:rsidRPr="00561F50">
              <w:rPr>
                <w:sz w:val="18"/>
                <w:szCs w:val="18"/>
              </w:rPr>
              <w:t>tel.: +48 22 486 56 16</w:t>
            </w:r>
          </w:p>
          <w:p w:rsidR="0086216E" w:rsidRPr="00561F50" w:rsidRDefault="0086216E" w:rsidP="00B3361B">
            <w:pPr>
              <w:spacing w:after="0" w:line="240" w:lineRule="auto"/>
              <w:rPr>
                <w:sz w:val="18"/>
                <w:szCs w:val="18"/>
              </w:rPr>
            </w:pPr>
            <w:r w:rsidRPr="00561F50">
              <w:rPr>
                <w:sz w:val="18"/>
                <w:szCs w:val="18"/>
              </w:rPr>
              <w:t>kom.: + 48 602 601 010</w:t>
            </w:r>
          </w:p>
          <w:p w:rsidR="0086216E" w:rsidRPr="00561F50" w:rsidRDefault="007C6162" w:rsidP="00B3361B">
            <w:pPr>
              <w:spacing w:after="0" w:line="240" w:lineRule="auto"/>
              <w:rPr>
                <w:sz w:val="18"/>
                <w:szCs w:val="18"/>
              </w:rPr>
            </w:pPr>
            <w:hyperlink r:id="rId9" w:history="1">
              <w:r w:rsidR="0086216E" w:rsidRPr="00561F50">
                <w:rPr>
                  <w:sz w:val="18"/>
                  <w:szCs w:val="18"/>
                </w:rPr>
                <w:t>Halina.Kochalska@big.pl</w:t>
              </w:r>
            </w:hyperlink>
          </w:p>
        </w:tc>
        <w:tc>
          <w:tcPr>
            <w:tcW w:w="4606" w:type="dxa"/>
            <w:hideMark/>
          </w:tcPr>
          <w:p w:rsidR="0086216E" w:rsidRPr="00561F50" w:rsidRDefault="0086216E" w:rsidP="00B3361B">
            <w:pPr>
              <w:spacing w:after="0" w:line="240" w:lineRule="auto"/>
              <w:rPr>
                <w:sz w:val="18"/>
                <w:szCs w:val="18"/>
              </w:rPr>
            </w:pPr>
            <w:r w:rsidRPr="00561F50">
              <w:rPr>
                <w:sz w:val="18"/>
                <w:szCs w:val="18"/>
              </w:rPr>
              <w:t>Diana Borowiecka</w:t>
            </w:r>
          </w:p>
          <w:p w:rsidR="0086216E" w:rsidRPr="00561F50" w:rsidRDefault="0086216E" w:rsidP="00B3361B">
            <w:pPr>
              <w:spacing w:after="0" w:line="240" w:lineRule="auto"/>
              <w:rPr>
                <w:sz w:val="18"/>
                <w:szCs w:val="18"/>
              </w:rPr>
            </w:pPr>
            <w:r w:rsidRPr="00561F50">
              <w:rPr>
                <w:sz w:val="18"/>
                <w:szCs w:val="18"/>
              </w:rPr>
              <w:t>Biuro PR i Komunikacji</w:t>
            </w:r>
          </w:p>
          <w:p w:rsidR="0086216E" w:rsidRPr="00561F50" w:rsidRDefault="0086216E" w:rsidP="00B3361B">
            <w:pPr>
              <w:spacing w:after="0" w:line="240" w:lineRule="auto"/>
              <w:rPr>
                <w:sz w:val="18"/>
                <w:szCs w:val="18"/>
              </w:rPr>
            </w:pPr>
            <w:r w:rsidRPr="00561F50">
              <w:rPr>
                <w:sz w:val="18"/>
                <w:szCs w:val="18"/>
              </w:rPr>
              <w:t>tel.: +48 22 486 56 46</w:t>
            </w:r>
          </w:p>
          <w:p w:rsidR="0086216E" w:rsidRPr="00561F50" w:rsidRDefault="0086216E" w:rsidP="00B3361B">
            <w:pPr>
              <w:spacing w:after="0" w:line="240" w:lineRule="auto"/>
              <w:rPr>
                <w:sz w:val="18"/>
                <w:szCs w:val="18"/>
              </w:rPr>
            </w:pPr>
            <w:r w:rsidRPr="00561F50">
              <w:rPr>
                <w:sz w:val="18"/>
                <w:szCs w:val="18"/>
              </w:rPr>
              <w:t>kom.: + 48 607 146 583</w:t>
            </w:r>
          </w:p>
          <w:p w:rsidR="0086216E" w:rsidRPr="00561F50" w:rsidRDefault="007C6162" w:rsidP="00B3361B">
            <w:pPr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="0086216E" w:rsidRPr="00561F50">
                <w:rPr>
                  <w:sz w:val="18"/>
                  <w:szCs w:val="18"/>
                </w:rPr>
                <w:t>Diana.Borowiecka@big.pl</w:t>
              </w:r>
            </w:hyperlink>
            <w:r w:rsidR="0086216E" w:rsidRPr="00561F50">
              <w:rPr>
                <w:sz w:val="18"/>
                <w:szCs w:val="18"/>
              </w:rPr>
              <w:t xml:space="preserve"> </w:t>
            </w:r>
          </w:p>
        </w:tc>
      </w:tr>
    </w:tbl>
    <w:p w:rsidR="0086216E" w:rsidRDefault="0086216E" w:rsidP="0086216E">
      <w:pPr>
        <w:rPr>
          <w:bCs/>
          <w:i/>
          <w:iCs/>
          <w:sz w:val="18"/>
          <w:szCs w:val="18"/>
        </w:rPr>
      </w:pPr>
    </w:p>
    <w:sectPr w:rsidR="0086216E" w:rsidSect="00A92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62" w:rsidRDefault="007C6162">
      <w:pPr>
        <w:spacing w:after="0" w:line="240" w:lineRule="auto"/>
      </w:pPr>
      <w:r>
        <w:separator/>
      </w:r>
    </w:p>
  </w:endnote>
  <w:endnote w:type="continuationSeparator" w:id="0">
    <w:p w:rsidR="007C6162" w:rsidRDefault="007C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69" w:rsidRDefault="0086216E" w:rsidP="00A92E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2E69" w:rsidRDefault="007C6162" w:rsidP="00A92E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69" w:rsidRDefault="0086216E" w:rsidP="00A92E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5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2E69" w:rsidRPr="00D94BC7" w:rsidRDefault="007C61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C" w:rsidRDefault="00513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62" w:rsidRDefault="007C6162">
      <w:pPr>
        <w:spacing w:after="0" w:line="240" w:lineRule="auto"/>
      </w:pPr>
      <w:r>
        <w:separator/>
      </w:r>
    </w:p>
  </w:footnote>
  <w:footnote w:type="continuationSeparator" w:id="0">
    <w:p w:rsidR="007C6162" w:rsidRDefault="007C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69" w:rsidRPr="0051350C" w:rsidRDefault="0051350C" w:rsidP="0051350C">
    <w:pPr>
      <w:pStyle w:val="Nagwek"/>
    </w:pPr>
    <w:fldSimple w:instr=" DOCPROPERTY bjHeaderEvenPageDocProperty \* MERGEFORMAT " w:fldLock="1">
      <w:r w:rsidRPr="0051350C">
        <w:rPr>
          <w:rFonts w:ascii="Calibri" w:hAnsi="Calibri"/>
          <w:i/>
          <w:color w:val="FFFFFF"/>
          <w:sz w:val="12"/>
        </w:rPr>
        <w:t>.</w:t>
      </w:r>
      <w:r w:rsidRPr="0051350C">
        <w:rPr>
          <w:rFonts w:ascii="Calibri" w:hAnsi="Calibri"/>
          <w:i/>
          <w:color w:val="000000"/>
          <w:sz w:val="20"/>
        </w:rPr>
        <w:t xml:space="preserve">Informacje </w:t>
      </w:r>
      <w:r w:rsidRPr="0051350C">
        <w:rPr>
          <w:rFonts w:ascii="Calibri" w:hAnsi="Calibri"/>
          <w:i/>
          <w:color w:val="0000FF"/>
          <w:sz w:val="20"/>
        </w:rPr>
        <w:t>Wewnętrzne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F82B01" w:rsidRDefault="0051350C" w:rsidP="0051350C">
    <w:pPr>
      <w:pStyle w:val="Nagwek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51350C">
      <w:rPr>
        <w:rFonts w:ascii="Calibri" w:hAnsi="Calibri"/>
        <w:i/>
        <w:color w:val="FFFFFF"/>
        <w:sz w:val="12"/>
      </w:rPr>
      <w:t>.</w:t>
    </w:r>
    <w:r w:rsidRPr="0051350C">
      <w:rPr>
        <w:rFonts w:ascii="Calibri" w:hAnsi="Calibri"/>
        <w:i/>
        <w:color w:val="000000"/>
        <w:sz w:val="20"/>
      </w:rPr>
      <w:t xml:space="preserve">Informacje </w:t>
    </w:r>
    <w:r w:rsidRPr="0051350C">
      <w:rPr>
        <w:rFonts w:ascii="Calibri" w:hAnsi="Calibri"/>
        <w:i/>
        <w:color w:val="0000FF"/>
        <w:sz w:val="20"/>
      </w:rPr>
      <w:t>Wewnętrzne</w:t>
    </w:r>
    <w:r>
      <w:fldChar w:fldCharType="end"/>
    </w:r>
  </w:p>
  <w:p w:rsidR="00A92E69" w:rsidRDefault="0086216E" w:rsidP="002247A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5E32B1" wp14:editId="1BCB8892">
          <wp:simplePos x="0" y="0"/>
          <wp:positionH relativeFrom="column">
            <wp:posOffset>4733925</wp:posOffset>
          </wp:positionH>
          <wp:positionV relativeFrom="paragraph">
            <wp:posOffset>-47625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139">
      <w:t xml:space="preserve">                                                                                       </w:t>
    </w:r>
    <w:r w:rsidR="00066139">
      <w:rPr>
        <w:noProof/>
      </w:rPr>
      <w:drawing>
        <wp:inline distT="0" distB="0" distL="0" distR="0" wp14:anchorId="6A42FB77" wp14:editId="26B5E770">
          <wp:extent cx="1733703" cy="52732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60" cy="527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01" w:rsidRDefault="0051350C" w:rsidP="0051350C">
    <w:pPr>
      <w:pStyle w:val="Nagwek"/>
      <w:rPr>
        <w:noProof/>
      </w:rPr>
    </w:pPr>
    <w:r>
      <w:rPr>
        <w:noProof/>
      </w:rPr>
      <w:fldChar w:fldCharType="begin" w:fldLock="1"/>
    </w:r>
    <w:r>
      <w:rPr>
        <w:noProof/>
      </w:rPr>
      <w:instrText xml:space="preserve"> DOCPROPERTY bjHeaderFirstPageDocProperty \* MERGEFORMAT </w:instrText>
    </w:r>
    <w:r>
      <w:rPr>
        <w:noProof/>
      </w:rPr>
      <w:fldChar w:fldCharType="separate"/>
    </w:r>
    <w:r w:rsidRPr="0051350C">
      <w:rPr>
        <w:rFonts w:ascii="Calibri" w:hAnsi="Calibri"/>
        <w:i/>
        <w:noProof/>
        <w:color w:val="FFFFFF"/>
        <w:sz w:val="12"/>
      </w:rPr>
      <w:t>.</w:t>
    </w:r>
    <w:r w:rsidRPr="0051350C">
      <w:rPr>
        <w:rFonts w:ascii="Calibri" w:hAnsi="Calibri"/>
        <w:i/>
        <w:noProof/>
        <w:color w:val="000000"/>
        <w:sz w:val="20"/>
      </w:rPr>
      <w:t xml:space="preserve">Informacje </w:t>
    </w:r>
    <w:r w:rsidRPr="0051350C">
      <w:rPr>
        <w:rFonts w:ascii="Calibri" w:hAnsi="Calibri"/>
        <w:i/>
        <w:noProof/>
        <w:color w:val="0000FF"/>
        <w:sz w:val="20"/>
      </w:rPr>
      <w:t>Wewnętrzne</w:t>
    </w:r>
    <w:r>
      <w:rPr>
        <w:noProof/>
      </w:rPr>
      <w:fldChar w:fldCharType="end"/>
    </w:r>
  </w:p>
  <w:p w:rsidR="00A92E69" w:rsidRDefault="00325B16" w:rsidP="00D53EB9">
    <w:pPr>
      <w:pStyle w:val="Nagwek"/>
      <w:jc w:val="right"/>
    </w:pPr>
    <w:r>
      <w:rPr>
        <w:noProof/>
      </w:rPr>
      <w:drawing>
        <wp:inline distT="0" distB="0" distL="0" distR="0" wp14:anchorId="5AF27AA7" wp14:editId="235843D1">
          <wp:extent cx="1602029" cy="488263"/>
          <wp:effectExtent l="0" t="0" r="0" b="7620"/>
          <wp:docPr id="2" name="Obraz 2" descr="C:\Users\diana.b\Desktop\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.b\Desktop\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992" cy="488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86216E">
      <w:rPr>
        <w:noProof/>
      </w:rPr>
      <w:drawing>
        <wp:inline distT="0" distB="0" distL="0" distR="0" wp14:anchorId="0C2E7907" wp14:editId="6DE5BBAF">
          <wp:extent cx="1146175" cy="487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2E69" w:rsidRPr="00695EB6" w:rsidRDefault="0086216E">
    <w:pPr>
      <w:pStyle w:val="Nagwek"/>
      <w:rPr>
        <w:b/>
        <w:sz w:val="24"/>
      </w:rPr>
    </w:pPr>
    <w:r w:rsidRPr="00695EB6">
      <w:rPr>
        <w:b/>
        <w:sz w:val="24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6E"/>
    <w:rsid w:val="00011D1C"/>
    <w:rsid w:val="0003707E"/>
    <w:rsid w:val="00041C1D"/>
    <w:rsid w:val="00060718"/>
    <w:rsid w:val="00066139"/>
    <w:rsid w:val="00085041"/>
    <w:rsid w:val="000A1A1E"/>
    <w:rsid w:val="000A5F25"/>
    <w:rsid w:val="000F602B"/>
    <w:rsid w:val="001042D9"/>
    <w:rsid w:val="0010644E"/>
    <w:rsid w:val="00122D86"/>
    <w:rsid w:val="001264B9"/>
    <w:rsid w:val="00135D1A"/>
    <w:rsid w:val="00145F1F"/>
    <w:rsid w:val="00153F7C"/>
    <w:rsid w:val="00187144"/>
    <w:rsid w:val="00195AD9"/>
    <w:rsid w:val="0019786E"/>
    <w:rsid w:val="001B3B49"/>
    <w:rsid w:val="001D2DD4"/>
    <w:rsid w:val="00211B4D"/>
    <w:rsid w:val="00212BC3"/>
    <w:rsid w:val="002247A2"/>
    <w:rsid w:val="00237134"/>
    <w:rsid w:val="002379B6"/>
    <w:rsid w:val="002703BD"/>
    <w:rsid w:val="00280304"/>
    <w:rsid w:val="00283C13"/>
    <w:rsid w:val="0028799A"/>
    <w:rsid w:val="002A439F"/>
    <w:rsid w:val="002B2C2B"/>
    <w:rsid w:val="002C663D"/>
    <w:rsid w:val="002D5BD8"/>
    <w:rsid w:val="002D7E72"/>
    <w:rsid w:val="002E1DFA"/>
    <w:rsid w:val="002E76AD"/>
    <w:rsid w:val="002F1C31"/>
    <w:rsid w:val="00300836"/>
    <w:rsid w:val="00302743"/>
    <w:rsid w:val="00306979"/>
    <w:rsid w:val="00325B16"/>
    <w:rsid w:val="0035034D"/>
    <w:rsid w:val="00367A64"/>
    <w:rsid w:val="00376207"/>
    <w:rsid w:val="00397334"/>
    <w:rsid w:val="003B06C3"/>
    <w:rsid w:val="003D5B4A"/>
    <w:rsid w:val="003E6272"/>
    <w:rsid w:val="004030A3"/>
    <w:rsid w:val="00415E41"/>
    <w:rsid w:val="0042699B"/>
    <w:rsid w:val="004523D1"/>
    <w:rsid w:val="00452BBB"/>
    <w:rsid w:val="00456B85"/>
    <w:rsid w:val="00471DC9"/>
    <w:rsid w:val="004A47B5"/>
    <w:rsid w:val="004C6BA0"/>
    <w:rsid w:val="004D2375"/>
    <w:rsid w:val="004D25F2"/>
    <w:rsid w:val="004E3A56"/>
    <w:rsid w:val="00511532"/>
    <w:rsid w:val="0051350C"/>
    <w:rsid w:val="00526F20"/>
    <w:rsid w:val="00561F50"/>
    <w:rsid w:val="00576061"/>
    <w:rsid w:val="005865EF"/>
    <w:rsid w:val="00590856"/>
    <w:rsid w:val="00594A41"/>
    <w:rsid w:val="005E3FEB"/>
    <w:rsid w:val="005E5957"/>
    <w:rsid w:val="005F206B"/>
    <w:rsid w:val="005F23AD"/>
    <w:rsid w:val="00605B46"/>
    <w:rsid w:val="006140D8"/>
    <w:rsid w:val="00622A3D"/>
    <w:rsid w:val="006601AF"/>
    <w:rsid w:val="00661A77"/>
    <w:rsid w:val="0066732B"/>
    <w:rsid w:val="006729BA"/>
    <w:rsid w:val="0069116A"/>
    <w:rsid w:val="006A4B50"/>
    <w:rsid w:val="006B236A"/>
    <w:rsid w:val="006C290E"/>
    <w:rsid w:val="006D2707"/>
    <w:rsid w:val="006D4207"/>
    <w:rsid w:val="006E2DF1"/>
    <w:rsid w:val="00702718"/>
    <w:rsid w:val="0071187C"/>
    <w:rsid w:val="00740BC7"/>
    <w:rsid w:val="007503A7"/>
    <w:rsid w:val="00760AFF"/>
    <w:rsid w:val="00762FEC"/>
    <w:rsid w:val="00763E6D"/>
    <w:rsid w:val="0077305A"/>
    <w:rsid w:val="0077373E"/>
    <w:rsid w:val="00775CB4"/>
    <w:rsid w:val="007854A9"/>
    <w:rsid w:val="00785D8C"/>
    <w:rsid w:val="007913A5"/>
    <w:rsid w:val="0079273C"/>
    <w:rsid w:val="007A4638"/>
    <w:rsid w:val="007A5435"/>
    <w:rsid w:val="007C6162"/>
    <w:rsid w:val="007E27AB"/>
    <w:rsid w:val="007E48F2"/>
    <w:rsid w:val="007E7F54"/>
    <w:rsid w:val="007F3E2F"/>
    <w:rsid w:val="00804CC9"/>
    <w:rsid w:val="0082501F"/>
    <w:rsid w:val="008331BB"/>
    <w:rsid w:val="00840BA6"/>
    <w:rsid w:val="008547FD"/>
    <w:rsid w:val="0086216E"/>
    <w:rsid w:val="00870A18"/>
    <w:rsid w:val="00871E85"/>
    <w:rsid w:val="00872192"/>
    <w:rsid w:val="008B1C8D"/>
    <w:rsid w:val="008C4CCB"/>
    <w:rsid w:val="008D0975"/>
    <w:rsid w:val="008E0926"/>
    <w:rsid w:val="008E5CD9"/>
    <w:rsid w:val="00920D5E"/>
    <w:rsid w:val="00922B58"/>
    <w:rsid w:val="00962F5C"/>
    <w:rsid w:val="0096369B"/>
    <w:rsid w:val="009830A2"/>
    <w:rsid w:val="00996BCB"/>
    <w:rsid w:val="009C61FD"/>
    <w:rsid w:val="009C745A"/>
    <w:rsid w:val="009E23DE"/>
    <w:rsid w:val="009F0F74"/>
    <w:rsid w:val="00A061F8"/>
    <w:rsid w:val="00A1741E"/>
    <w:rsid w:val="00A36224"/>
    <w:rsid w:val="00A41463"/>
    <w:rsid w:val="00A514CB"/>
    <w:rsid w:val="00A71AD8"/>
    <w:rsid w:val="00A970E8"/>
    <w:rsid w:val="00AA11DD"/>
    <w:rsid w:val="00AA5868"/>
    <w:rsid w:val="00AA5C5D"/>
    <w:rsid w:val="00AC0E32"/>
    <w:rsid w:val="00AD3305"/>
    <w:rsid w:val="00AD7E07"/>
    <w:rsid w:val="00AF14DA"/>
    <w:rsid w:val="00B045D0"/>
    <w:rsid w:val="00B131BA"/>
    <w:rsid w:val="00B2397B"/>
    <w:rsid w:val="00B375EC"/>
    <w:rsid w:val="00B45567"/>
    <w:rsid w:val="00B501B6"/>
    <w:rsid w:val="00B512E4"/>
    <w:rsid w:val="00B9062C"/>
    <w:rsid w:val="00BD268E"/>
    <w:rsid w:val="00BD5714"/>
    <w:rsid w:val="00BF0A67"/>
    <w:rsid w:val="00C04F9C"/>
    <w:rsid w:val="00C46797"/>
    <w:rsid w:val="00C50B57"/>
    <w:rsid w:val="00C5711F"/>
    <w:rsid w:val="00C653F8"/>
    <w:rsid w:val="00C66CE0"/>
    <w:rsid w:val="00C66EAC"/>
    <w:rsid w:val="00C72E4A"/>
    <w:rsid w:val="00C851A7"/>
    <w:rsid w:val="00C9250D"/>
    <w:rsid w:val="00CA5F52"/>
    <w:rsid w:val="00CC4564"/>
    <w:rsid w:val="00CC7602"/>
    <w:rsid w:val="00CD0B2C"/>
    <w:rsid w:val="00CF6FAD"/>
    <w:rsid w:val="00D23491"/>
    <w:rsid w:val="00D27050"/>
    <w:rsid w:val="00D27DBB"/>
    <w:rsid w:val="00D32FE5"/>
    <w:rsid w:val="00D56447"/>
    <w:rsid w:val="00D5656E"/>
    <w:rsid w:val="00D85246"/>
    <w:rsid w:val="00DE5869"/>
    <w:rsid w:val="00DF5452"/>
    <w:rsid w:val="00E029F0"/>
    <w:rsid w:val="00E155C6"/>
    <w:rsid w:val="00E3714B"/>
    <w:rsid w:val="00E538F2"/>
    <w:rsid w:val="00E81ED4"/>
    <w:rsid w:val="00E82C34"/>
    <w:rsid w:val="00E94397"/>
    <w:rsid w:val="00EB2B77"/>
    <w:rsid w:val="00EC6D2F"/>
    <w:rsid w:val="00F05447"/>
    <w:rsid w:val="00F13F46"/>
    <w:rsid w:val="00F53A4F"/>
    <w:rsid w:val="00F54FBF"/>
    <w:rsid w:val="00F55FA8"/>
    <w:rsid w:val="00F60785"/>
    <w:rsid w:val="00F66B02"/>
    <w:rsid w:val="00F82B01"/>
    <w:rsid w:val="00F838CC"/>
    <w:rsid w:val="00F87B2E"/>
    <w:rsid w:val="00FB2D4C"/>
    <w:rsid w:val="00FC0406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216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6216E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86216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6216E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86216E"/>
  </w:style>
  <w:style w:type="paragraph" w:styleId="Akapitzlist">
    <w:name w:val="List Paragraph"/>
    <w:basedOn w:val="Normalny"/>
    <w:uiPriority w:val="34"/>
    <w:qFormat/>
    <w:rsid w:val="0086216E"/>
    <w:pPr>
      <w:spacing w:after="0" w:line="240" w:lineRule="auto"/>
      <w:ind w:left="720"/>
      <w:contextualSpacing/>
    </w:pPr>
    <w:rPr>
      <w:rFonts w:eastAsia="Times New Roman" w:cs="Times New Roman"/>
      <w:sz w:val="23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16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16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2C34"/>
    <w:rPr>
      <w:color w:val="0000FF" w:themeColor="hyperlink"/>
      <w:u w:val="single"/>
    </w:rPr>
  </w:style>
  <w:style w:type="paragraph" w:customStyle="1" w:styleId="Default">
    <w:name w:val="Default"/>
    <w:rsid w:val="008E5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397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397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216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6216E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86216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6216E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86216E"/>
  </w:style>
  <w:style w:type="paragraph" w:styleId="Akapitzlist">
    <w:name w:val="List Paragraph"/>
    <w:basedOn w:val="Normalny"/>
    <w:uiPriority w:val="34"/>
    <w:qFormat/>
    <w:rsid w:val="0086216E"/>
    <w:pPr>
      <w:spacing w:after="0" w:line="240" w:lineRule="auto"/>
      <w:ind w:left="720"/>
      <w:contextualSpacing/>
    </w:pPr>
    <w:rPr>
      <w:rFonts w:eastAsia="Times New Roman" w:cs="Times New Roman"/>
      <w:sz w:val="23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16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16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2C34"/>
    <w:rPr>
      <w:color w:val="0000FF" w:themeColor="hyperlink"/>
      <w:u w:val="single"/>
    </w:rPr>
  </w:style>
  <w:style w:type="paragraph" w:customStyle="1" w:styleId="Default">
    <w:name w:val="Default"/>
    <w:rsid w:val="008E5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397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397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bik.pl/publikacje/read/393767/sytuacja-na-rynku-hotelowym-w-polsce-pelne-oblozen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ana.Borowiecka@b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ina.Kochalska@bi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3E1B6FF4-9A97-4374-9536-B1A34ACE00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1007</Words>
  <Characters>6227</Characters>
  <Application>Microsoft Office Word</Application>
  <DocSecurity>0</DocSecurity>
  <Lines>99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Borowiecka Diana</cp:lastModifiedBy>
  <cp:revision>20</cp:revision>
  <dcterms:created xsi:type="dcterms:W3CDTF">2018-06-12T12:44:00Z</dcterms:created>
  <dcterms:modified xsi:type="dcterms:W3CDTF">2018-06-13T06:29:00Z</dcterms:modified>
  <cp:category>.Informacje Wewnętrzne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3b76b9e7-3cd2-4217-a8e4-aa0e4e74bedb</vt:lpwstr>
  </property>
  <property fmtid="{D5CDD505-2E9C-101B-9397-08002B2CF9AE}" pid="3" name="bjSaver">
    <vt:lpwstr>6ntNSksSHiginG8KZDJKRJ7O3fVY3zq8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Wewnętrzne</vt:lpwstr>
  </property>
  <property fmtid="{D5CDD505-2E9C-101B-9397-08002B2CF9AE}" pid="7" name="bjHeaderBothDocProperty">
    <vt:lpwstr>.Informacje Wewnętrzne</vt:lpwstr>
  </property>
  <property fmtid="{D5CDD505-2E9C-101B-9397-08002B2CF9AE}" pid="8" name="bjHeaderFirstPageDocProperty">
    <vt:lpwstr>.Informacje Wewnętrzne</vt:lpwstr>
  </property>
  <property fmtid="{D5CDD505-2E9C-101B-9397-08002B2CF9AE}" pid="9" name="bjHeaderEvenPageDocProperty">
    <vt:lpwstr>.Informacje Wewnętrzne</vt:lpwstr>
  </property>
</Properties>
</file>