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050" w:rsidRPr="001F771A" w:rsidRDefault="00CA4050" w:rsidP="00776FD0">
      <w:pPr>
        <w:spacing w:line="360" w:lineRule="auto"/>
        <w:jc w:val="right"/>
        <w:rPr>
          <w:rFonts w:ascii="Myriad Pro" w:hAnsi="Myriad Pro" w:cs="Arial"/>
          <w:sz w:val="24"/>
          <w:szCs w:val="24"/>
        </w:rPr>
      </w:pPr>
      <w:r w:rsidRPr="001F771A">
        <w:rPr>
          <w:rFonts w:ascii="Myriad Pro" w:hAnsi="Myriad Pro" w:cs="Arial"/>
          <w:sz w:val="24"/>
          <w:szCs w:val="24"/>
        </w:rPr>
        <w:t xml:space="preserve">Warszawa, </w:t>
      </w:r>
      <w:r w:rsidR="00776FD0">
        <w:rPr>
          <w:rFonts w:ascii="Myriad Pro" w:hAnsi="Myriad Pro" w:cs="Arial"/>
          <w:sz w:val="24"/>
          <w:szCs w:val="24"/>
        </w:rPr>
        <w:t>23</w:t>
      </w:r>
      <w:r w:rsidR="00953D4F" w:rsidRPr="001F771A">
        <w:rPr>
          <w:rFonts w:ascii="Myriad Pro" w:hAnsi="Myriad Pro" w:cs="Arial"/>
          <w:sz w:val="24"/>
          <w:szCs w:val="24"/>
        </w:rPr>
        <w:t xml:space="preserve"> </w:t>
      </w:r>
      <w:r w:rsidR="00776FD0">
        <w:rPr>
          <w:rFonts w:ascii="Myriad Pro" w:hAnsi="Myriad Pro" w:cs="Arial"/>
          <w:sz w:val="24"/>
          <w:szCs w:val="24"/>
        </w:rPr>
        <w:t>lipca</w:t>
      </w:r>
      <w:r w:rsidR="002B7819" w:rsidRPr="001F771A">
        <w:rPr>
          <w:rFonts w:ascii="Myriad Pro" w:hAnsi="Myriad Pro" w:cs="Arial"/>
          <w:sz w:val="24"/>
          <w:szCs w:val="24"/>
        </w:rPr>
        <w:t xml:space="preserve"> </w:t>
      </w:r>
      <w:r w:rsidR="00D80B44" w:rsidRPr="001F771A">
        <w:rPr>
          <w:rFonts w:ascii="Myriad Pro" w:hAnsi="Myriad Pro" w:cs="Arial"/>
          <w:sz w:val="24"/>
          <w:szCs w:val="24"/>
        </w:rPr>
        <w:t>201</w:t>
      </w:r>
      <w:r w:rsidR="003C0677" w:rsidRPr="001F771A">
        <w:rPr>
          <w:rFonts w:ascii="Myriad Pro" w:hAnsi="Myriad Pro" w:cs="Arial"/>
          <w:sz w:val="24"/>
          <w:szCs w:val="24"/>
        </w:rPr>
        <w:t>8</w:t>
      </w:r>
    </w:p>
    <w:p w:rsidR="00096F95" w:rsidRPr="003E375D" w:rsidRDefault="0093344E" w:rsidP="00776FD0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  <w:r w:rsidRPr="003E375D">
        <w:rPr>
          <w:rFonts w:ascii="Myriad Pro" w:hAnsi="Myriad Pro" w:cs="Arial"/>
          <w:b/>
          <w:sz w:val="24"/>
          <w:szCs w:val="24"/>
        </w:rPr>
        <w:t>Informacja pras</w:t>
      </w:r>
      <w:r w:rsidR="00096F95" w:rsidRPr="003E375D">
        <w:rPr>
          <w:rFonts w:ascii="Myriad Pro" w:hAnsi="Myriad Pro" w:cs="Arial"/>
          <w:b/>
          <w:sz w:val="24"/>
          <w:szCs w:val="24"/>
        </w:rPr>
        <w:t>owa</w:t>
      </w:r>
    </w:p>
    <w:p w:rsidR="0039657F" w:rsidRPr="0039657F" w:rsidRDefault="0039657F" w:rsidP="0039657F">
      <w:pPr>
        <w:pStyle w:val="NormalnyWeb"/>
        <w:rPr>
          <w:rFonts w:ascii="Myriad Pro" w:hAnsi="Myriad Pro"/>
          <w:b/>
        </w:rPr>
      </w:pPr>
      <w:r w:rsidRPr="0039657F">
        <w:rPr>
          <w:rFonts w:ascii="Myriad Pro" w:hAnsi="Myriad Pro"/>
          <w:b/>
        </w:rPr>
        <w:t xml:space="preserve"> </w:t>
      </w:r>
      <w:r w:rsidRPr="0039657F">
        <w:rPr>
          <w:rFonts w:ascii="Myriad Pro" w:hAnsi="Myriad Pro"/>
          <w:b/>
        </w:rPr>
        <w:t xml:space="preserve">Netia </w:t>
      </w:r>
      <w:proofErr w:type="spellStart"/>
      <w:r w:rsidRPr="0039657F">
        <w:rPr>
          <w:rFonts w:ascii="Myriad Pro" w:hAnsi="Myriad Pro"/>
          <w:b/>
        </w:rPr>
        <w:t>Cloud</w:t>
      </w:r>
      <w:proofErr w:type="spellEnd"/>
      <w:r w:rsidRPr="0039657F">
        <w:rPr>
          <w:rFonts w:ascii="Myriad Pro" w:hAnsi="Myriad Pro"/>
          <w:b/>
        </w:rPr>
        <w:t xml:space="preserve"> </w:t>
      </w:r>
      <w:proofErr w:type="spellStart"/>
      <w:r w:rsidRPr="0039657F">
        <w:rPr>
          <w:rFonts w:ascii="Myriad Pro" w:hAnsi="Myriad Pro"/>
          <w:b/>
        </w:rPr>
        <w:t>Tunnel</w:t>
      </w:r>
      <w:proofErr w:type="spellEnd"/>
      <w:r w:rsidRPr="0039657F">
        <w:rPr>
          <w:rFonts w:ascii="Myriad Pro" w:hAnsi="Myriad Pro"/>
          <w:b/>
        </w:rPr>
        <w:t xml:space="preserve"> – szybki dostęp do dowolnej chmury na świecie</w:t>
      </w:r>
    </w:p>
    <w:p w:rsidR="00776FD0" w:rsidRPr="008165C2" w:rsidRDefault="00776FD0" w:rsidP="00776FD0">
      <w:pPr>
        <w:pStyle w:val="NormalnyWeb"/>
        <w:spacing w:line="360" w:lineRule="auto"/>
        <w:jc w:val="both"/>
        <w:rPr>
          <w:rFonts w:ascii="Myriad Pro" w:hAnsi="Myriad Pro"/>
          <w:b/>
        </w:rPr>
      </w:pPr>
      <w:r w:rsidRPr="00693DDB">
        <w:rPr>
          <w:rFonts w:ascii="Myriad Pro" w:hAnsi="Myriad Pro"/>
          <w:b/>
        </w:rPr>
        <w:t xml:space="preserve">Netia </w:t>
      </w:r>
      <w:r>
        <w:rPr>
          <w:rFonts w:ascii="Myriad Pro" w:hAnsi="Myriad Pro"/>
          <w:b/>
        </w:rPr>
        <w:t xml:space="preserve">poszerzyła ofertę rozwiązań dla klientów biznesowych o usługę Netia </w:t>
      </w:r>
      <w:proofErr w:type="spellStart"/>
      <w:r>
        <w:rPr>
          <w:rFonts w:ascii="Myriad Pro" w:hAnsi="Myriad Pro"/>
          <w:b/>
        </w:rPr>
        <w:t>Cloud</w:t>
      </w:r>
      <w:proofErr w:type="spellEnd"/>
      <w:r>
        <w:rPr>
          <w:rFonts w:ascii="Myriad Pro" w:hAnsi="Myriad Pro"/>
          <w:b/>
        </w:rPr>
        <w:t xml:space="preserve"> </w:t>
      </w:r>
      <w:proofErr w:type="spellStart"/>
      <w:r>
        <w:rPr>
          <w:rFonts w:ascii="Myriad Pro" w:hAnsi="Myriad Pro"/>
          <w:b/>
        </w:rPr>
        <w:t>Tunnel</w:t>
      </w:r>
      <w:proofErr w:type="spellEnd"/>
      <w:r w:rsidRPr="008165C2">
        <w:rPr>
          <w:rFonts w:ascii="Myriad Pro" w:hAnsi="Myriad Pro"/>
          <w:b/>
        </w:rPr>
        <w:t>, któr</w:t>
      </w:r>
      <w:r>
        <w:rPr>
          <w:rFonts w:ascii="Myriad Pro" w:hAnsi="Myriad Pro"/>
          <w:b/>
        </w:rPr>
        <w:t>a</w:t>
      </w:r>
      <w:r w:rsidRPr="008165C2">
        <w:rPr>
          <w:rFonts w:ascii="Myriad Pro" w:hAnsi="Myriad Pro"/>
          <w:b/>
        </w:rPr>
        <w:t xml:space="preserve"> </w:t>
      </w:r>
      <w:r w:rsidRPr="00B271A4">
        <w:rPr>
          <w:rFonts w:ascii="Myriad Pro" w:hAnsi="Myriad Pro"/>
          <w:b/>
        </w:rPr>
        <w:t>pozwala na zestawianie bezpiecznych i niezawodnych połączeń z</w:t>
      </w:r>
      <w:r w:rsidR="0039657F">
        <w:rPr>
          <w:rFonts w:ascii="Myriad Pro" w:hAnsi="Myriad Pro"/>
          <w:b/>
        </w:rPr>
        <w:t> </w:t>
      </w:r>
      <w:r w:rsidRPr="00B271A4">
        <w:rPr>
          <w:rFonts w:ascii="Myriad Pro" w:hAnsi="Myriad Pro"/>
          <w:b/>
        </w:rPr>
        <w:t xml:space="preserve">ponad 100 platformami chmurowymi na całym świecie, w tym Amazon Web Services, Microsoft </w:t>
      </w:r>
      <w:proofErr w:type="spellStart"/>
      <w:r w:rsidRPr="00B271A4">
        <w:rPr>
          <w:rFonts w:ascii="Myriad Pro" w:hAnsi="Myriad Pro"/>
          <w:b/>
        </w:rPr>
        <w:t>Azure</w:t>
      </w:r>
      <w:proofErr w:type="spellEnd"/>
      <w:r w:rsidRPr="00B271A4">
        <w:rPr>
          <w:rFonts w:ascii="Myriad Pro" w:hAnsi="Myriad Pro"/>
          <w:b/>
        </w:rPr>
        <w:t xml:space="preserve">, czy Google </w:t>
      </w:r>
      <w:proofErr w:type="spellStart"/>
      <w:r w:rsidRPr="00B271A4">
        <w:rPr>
          <w:rFonts w:ascii="Myriad Pro" w:hAnsi="Myriad Pro"/>
          <w:b/>
        </w:rPr>
        <w:t>Cloud</w:t>
      </w:r>
      <w:proofErr w:type="spellEnd"/>
      <w:r w:rsidRPr="00B271A4">
        <w:rPr>
          <w:rFonts w:ascii="Myriad Pro" w:hAnsi="Myriad Pro"/>
          <w:b/>
        </w:rPr>
        <w:t>.</w:t>
      </w:r>
    </w:p>
    <w:p w:rsidR="00776FD0" w:rsidRPr="008165C2" w:rsidRDefault="00776FD0" w:rsidP="00776FD0">
      <w:pPr>
        <w:pStyle w:val="NormalnyWeb"/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Netia od dwóch lat z powodzeniem wdraża własne rozwiązanie chmurowe dla klientów B2B pod nazwą </w:t>
      </w:r>
      <w:hyperlink r:id="rId7" w:history="1">
        <w:r w:rsidRPr="00F16869">
          <w:rPr>
            <w:rStyle w:val="Hipercze"/>
            <w:rFonts w:ascii="Myriad Pro" w:hAnsi="Myriad Pro"/>
          </w:rPr>
          <w:t xml:space="preserve">Netia </w:t>
        </w:r>
        <w:proofErr w:type="spellStart"/>
        <w:r w:rsidRPr="00F16869">
          <w:rPr>
            <w:rStyle w:val="Hipercze"/>
            <w:rFonts w:ascii="Myriad Pro" w:hAnsi="Myriad Pro"/>
          </w:rPr>
          <w:t>Compute</w:t>
        </w:r>
        <w:proofErr w:type="spellEnd"/>
      </w:hyperlink>
      <w:r>
        <w:rPr>
          <w:rFonts w:ascii="Myriad Pro" w:hAnsi="Myriad Pro"/>
        </w:rPr>
        <w:t xml:space="preserve">. Operator ma na koncie już </w:t>
      </w:r>
      <w:r w:rsidRPr="00C367EF">
        <w:rPr>
          <w:rFonts w:ascii="Myriad Pro" w:hAnsi="Myriad Pro"/>
        </w:rPr>
        <w:t xml:space="preserve">blisko 50 </w:t>
      </w:r>
      <w:r>
        <w:rPr>
          <w:rFonts w:ascii="Myriad Pro" w:hAnsi="Myriad Pro"/>
        </w:rPr>
        <w:t>tego typu</w:t>
      </w:r>
      <w:r w:rsidRPr="00C367EF">
        <w:rPr>
          <w:rFonts w:ascii="Myriad Pro" w:hAnsi="Myriad Pro"/>
        </w:rPr>
        <w:t xml:space="preserve"> wdrożeń.</w:t>
      </w:r>
      <w:r>
        <w:rPr>
          <w:rFonts w:ascii="Myriad Pro" w:hAnsi="Myriad Pro"/>
        </w:rPr>
        <w:t xml:space="preserve"> Teraz Netia otwiera nowe możliwości zestawiania niezawodnych połączeń transmisji danych dla klientów, którzy korzystają ze środowisk chmurowych innych dostawców.  </w:t>
      </w:r>
    </w:p>
    <w:p w:rsidR="00776FD0" w:rsidRDefault="00776FD0" w:rsidP="00776FD0">
      <w:pPr>
        <w:pStyle w:val="NormalnyWeb"/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- U</w:t>
      </w:r>
      <w:r w:rsidRPr="0039657F">
        <w:rPr>
          <w:rFonts w:ascii="Myriad Pro" w:hAnsi="Myriad Pro"/>
          <w:i/>
        </w:rPr>
        <w:t xml:space="preserve">sługa Netia </w:t>
      </w:r>
      <w:proofErr w:type="spellStart"/>
      <w:r w:rsidRPr="0039657F">
        <w:rPr>
          <w:rFonts w:ascii="Myriad Pro" w:hAnsi="Myriad Pro"/>
          <w:i/>
        </w:rPr>
        <w:t>Cloud</w:t>
      </w:r>
      <w:proofErr w:type="spellEnd"/>
      <w:r w:rsidRPr="0039657F">
        <w:rPr>
          <w:rFonts w:ascii="Myriad Pro" w:hAnsi="Myriad Pro"/>
          <w:i/>
        </w:rPr>
        <w:t xml:space="preserve"> </w:t>
      </w:r>
      <w:proofErr w:type="spellStart"/>
      <w:r w:rsidRPr="0039657F">
        <w:rPr>
          <w:rFonts w:ascii="Myriad Pro" w:hAnsi="Myriad Pro"/>
          <w:i/>
        </w:rPr>
        <w:t>Tunnel</w:t>
      </w:r>
      <w:proofErr w:type="spellEnd"/>
      <w:r w:rsidRPr="0039657F">
        <w:rPr>
          <w:rFonts w:ascii="Myriad Pro" w:hAnsi="Myriad Pro"/>
          <w:i/>
        </w:rPr>
        <w:t xml:space="preserve"> jest idealna dla Klientów, dla których ważny jest prywatny, bezpieczny, szybki i przewidywalny w zakresie opóźnień dostęp do swoich zasobów w</w:t>
      </w:r>
      <w:r w:rsidR="0039657F" w:rsidRPr="0039657F">
        <w:rPr>
          <w:rFonts w:ascii="Myriad Pro" w:hAnsi="Myriad Pro"/>
          <w:i/>
        </w:rPr>
        <w:t> </w:t>
      </w:r>
      <w:r w:rsidRPr="0039657F">
        <w:rPr>
          <w:rFonts w:ascii="Myriad Pro" w:hAnsi="Myriad Pro"/>
          <w:i/>
        </w:rPr>
        <w:t>chmurze publicznej. Dzięki usłudze można nawiązać niezawodne połączenie z</w:t>
      </w:r>
      <w:r w:rsidR="0039657F" w:rsidRPr="0039657F">
        <w:rPr>
          <w:rFonts w:ascii="Myriad Pro" w:hAnsi="Myriad Pro"/>
          <w:i/>
        </w:rPr>
        <w:t> </w:t>
      </w:r>
      <w:r w:rsidRPr="0039657F">
        <w:rPr>
          <w:rFonts w:ascii="Myriad Pro" w:hAnsi="Myriad Pro"/>
          <w:i/>
        </w:rPr>
        <w:t xml:space="preserve">dowolną platformą chmurową. Co ważne, usługa zapewnia całkowitą poufność transferowanych danych </w:t>
      </w:r>
      <w:r>
        <w:rPr>
          <w:rFonts w:ascii="Myriad Pro" w:hAnsi="Myriad Pro"/>
        </w:rPr>
        <w:t xml:space="preserve">– powiedział Tomasz </w:t>
      </w:r>
      <w:proofErr w:type="spellStart"/>
      <w:r>
        <w:rPr>
          <w:rFonts w:ascii="Myriad Pro" w:hAnsi="Myriad Pro"/>
        </w:rPr>
        <w:t>Tlak</w:t>
      </w:r>
      <w:proofErr w:type="spellEnd"/>
      <w:r>
        <w:rPr>
          <w:rFonts w:ascii="Myriad Pro" w:hAnsi="Myriad Pro"/>
        </w:rPr>
        <w:t>, Kierownik Produktu w Netia SA.</w:t>
      </w:r>
      <w:r w:rsidRPr="00693DDB">
        <w:rPr>
          <w:rFonts w:ascii="Myriad Pro" w:hAnsi="Myriad Pro"/>
        </w:rPr>
        <w:t xml:space="preserve"> </w:t>
      </w:r>
    </w:p>
    <w:p w:rsidR="00776FD0" w:rsidRPr="00EA3C97" w:rsidRDefault="00776FD0" w:rsidP="00776FD0">
      <w:pPr>
        <w:pStyle w:val="NormalnyWeb"/>
        <w:spacing w:line="360" w:lineRule="auto"/>
        <w:jc w:val="both"/>
        <w:rPr>
          <w:rFonts w:ascii="Myriad Pro" w:hAnsi="Myriad Pro"/>
        </w:rPr>
      </w:pPr>
      <w:r w:rsidRPr="00D8547C">
        <w:rPr>
          <w:rFonts w:ascii="Myriad Pro" w:hAnsi="Myriad Pro"/>
        </w:rPr>
        <w:t xml:space="preserve">Usługa Netia </w:t>
      </w:r>
      <w:proofErr w:type="spellStart"/>
      <w:r w:rsidRPr="00D8547C">
        <w:rPr>
          <w:rFonts w:ascii="Myriad Pro" w:hAnsi="Myriad Pro"/>
        </w:rPr>
        <w:t>Cloud</w:t>
      </w:r>
      <w:proofErr w:type="spellEnd"/>
      <w:r w:rsidRPr="00D8547C">
        <w:rPr>
          <w:rFonts w:ascii="Myriad Pro" w:hAnsi="Myriad Pro"/>
        </w:rPr>
        <w:t xml:space="preserve"> </w:t>
      </w:r>
      <w:proofErr w:type="spellStart"/>
      <w:r w:rsidRPr="00D8547C">
        <w:rPr>
          <w:rFonts w:ascii="Myriad Pro" w:hAnsi="Myriad Pro"/>
        </w:rPr>
        <w:t>Tunnel</w:t>
      </w:r>
      <w:proofErr w:type="spellEnd"/>
      <w:r w:rsidRPr="00D8547C">
        <w:rPr>
          <w:rFonts w:ascii="Myriad Pro" w:hAnsi="Myriad Pro"/>
        </w:rPr>
        <w:t xml:space="preserve"> umożliwia zestawianie szybkiej i bezpiecznej transmisji danych z chmurami takimi jak: Amazon Web Services, Microsoft </w:t>
      </w:r>
      <w:proofErr w:type="spellStart"/>
      <w:r w:rsidRPr="00D8547C">
        <w:rPr>
          <w:rFonts w:ascii="Myriad Pro" w:hAnsi="Myriad Pro"/>
        </w:rPr>
        <w:t>Azure</w:t>
      </w:r>
      <w:proofErr w:type="spellEnd"/>
      <w:r w:rsidRPr="00D8547C">
        <w:rPr>
          <w:rFonts w:ascii="Myriad Pro" w:hAnsi="Myriad Pro"/>
        </w:rPr>
        <w:t xml:space="preserve">, Google </w:t>
      </w:r>
      <w:proofErr w:type="spellStart"/>
      <w:r w:rsidRPr="00D8547C">
        <w:rPr>
          <w:rFonts w:ascii="Myriad Pro" w:hAnsi="Myriad Pro"/>
        </w:rPr>
        <w:t>Cloud</w:t>
      </w:r>
      <w:proofErr w:type="spellEnd"/>
      <w:r w:rsidRPr="00D8547C">
        <w:rPr>
          <w:rFonts w:ascii="Myriad Pro" w:hAnsi="Myriad Pro"/>
        </w:rPr>
        <w:t xml:space="preserve"> oraz stu innymi publicznymi chmurami obliczeniowymi na świecie.</w:t>
      </w:r>
    </w:p>
    <w:p w:rsidR="00776FD0" w:rsidRDefault="00776FD0" w:rsidP="00776FD0">
      <w:pPr>
        <w:pStyle w:val="NormalnyWeb"/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- </w:t>
      </w:r>
      <w:r w:rsidRPr="0039657F">
        <w:rPr>
          <w:rFonts w:ascii="Myriad Pro" w:hAnsi="Myriad Pro"/>
          <w:i/>
        </w:rPr>
        <w:t xml:space="preserve">Do obsługi projektów ICT zbudowaliśmy specjalny zespół ponad 50 specjalistów </w:t>
      </w:r>
      <w:proofErr w:type="spellStart"/>
      <w:r w:rsidRPr="0039657F">
        <w:rPr>
          <w:rFonts w:ascii="Myriad Pro" w:hAnsi="Myriad Pro"/>
          <w:i/>
        </w:rPr>
        <w:t>NetiaNext</w:t>
      </w:r>
      <w:proofErr w:type="spellEnd"/>
      <w:r w:rsidRPr="0039657F">
        <w:rPr>
          <w:rFonts w:ascii="Myriad Pro" w:hAnsi="Myriad Pro"/>
          <w:i/>
        </w:rPr>
        <w:t xml:space="preserve">. Dzięki temu, klient Netii, który zdecydował się na chmurę Microsoft </w:t>
      </w:r>
      <w:proofErr w:type="spellStart"/>
      <w:r w:rsidRPr="0039657F">
        <w:rPr>
          <w:rFonts w:ascii="Myriad Pro" w:hAnsi="Myriad Pro"/>
          <w:i/>
        </w:rPr>
        <w:t>Azure</w:t>
      </w:r>
      <w:proofErr w:type="spellEnd"/>
      <w:r w:rsidRPr="0039657F">
        <w:rPr>
          <w:rFonts w:ascii="Myriad Pro" w:hAnsi="Myriad Pro"/>
          <w:i/>
        </w:rPr>
        <w:t xml:space="preserve"> czy Amazon Web Services, może liczyć na pomoc naszych ekspertów w jej konfiguracji, </w:t>
      </w:r>
      <w:r w:rsidRPr="0039657F">
        <w:rPr>
          <w:rFonts w:ascii="Myriad Pro" w:hAnsi="Myriad Pro"/>
          <w:i/>
        </w:rPr>
        <w:lastRenderedPageBreak/>
        <w:t>a</w:t>
      </w:r>
      <w:r w:rsidR="0039657F">
        <w:rPr>
          <w:rFonts w:ascii="Myriad Pro" w:hAnsi="Myriad Pro"/>
          <w:i/>
        </w:rPr>
        <w:t> </w:t>
      </w:r>
      <w:bookmarkStart w:id="0" w:name="_GoBack"/>
      <w:bookmarkEnd w:id="0"/>
      <w:r w:rsidRPr="0039657F">
        <w:rPr>
          <w:rFonts w:ascii="Myriad Pro" w:hAnsi="Myriad Pro"/>
          <w:i/>
        </w:rPr>
        <w:t>także bieżące wsparcie na każdym etapie zestawienia tunelu</w:t>
      </w:r>
      <w:r>
        <w:rPr>
          <w:rFonts w:ascii="Myriad Pro" w:hAnsi="Myriad Pro"/>
        </w:rPr>
        <w:t xml:space="preserve"> – powiedział Rafał Bakalarz, Dyrektor Sprzedaży B2B ds. ICT. </w:t>
      </w:r>
    </w:p>
    <w:p w:rsidR="00776FD0" w:rsidRPr="002E3998" w:rsidRDefault="00776FD0" w:rsidP="00776FD0">
      <w:pPr>
        <w:pStyle w:val="NormalnyWeb"/>
        <w:spacing w:line="36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- Tak kompleksowe podejście docenił już pierwszy międzynarodowy klient, firma z branży HR, której dostarczyliśmy Netia </w:t>
      </w:r>
      <w:proofErr w:type="spellStart"/>
      <w:r>
        <w:rPr>
          <w:rFonts w:ascii="Myriad Pro" w:hAnsi="Myriad Pro"/>
        </w:rPr>
        <w:t>Cloud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Tunnel</w:t>
      </w:r>
      <w:proofErr w:type="spellEnd"/>
      <w:r>
        <w:rPr>
          <w:rFonts w:ascii="Myriad Pro" w:hAnsi="Myriad Pro"/>
        </w:rPr>
        <w:t xml:space="preserve"> wraz z kompleksowym wsparciem w kwestiach prawidłowego wykreowania połączenia do chmury </w:t>
      </w:r>
      <w:proofErr w:type="spellStart"/>
      <w:r>
        <w:rPr>
          <w:rFonts w:ascii="Myriad Pro" w:hAnsi="Myriad Pro"/>
        </w:rPr>
        <w:t>Amazona</w:t>
      </w:r>
      <w:proofErr w:type="spellEnd"/>
      <w:r>
        <w:rPr>
          <w:rFonts w:ascii="Myriad Pro" w:hAnsi="Myriad Pro"/>
        </w:rPr>
        <w:t xml:space="preserve"> – dodał Rafał Bakalarz.  </w:t>
      </w:r>
    </w:p>
    <w:p w:rsidR="00776FD0" w:rsidRPr="00636568" w:rsidRDefault="00776FD0" w:rsidP="00776FD0">
      <w:pPr>
        <w:spacing w:line="360" w:lineRule="auto"/>
        <w:jc w:val="both"/>
        <w:rPr>
          <w:rFonts w:ascii="Myriad Pro" w:hAnsi="Myriad Pro"/>
          <w:b/>
        </w:rPr>
      </w:pPr>
      <w:r w:rsidRPr="00636568">
        <w:rPr>
          <w:rFonts w:ascii="Myriad Pro" w:hAnsi="Myriad Pro"/>
          <w:b/>
        </w:rPr>
        <w:t>O Netii</w:t>
      </w:r>
    </w:p>
    <w:p w:rsidR="00776FD0" w:rsidRPr="00776FD0" w:rsidRDefault="00776FD0" w:rsidP="00776FD0">
      <w:pPr>
        <w:autoSpaceDE w:val="0"/>
        <w:autoSpaceDN w:val="0"/>
        <w:spacing w:line="360" w:lineRule="auto"/>
        <w:jc w:val="both"/>
        <w:rPr>
          <w:rFonts w:ascii="Myriad Pro" w:hAnsi="Myriad Pro"/>
          <w:b/>
        </w:rPr>
      </w:pPr>
      <w:r w:rsidRPr="00776FD0">
        <w:rPr>
          <w:rFonts w:ascii="Myriad Pro" w:hAnsi="Myriad Pro"/>
          <w:b/>
        </w:rPr>
        <w:t xml:space="preserve">Netia dostarcza kompleksowe usługi teleinformatyczne, począwszy od rozwiązań głosowych (tradycyjnych oraz IP), transmisji danych, dostępu do Internetu, po najnowocześniejsze rozwiązania ICT, oparte o przetwarzanie w tzw. chmurze oraz zaawansowane usługi Centrum Danych. Grupa Netia to jeden z największych operatorów telekomunikacyjnych na polskim rynku. Zatrudnia niemal 2 tys. osób w 70 lokalizacjach w całej Polsce. W skład Grupy Kapitałowej wchodzą m.in. Netia S.A., </w:t>
      </w:r>
      <w:proofErr w:type="spellStart"/>
      <w:r w:rsidRPr="00776FD0">
        <w:rPr>
          <w:rFonts w:ascii="Myriad Pro" w:hAnsi="Myriad Pro"/>
          <w:b/>
        </w:rPr>
        <w:t>Internetia</w:t>
      </w:r>
      <w:proofErr w:type="spellEnd"/>
      <w:r w:rsidRPr="00776FD0">
        <w:rPr>
          <w:rFonts w:ascii="Myriad Pro" w:hAnsi="Myriad Pro"/>
          <w:b/>
        </w:rPr>
        <w:t xml:space="preserve"> Sp. z o.o., Telefonia Dialog Sp. z o.o., </w:t>
      </w:r>
      <w:proofErr w:type="spellStart"/>
      <w:r w:rsidRPr="00776FD0">
        <w:rPr>
          <w:rFonts w:ascii="Myriad Pro" w:hAnsi="Myriad Pro"/>
          <w:b/>
        </w:rPr>
        <w:t>Petrotel</w:t>
      </w:r>
      <w:proofErr w:type="spellEnd"/>
      <w:r w:rsidRPr="00776FD0">
        <w:rPr>
          <w:rFonts w:ascii="Myriad Pro" w:hAnsi="Myriad Pro"/>
          <w:b/>
        </w:rPr>
        <w:t xml:space="preserve"> Sp. z o.o., TK Telekom Sp. z o.o.  Światłowodowa sieć szkieletowa, którą dysponuje Grupa Netia ma blisko 20 tys. km długości i łączy sieci metropolitalne Grupy w ponad 50 miastach oraz zapewnia kilkanaście niezależnych połączeń międzynarodowych. </w:t>
      </w:r>
    </w:p>
    <w:p w:rsidR="00776FD0" w:rsidRPr="00330554" w:rsidRDefault="00776FD0" w:rsidP="00776FD0">
      <w:pPr>
        <w:spacing w:line="360" w:lineRule="auto"/>
        <w:jc w:val="both"/>
        <w:rPr>
          <w:rStyle w:val="Uwydatnienie"/>
          <w:rFonts w:ascii="Lato" w:hAnsi="Lato"/>
          <w:i w:val="0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</w:p>
    <w:p w:rsidR="00F11851" w:rsidRPr="003E375D" w:rsidRDefault="00F11851" w:rsidP="00776FD0">
      <w:pPr>
        <w:spacing w:line="360" w:lineRule="auto"/>
        <w:jc w:val="both"/>
        <w:rPr>
          <w:rFonts w:ascii="Myriad Pro" w:hAnsi="Myriad Pro" w:cs="Arial"/>
          <w:b/>
          <w:sz w:val="24"/>
          <w:szCs w:val="24"/>
        </w:rPr>
      </w:pPr>
    </w:p>
    <w:sectPr w:rsidR="00F11851" w:rsidRPr="003E37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53" w:rsidRDefault="00C84853" w:rsidP="002111D2">
      <w:pPr>
        <w:spacing w:after="0" w:line="240" w:lineRule="auto"/>
      </w:pPr>
      <w:r>
        <w:separator/>
      </w:r>
    </w:p>
  </w:endnote>
  <w:endnote w:type="continuationSeparator" w:id="0">
    <w:p w:rsidR="00C84853" w:rsidRDefault="00C84853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53" w:rsidRDefault="00C84853" w:rsidP="002111D2">
      <w:pPr>
        <w:spacing w:after="0" w:line="240" w:lineRule="auto"/>
      </w:pPr>
      <w:r>
        <w:separator/>
      </w:r>
    </w:p>
  </w:footnote>
  <w:footnote w:type="continuationSeparator" w:id="0">
    <w:p w:rsidR="00C84853" w:rsidRDefault="00C84853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15E2F"/>
    <w:rsid w:val="00024055"/>
    <w:rsid w:val="00032A72"/>
    <w:rsid w:val="000454EE"/>
    <w:rsid w:val="00045CE9"/>
    <w:rsid w:val="00070795"/>
    <w:rsid w:val="0007480B"/>
    <w:rsid w:val="00096F95"/>
    <w:rsid w:val="000B18AA"/>
    <w:rsid w:val="000B4C4A"/>
    <w:rsid w:val="000C23D4"/>
    <w:rsid w:val="000C5816"/>
    <w:rsid w:val="000E0913"/>
    <w:rsid w:val="00103D8D"/>
    <w:rsid w:val="00110DC6"/>
    <w:rsid w:val="00116566"/>
    <w:rsid w:val="0011687E"/>
    <w:rsid w:val="001243C9"/>
    <w:rsid w:val="00131C29"/>
    <w:rsid w:val="00134C41"/>
    <w:rsid w:val="0014692C"/>
    <w:rsid w:val="00152E97"/>
    <w:rsid w:val="0016672C"/>
    <w:rsid w:val="00173512"/>
    <w:rsid w:val="00185D79"/>
    <w:rsid w:val="001B34D3"/>
    <w:rsid w:val="001C3089"/>
    <w:rsid w:val="001C74FA"/>
    <w:rsid w:val="001D0B89"/>
    <w:rsid w:val="001E6DED"/>
    <w:rsid w:val="001F771A"/>
    <w:rsid w:val="001F7D32"/>
    <w:rsid w:val="0020098E"/>
    <w:rsid w:val="002111D2"/>
    <w:rsid w:val="00213405"/>
    <w:rsid w:val="002327A5"/>
    <w:rsid w:val="00232C99"/>
    <w:rsid w:val="0024536F"/>
    <w:rsid w:val="00251CCF"/>
    <w:rsid w:val="00254A34"/>
    <w:rsid w:val="00265A5A"/>
    <w:rsid w:val="00272D69"/>
    <w:rsid w:val="0027612D"/>
    <w:rsid w:val="00282086"/>
    <w:rsid w:val="00285DDB"/>
    <w:rsid w:val="002B1E18"/>
    <w:rsid w:val="002B7819"/>
    <w:rsid w:val="002C08EF"/>
    <w:rsid w:val="002C301C"/>
    <w:rsid w:val="002D4242"/>
    <w:rsid w:val="002F2718"/>
    <w:rsid w:val="003026AF"/>
    <w:rsid w:val="003034C5"/>
    <w:rsid w:val="003158A9"/>
    <w:rsid w:val="00344FA5"/>
    <w:rsid w:val="003557AC"/>
    <w:rsid w:val="00356BC7"/>
    <w:rsid w:val="00361EF6"/>
    <w:rsid w:val="003840C2"/>
    <w:rsid w:val="00394AD3"/>
    <w:rsid w:val="0039657F"/>
    <w:rsid w:val="003C0677"/>
    <w:rsid w:val="003C7C91"/>
    <w:rsid w:val="003E375D"/>
    <w:rsid w:val="004025BA"/>
    <w:rsid w:val="00404437"/>
    <w:rsid w:val="00406F4F"/>
    <w:rsid w:val="00414861"/>
    <w:rsid w:val="004157BD"/>
    <w:rsid w:val="00420B44"/>
    <w:rsid w:val="00421E92"/>
    <w:rsid w:val="004248A9"/>
    <w:rsid w:val="00427555"/>
    <w:rsid w:val="0042787F"/>
    <w:rsid w:val="00442780"/>
    <w:rsid w:val="00476764"/>
    <w:rsid w:val="00493211"/>
    <w:rsid w:val="004A2887"/>
    <w:rsid w:val="004B1103"/>
    <w:rsid w:val="004C3823"/>
    <w:rsid w:val="004E36C0"/>
    <w:rsid w:val="004E7286"/>
    <w:rsid w:val="004F013C"/>
    <w:rsid w:val="0052277D"/>
    <w:rsid w:val="00560710"/>
    <w:rsid w:val="00566547"/>
    <w:rsid w:val="005736DA"/>
    <w:rsid w:val="005739FD"/>
    <w:rsid w:val="00575FD8"/>
    <w:rsid w:val="0058246E"/>
    <w:rsid w:val="0058771D"/>
    <w:rsid w:val="00590EA4"/>
    <w:rsid w:val="005C1FA9"/>
    <w:rsid w:val="005C50F3"/>
    <w:rsid w:val="005D0699"/>
    <w:rsid w:val="005D2265"/>
    <w:rsid w:val="00600C17"/>
    <w:rsid w:val="0060263D"/>
    <w:rsid w:val="00624AA8"/>
    <w:rsid w:val="00626984"/>
    <w:rsid w:val="00650558"/>
    <w:rsid w:val="00671C0A"/>
    <w:rsid w:val="0067297F"/>
    <w:rsid w:val="00682BFD"/>
    <w:rsid w:val="00686A24"/>
    <w:rsid w:val="00692425"/>
    <w:rsid w:val="006962BA"/>
    <w:rsid w:val="006A3449"/>
    <w:rsid w:val="006C213D"/>
    <w:rsid w:val="006D3E0A"/>
    <w:rsid w:val="006D4B24"/>
    <w:rsid w:val="006D7389"/>
    <w:rsid w:val="006E2945"/>
    <w:rsid w:val="007004EE"/>
    <w:rsid w:val="00700A30"/>
    <w:rsid w:val="00704CB9"/>
    <w:rsid w:val="007073D4"/>
    <w:rsid w:val="007113FB"/>
    <w:rsid w:val="0071746A"/>
    <w:rsid w:val="00724EF5"/>
    <w:rsid w:val="00741311"/>
    <w:rsid w:val="00753C7C"/>
    <w:rsid w:val="00772074"/>
    <w:rsid w:val="00776016"/>
    <w:rsid w:val="00776779"/>
    <w:rsid w:val="00776FD0"/>
    <w:rsid w:val="0078121C"/>
    <w:rsid w:val="007814A3"/>
    <w:rsid w:val="00792DD4"/>
    <w:rsid w:val="007E4965"/>
    <w:rsid w:val="007E7432"/>
    <w:rsid w:val="00805478"/>
    <w:rsid w:val="008077B0"/>
    <w:rsid w:val="00813716"/>
    <w:rsid w:val="00846D90"/>
    <w:rsid w:val="00847268"/>
    <w:rsid w:val="008510D8"/>
    <w:rsid w:val="008749E0"/>
    <w:rsid w:val="00875918"/>
    <w:rsid w:val="0089103E"/>
    <w:rsid w:val="008957B9"/>
    <w:rsid w:val="008969F4"/>
    <w:rsid w:val="008A26C6"/>
    <w:rsid w:val="008A288B"/>
    <w:rsid w:val="008B7FC2"/>
    <w:rsid w:val="008C6F88"/>
    <w:rsid w:val="008F0837"/>
    <w:rsid w:val="008F1E39"/>
    <w:rsid w:val="008F36CA"/>
    <w:rsid w:val="008F3EDA"/>
    <w:rsid w:val="009133C2"/>
    <w:rsid w:val="0093109F"/>
    <w:rsid w:val="0093344E"/>
    <w:rsid w:val="009457DD"/>
    <w:rsid w:val="00953D4F"/>
    <w:rsid w:val="009666FB"/>
    <w:rsid w:val="00983FF1"/>
    <w:rsid w:val="00990085"/>
    <w:rsid w:val="009A69CC"/>
    <w:rsid w:val="009C2F4D"/>
    <w:rsid w:val="009D1023"/>
    <w:rsid w:val="009D2217"/>
    <w:rsid w:val="009D430D"/>
    <w:rsid w:val="009F4C9D"/>
    <w:rsid w:val="00A03428"/>
    <w:rsid w:val="00A05C2D"/>
    <w:rsid w:val="00A07455"/>
    <w:rsid w:val="00A14403"/>
    <w:rsid w:val="00A24230"/>
    <w:rsid w:val="00A30B3F"/>
    <w:rsid w:val="00A55A7E"/>
    <w:rsid w:val="00A60A8E"/>
    <w:rsid w:val="00A640B5"/>
    <w:rsid w:val="00A81E51"/>
    <w:rsid w:val="00A93276"/>
    <w:rsid w:val="00A95C4B"/>
    <w:rsid w:val="00AA71F9"/>
    <w:rsid w:val="00AB1D2A"/>
    <w:rsid w:val="00AC31C2"/>
    <w:rsid w:val="00AD7D89"/>
    <w:rsid w:val="00AE2892"/>
    <w:rsid w:val="00B100AF"/>
    <w:rsid w:val="00B408F6"/>
    <w:rsid w:val="00B44B78"/>
    <w:rsid w:val="00B45331"/>
    <w:rsid w:val="00B504D7"/>
    <w:rsid w:val="00B7144F"/>
    <w:rsid w:val="00B7396F"/>
    <w:rsid w:val="00B82E1A"/>
    <w:rsid w:val="00B83CFC"/>
    <w:rsid w:val="00B86313"/>
    <w:rsid w:val="00BA2867"/>
    <w:rsid w:val="00BC14D1"/>
    <w:rsid w:val="00BD5465"/>
    <w:rsid w:val="00BD5B3E"/>
    <w:rsid w:val="00BE7E8D"/>
    <w:rsid w:val="00BF72C1"/>
    <w:rsid w:val="00C17312"/>
    <w:rsid w:val="00C24C77"/>
    <w:rsid w:val="00C35DD4"/>
    <w:rsid w:val="00C41C33"/>
    <w:rsid w:val="00C50ADB"/>
    <w:rsid w:val="00C604E7"/>
    <w:rsid w:val="00C65BB3"/>
    <w:rsid w:val="00C74959"/>
    <w:rsid w:val="00C84853"/>
    <w:rsid w:val="00CA4050"/>
    <w:rsid w:val="00CA4C95"/>
    <w:rsid w:val="00CC3A10"/>
    <w:rsid w:val="00CE166B"/>
    <w:rsid w:val="00CE5D26"/>
    <w:rsid w:val="00CE67F0"/>
    <w:rsid w:val="00CF0FAF"/>
    <w:rsid w:val="00CF1DB2"/>
    <w:rsid w:val="00CF6AD0"/>
    <w:rsid w:val="00D015F9"/>
    <w:rsid w:val="00D06A76"/>
    <w:rsid w:val="00D30AF8"/>
    <w:rsid w:val="00D63F93"/>
    <w:rsid w:val="00D75241"/>
    <w:rsid w:val="00D80B44"/>
    <w:rsid w:val="00D83D4B"/>
    <w:rsid w:val="00D95995"/>
    <w:rsid w:val="00D9739C"/>
    <w:rsid w:val="00DA43EC"/>
    <w:rsid w:val="00DA5B81"/>
    <w:rsid w:val="00DB1C86"/>
    <w:rsid w:val="00DC0325"/>
    <w:rsid w:val="00DC03CC"/>
    <w:rsid w:val="00DC04EA"/>
    <w:rsid w:val="00DC190D"/>
    <w:rsid w:val="00DC2C77"/>
    <w:rsid w:val="00DC4FB6"/>
    <w:rsid w:val="00DD31F2"/>
    <w:rsid w:val="00DE5967"/>
    <w:rsid w:val="00DF1FF3"/>
    <w:rsid w:val="00DF52B7"/>
    <w:rsid w:val="00E061A2"/>
    <w:rsid w:val="00E13E8F"/>
    <w:rsid w:val="00E22F66"/>
    <w:rsid w:val="00E2799B"/>
    <w:rsid w:val="00E41BFF"/>
    <w:rsid w:val="00E45430"/>
    <w:rsid w:val="00E471DA"/>
    <w:rsid w:val="00E62DE1"/>
    <w:rsid w:val="00E7722D"/>
    <w:rsid w:val="00E92DA0"/>
    <w:rsid w:val="00EA6600"/>
    <w:rsid w:val="00EB6F0E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F11851"/>
    <w:rsid w:val="00F32100"/>
    <w:rsid w:val="00F37A17"/>
    <w:rsid w:val="00F40ECE"/>
    <w:rsid w:val="00F6355C"/>
    <w:rsid w:val="00F70818"/>
    <w:rsid w:val="00F71000"/>
    <w:rsid w:val="00F87339"/>
    <w:rsid w:val="00F91A80"/>
    <w:rsid w:val="00FA357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7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6FB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57DD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2A7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96F95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AD7D89"/>
  </w:style>
  <w:style w:type="character" w:styleId="Nierozpoznanawzmianka">
    <w:name w:val="Unresolved Mention"/>
    <w:basedOn w:val="Domylnaczcionkaakapitu"/>
    <w:uiPriority w:val="99"/>
    <w:semiHidden/>
    <w:unhideWhenUsed/>
    <w:rsid w:val="00EB6F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znes.netia.pl/pl/instytucje-publiczne/produkty/data-center-cloud/netia-comp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2018-07-20T08:32:00Z</dcterms:created>
  <dcterms:modified xsi:type="dcterms:W3CDTF">2018-07-20T09:25:00Z</dcterms:modified>
</cp:coreProperties>
</file>