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94E8" w14:textId="77777777" w:rsidR="00E05371" w:rsidRPr="00F303A7" w:rsidRDefault="00E05371" w:rsidP="00EA33FC">
      <w:pPr>
        <w:jc w:val="both"/>
        <w:rPr>
          <w:szCs w:val="23"/>
        </w:rPr>
      </w:pPr>
    </w:p>
    <w:p w14:paraId="42897C0C" w14:textId="5ED7D815" w:rsidR="00E05371" w:rsidRPr="00E43547" w:rsidRDefault="00752731" w:rsidP="00EA33FC">
      <w:pPr>
        <w:ind w:left="637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E43547">
        <w:rPr>
          <w:sz w:val="20"/>
          <w:szCs w:val="20"/>
        </w:rPr>
        <w:t xml:space="preserve">         </w:t>
      </w:r>
      <w:r w:rsidR="008773D5" w:rsidRPr="00E43547">
        <w:rPr>
          <w:sz w:val="18"/>
          <w:szCs w:val="18"/>
        </w:rPr>
        <w:t>Warszawa,</w:t>
      </w:r>
      <w:r w:rsidRPr="00E43547">
        <w:rPr>
          <w:sz w:val="18"/>
          <w:szCs w:val="18"/>
        </w:rPr>
        <w:t xml:space="preserve"> </w:t>
      </w:r>
      <w:r w:rsidR="00E43547" w:rsidRPr="00E43547">
        <w:rPr>
          <w:sz w:val="18"/>
          <w:szCs w:val="18"/>
        </w:rPr>
        <w:t xml:space="preserve">6 sierpnia </w:t>
      </w:r>
      <w:r w:rsidR="008773D5" w:rsidRPr="00E43547">
        <w:rPr>
          <w:sz w:val="18"/>
          <w:szCs w:val="18"/>
        </w:rPr>
        <w:t>2018</w:t>
      </w:r>
      <w:r w:rsidR="00E05371" w:rsidRPr="00E43547">
        <w:rPr>
          <w:sz w:val="18"/>
          <w:szCs w:val="18"/>
        </w:rPr>
        <w:t xml:space="preserve"> r.</w:t>
      </w:r>
    </w:p>
    <w:p w14:paraId="2F68A443" w14:textId="77777777" w:rsidR="00E05371" w:rsidRPr="004F5819" w:rsidRDefault="00E05371" w:rsidP="00EA33FC">
      <w:pPr>
        <w:spacing w:after="120"/>
        <w:jc w:val="both"/>
        <w:rPr>
          <w:rFonts w:cs="Arial"/>
          <w:b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14:paraId="6DCE53E7" w14:textId="77777777" w:rsidR="004F3044" w:rsidRDefault="004F3044" w:rsidP="007501A1">
      <w:pPr>
        <w:tabs>
          <w:tab w:val="left" w:pos="3879"/>
        </w:tabs>
        <w:rPr>
          <w:rFonts w:eastAsiaTheme="minorHAnsi" w:cstheme="minorBidi"/>
          <w:b/>
          <w:sz w:val="22"/>
          <w:szCs w:val="22"/>
          <w:lang w:eastAsia="en-US"/>
        </w:rPr>
      </w:pPr>
    </w:p>
    <w:p w14:paraId="5C727841" w14:textId="47EED55B" w:rsidR="00FB0F70" w:rsidRDefault="0025338E" w:rsidP="007501A1">
      <w:pPr>
        <w:tabs>
          <w:tab w:val="left" w:pos="3879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Dobry zwyczaj, nie poręczaj? </w:t>
      </w:r>
      <w:r w:rsidR="006F3911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oręczyciele mają </w:t>
      </w:r>
      <w:r w:rsidR="000C5B2F">
        <w:rPr>
          <w:rFonts w:cs="Arial"/>
          <w:b/>
          <w:sz w:val="28"/>
          <w:szCs w:val="28"/>
        </w:rPr>
        <w:t xml:space="preserve">już </w:t>
      </w:r>
      <w:r w:rsidR="0025733B">
        <w:rPr>
          <w:rFonts w:cs="Arial"/>
          <w:b/>
          <w:sz w:val="28"/>
          <w:szCs w:val="28"/>
        </w:rPr>
        <w:t>0,5 mld zł</w:t>
      </w:r>
      <w:r>
        <w:rPr>
          <w:rFonts w:cs="Arial"/>
          <w:b/>
          <w:sz w:val="28"/>
          <w:szCs w:val="28"/>
        </w:rPr>
        <w:t xml:space="preserve"> długów</w:t>
      </w:r>
      <w:bookmarkStart w:id="0" w:name="_GoBack"/>
      <w:bookmarkEnd w:id="0"/>
    </w:p>
    <w:p w14:paraId="2E7C2E41" w14:textId="7E0D44E0" w:rsidR="0091552C" w:rsidRDefault="00D461CC" w:rsidP="00484867">
      <w:pPr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</w:p>
    <w:p w14:paraId="3AE6D9E9" w14:textId="71E2097F" w:rsidR="009F48AE" w:rsidRDefault="00FE61A6" w:rsidP="001C00F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Niesolidnym d</w:t>
      </w:r>
      <w:r w:rsidR="003E7697">
        <w:rPr>
          <w:rFonts w:eastAsiaTheme="minorHAnsi" w:cstheme="minorBidi"/>
          <w:b/>
          <w:sz w:val="22"/>
          <w:szCs w:val="22"/>
          <w:lang w:eastAsia="en-US"/>
        </w:rPr>
        <w:t>łużnikiem można zostać na dwa sposoby</w:t>
      </w:r>
      <w:r w:rsidR="0025338E">
        <w:rPr>
          <w:rFonts w:eastAsiaTheme="minorHAnsi" w:cstheme="minorBidi"/>
          <w:b/>
          <w:sz w:val="22"/>
          <w:szCs w:val="22"/>
          <w:lang w:eastAsia="en-US"/>
        </w:rPr>
        <w:t xml:space="preserve"> -</w:t>
      </w:r>
      <w:r w:rsidR="006A418C">
        <w:rPr>
          <w:rFonts w:eastAsiaTheme="minorHAnsi" w:cstheme="minorBidi"/>
          <w:b/>
          <w:sz w:val="22"/>
          <w:szCs w:val="22"/>
          <w:lang w:eastAsia="en-US"/>
        </w:rPr>
        <w:t xml:space="preserve"> z</w:t>
      </w:r>
      <w:r w:rsidR="00C76BF3">
        <w:rPr>
          <w:rFonts w:eastAsiaTheme="minorHAnsi" w:cstheme="minorBidi"/>
          <w:b/>
          <w:sz w:val="22"/>
          <w:szCs w:val="22"/>
          <w:lang w:eastAsia="en-US"/>
        </w:rPr>
        <w:t>aci</w:t>
      </w:r>
      <w:r w:rsidR="00D7653D">
        <w:rPr>
          <w:rFonts w:eastAsiaTheme="minorHAnsi" w:cstheme="minorBidi"/>
          <w:b/>
          <w:sz w:val="22"/>
          <w:szCs w:val="22"/>
          <w:lang w:eastAsia="en-US"/>
        </w:rPr>
        <w:t>ągają</w:t>
      </w:r>
      <w:r w:rsidR="00D461CC">
        <w:rPr>
          <w:rFonts w:eastAsiaTheme="minorHAnsi" w:cstheme="minorBidi"/>
          <w:b/>
          <w:sz w:val="22"/>
          <w:szCs w:val="22"/>
          <w:lang w:eastAsia="en-US"/>
        </w:rPr>
        <w:t xml:space="preserve">c </w:t>
      </w:r>
      <w:r w:rsidR="00D7653D">
        <w:rPr>
          <w:rFonts w:eastAsiaTheme="minorHAnsi" w:cstheme="minorBidi"/>
          <w:b/>
          <w:sz w:val="22"/>
          <w:szCs w:val="22"/>
          <w:lang w:eastAsia="en-US"/>
        </w:rPr>
        <w:t>kredyt</w:t>
      </w:r>
      <w:r w:rsidR="00294248">
        <w:rPr>
          <w:rFonts w:eastAsiaTheme="minorHAnsi" w:cstheme="minorBidi"/>
          <w:b/>
          <w:sz w:val="22"/>
          <w:szCs w:val="22"/>
          <w:lang w:eastAsia="en-US"/>
        </w:rPr>
        <w:t xml:space="preserve">, którego się </w:t>
      </w:r>
      <w:r w:rsidR="00A268F5">
        <w:rPr>
          <w:rFonts w:eastAsiaTheme="minorHAnsi" w:cstheme="minorBidi"/>
          <w:b/>
          <w:sz w:val="22"/>
          <w:szCs w:val="22"/>
          <w:lang w:eastAsia="en-US"/>
        </w:rPr>
        <w:t>nie spłaca</w:t>
      </w:r>
      <w:r>
        <w:rPr>
          <w:rFonts w:eastAsiaTheme="minorHAnsi" w:cstheme="minorBidi"/>
          <w:b/>
          <w:sz w:val="22"/>
          <w:szCs w:val="22"/>
          <w:lang w:eastAsia="en-US"/>
        </w:rPr>
        <w:t>,</w:t>
      </w:r>
      <w:r w:rsidR="00D7653D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6A418C">
        <w:rPr>
          <w:rFonts w:eastAsiaTheme="minorHAnsi" w:cstheme="minorBidi"/>
          <w:b/>
          <w:sz w:val="22"/>
          <w:szCs w:val="22"/>
          <w:lang w:eastAsia="en-US"/>
        </w:rPr>
        <w:t>al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bo </w:t>
      </w:r>
      <w:r w:rsidR="00D7653D">
        <w:rPr>
          <w:rFonts w:eastAsiaTheme="minorHAnsi" w:cstheme="minorBidi"/>
          <w:b/>
          <w:sz w:val="22"/>
          <w:szCs w:val="22"/>
          <w:lang w:eastAsia="en-US"/>
        </w:rPr>
        <w:t>poręczając</w:t>
      </w:r>
      <w:r w:rsidR="00C76BF3">
        <w:rPr>
          <w:rFonts w:eastAsiaTheme="minorHAnsi" w:cstheme="minorBidi"/>
          <w:b/>
          <w:sz w:val="22"/>
          <w:szCs w:val="22"/>
          <w:lang w:eastAsia="en-US"/>
        </w:rPr>
        <w:t xml:space="preserve"> kredyt</w:t>
      </w:r>
      <w:r w:rsidR="00D461CC">
        <w:rPr>
          <w:rFonts w:eastAsiaTheme="minorHAnsi" w:cstheme="minorBidi"/>
          <w:b/>
          <w:sz w:val="22"/>
          <w:szCs w:val="22"/>
          <w:lang w:eastAsia="en-US"/>
        </w:rPr>
        <w:t xml:space="preserve"> innej osobie</w:t>
      </w:r>
      <w:r>
        <w:rPr>
          <w:rFonts w:eastAsiaTheme="minorHAnsi" w:cstheme="minorBidi"/>
          <w:b/>
          <w:sz w:val="22"/>
          <w:szCs w:val="22"/>
          <w:lang w:eastAsia="en-US"/>
        </w:rPr>
        <w:t>, która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373B7A">
        <w:rPr>
          <w:rFonts w:eastAsiaTheme="minorHAnsi" w:cstheme="minorBidi"/>
          <w:b/>
          <w:sz w:val="22"/>
          <w:szCs w:val="22"/>
          <w:lang w:eastAsia="en-US"/>
        </w:rPr>
        <w:t xml:space="preserve">zaprzestaje </w:t>
      </w:r>
      <w:r>
        <w:rPr>
          <w:rFonts w:eastAsiaTheme="minorHAnsi" w:cstheme="minorBidi"/>
          <w:b/>
          <w:sz w:val="22"/>
          <w:szCs w:val="22"/>
          <w:lang w:eastAsia="en-US"/>
        </w:rPr>
        <w:t>spła</w:t>
      </w:r>
      <w:r w:rsidR="00373B7A">
        <w:rPr>
          <w:rFonts w:eastAsiaTheme="minorHAnsi" w:cstheme="minorBidi"/>
          <w:b/>
          <w:sz w:val="22"/>
          <w:szCs w:val="22"/>
          <w:lang w:eastAsia="en-US"/>
        </w:rPr>
        <w:t>ty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. </w:t>
      </w:r>
      <w:r w:rsidR="00A268F5">
        <w:rPr>
          <w:rFonts w:eastAsiaTheme="minorHAnsi" w:cstheme="minorBidi"/>
          <w:b/>
          <w:sz w:val="22"/>
          <w:szCs w:val="22"/>
          <w:lang w:eastAsia="en-US"/>
        </w:rPr>
        <w:t>Z danych</w:t>
      </w:r>
      <w:r w:rsidR="00A268F5" w:rsidRPr="00A268F5">
        <w:rPr>
          <w:rFonts w:eastAsiaTheme="minorHAnsi" w:cstheme="minorBidi"/>
          <w:b/>
          <w:sz w:val="22"/>
          <w:szCs w:val="22"/>
          <w:lang w:eastAsia="en-US"/>
        </w:rPr>
        <w:t xml:space="preserve"> BIG InfoMonitor wynika</w:t>
      </w:r>
      <w:r w:rsidR="00CB7627">
        <w:rPr>
          <w:rFonts w:eastAsiaTheme="minorHAnsi" w:cstheme="minorBidi"/>
          <w:b/>
          <w:sz w:val="22"/>
          <w:szCs w:val="22"/>
          <w:lang w:eastAsia="en-US"/>
        </w:rPr>
        <w:t>, że ponad 36</w:t>
      </w:r>
      <w:r w:rsidR="007F5E4F">
        <w:rPr>
          <w:rFonts w:eastAsiaTheme="minorHAnsi" w:cstheme="minorBidi"/>
          <w:b/>
          <w:sz w:val="22"/>
          <w:szCs w:val="22"/>
          <w:lang w:eastAsia="en-US"/>
        </w:rPr>
        <w:t xml:space="preserve"> tys. osób</w:t>
      </w:r>
      <w:r w:rsidR="00494946">
        <w:rPr>
          <w:rFonts w:eastAsiaTheme="minorHAnsi" w:cstheme="minorBidi"/>
          <w:b/>
          <w:sz w:val="22"/>
          <w:szCs w:val="22"/>
          <w:lang w:eastAsia="en-US"/>
        </w:rPr>
        <w:t xml:space="preserve"> prywatnych</w:t>
      </w:r>
      <w:r w:rsidR="007F5E4F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nie spłaca </w:t>
      </w:r>
      <w:r w:rsidR="0025338E">
        <w:rPr>
          <w:rFonts w:eastAsiaTheme="minorHAnsi" w:cstheme="minorBidi"/>
          <w:b/>
          <w:sz w:val="22"/>
          <w:szCs w:val="22"/>
          <w:lang w:eastAsia="en-US"/>
        </w:rPr>
        <w:t xml:space="preserve">cudzych </w:t>
      </w:r>
      <w:r>
        <w:rPr>
          <w:rFonts w:eastAsiaTheme="minorHAnsi" w:cstheme="minorBidi"/>
          <w:b/>
          <w:sz w:val="22"/>
          <w:szCs w:val="22"/>
          <w:lang w:eastAsia="en-US"/>
        </w:rPr>
        <w:t>długów</w:t>
      </w:r>
      <w:r w:rsidR="0025338E">
        <w:rPr>
          <w:rFonts w:eastAsiaTheme="minorHAnsi" w:cstheme="minorBidi"/>
          <w:b/>
          <w:sz w:val="22"/>
          <w:szCs w:val="22"/>
          <w:lang w:eastAsia="en-US"/>
        </w:rPr>
        <w:t>,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wartych niemal 0,5 mld zł.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 N</w:t>
      </w:r>
      <w:r w:rsidR="006C762D">
        <w:rPr>
          <w:rFonts w:eastAsiaTheme="minorHAnsi" w:cstheme="minorBidi"/>
          <w:b/>
          <w:sz w:val="22"/>
          <w:szCs w:val="22"/>
          <w:lang w:eastAsia="en-US"/>
        </w:rPr>
        <w:t>ajwiększ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e </w:t>
      </w:r>
      <w:r w:rsidR="006C762D">
        <w:rPr>
          <w:rFonts w:eastAsiaTheme="minorHAnsi" w:cstheme="minorBidi"/>
          <w:b/>
          <w:sz w:val="22"/>
          <w:szCs w:val="22"/>
          <w:lang w:eastAsia="en-US"/>
        </w:rPr>
        <w:t>zobowiązanie wynikając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e</w:t>
      </w:r>
      <w:r w:rsidR="006C762D">
        <w:rPr>
          <w:rFonts w:eastAsiaTheme="minorHAnsi" w:cstheme="minorBidi"/>
          <w:b/>
          <w:sz w:val="22"/>
          <w:szCs w:val="22"/>
          <w:lang w:eastAsia="en-US"/>
        </w:rPr>
        <w:t xml:space="preserve"> z umowy poręczenia 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ma małżeństwo </w:t>
      </w:r>
      <w:r w:rsidR="00233928">
        <w:rPr>
          <w:rFonts w:eastAsiaTheme="minorHAnsi" w:cstheme="minorBidi"/>
          <w:b/>
          <w:sz w:val="22"/>
          <w:szCs w:val="22"/>
          <w:lang w:eastAsia="en-US"/>
        </w:rPr>
        <w:t xml:space="preserve">z Gliwic – </w:t>
      </w:r>
      <w:r w:rsidR="006C762D">
        <w:rPr>
          <w:rFonts w:eastAsiaTheme="minorHAnsi" w:cstheme="minorBidi"/>
          <w:b/>
          <w:sz w:val="22"/>
          <w:szCs w:val="22"/>
          <w:lang w:eastAsia="en-US"/>
        </w:rPr>
        <w:t>44-letnia kobieta</w:t>
      </w:r>
      <w:r w:rsidR="00550DAA">
        <w:rPr>
          <w:rFonts w:eastAsiaTheme="minorHAnsi" w:cstheme="minorBidi"/>
          <w:b/>
          <w:sz w:val="22"/>
          <w:szCs w:val="22"/>
          <w:lang w:eastAsia="en-US"/>
        </w:rPr>
        <w:t xml:space="preserve"> i 48-letni m</w:t>
      </w:r>
      <w:r w:rsidR="00233928">
        <w:rPr>
          <w:rFonts w:eastAsiaTheme="minorHAnsi" w:cstheme="minorBidi"/>
          <w:b/>
          <w:sz w:val="22"/>
          <w:szCs w:val="22"/>
          <w:lang w:eastAsia="en-US"/>
        </w:rPr>
        <w:t>ężczyzna</w:t>
      </w:r>
      <w:r w:rsidR="00C153B6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550DAA">
        <w:rPr>
          <w:rFonts w:eastAsiaTheme="minorHAnsi" w:cstheme="minorBidi"/>
          <w:b/>
          <w:sz w:val="22"/>
          <w:szCs w:val="22"/>
          <w:lang w:eastAsia="en-US"/>
        </w:rPr>
        <w:t xml:space="preserve">– </w:t>
      </w:r>
      <w:r w:rsidR="00BA3599">
        <w:rPr>
          <w:rFonts w:eastAsiaTheme="minorHAnsi" w:cstheme="minorBidi"/>
          <w:b/>
          <w:sz w:val="22"/>
          <w:szCs w:val="22"/>
          <w:lang w:eastAsia="en-US"/>
        </w:rPr>
        <w:t>prawie 2,7</w:t>
      </w:r>
      <w:r w:rsidR="00550DAA">
        <w:rPr>
          <w:rFonts w:eastAsiaTheme="minorHAnsi" w:cstheme="minorBidi"/>
          <w:b/>
          <w:sz w:val="22"/>
          <w:szCs w:val="22"/>
          <w:lang w:eastAsia="en-US"/>
        </w:rPr>
        <w:t xml:space="preserve"> mln zł.</w:t>
      </w:r>
      <w:r w:rsidR="00294248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Licznych niesolidnych dłużników</w:t>
      </w:r>
      <w:r w:rsidR="0025338E">
        <w:rPr>
          <w:rFonts w:eastAsiaTheme="minorHAnsi" w:cstheme="minorBidi"/>
          <w:b/>
          <w:sz w:val="22"/>
          <w:szCs w:val="22"/>
          <w:lang w:eastAsia="en-US"/>
        </w:rPr>
        <w:t>-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poręczycieli</w:t>
      </w:r>
      <w:r w:rsidR="0025338E">
        <w:rPr>
          <w:rFonts w:eastAsiaTheme="minorHAnsi" w:cstheme="minorBidi"/>
          <w:b/>
          <w:sz w:val="22"/>
          <w:szCs w:val="22"/>
          <w:lang w:eastAsia="en-US"/>
        </w:rPr>
        <w:t>,</w:t>
      </w:r>
      <w:r w:rsidR="00BC1359">
        <w:rPr>
          <w:rFonts w:eastAsiaTheme="minorHAnsi" w:cstheme="minorBidi"/>
          <w:b/>
          <w:sz w:val="22"/>
          <w:szCs w:val="22"/>
          <w:lang w:eastAsia="en-US"/>
        </w:rPr>
        <w:t xml:space="preserve"> inaczej zwanych żyrantami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 xml:space="preserve"> można też spotkać w </w:t>
      </w:r>
      <w:r w:rsidR="00294248">
        <w:rPr>
          <w:rFonts w:eastAsiaTheme="minorHAnsi" w:cstheme="minorBidi"/>
          <w:b/>
          <w:sz w:val="22"/>
          <w:szCs w:val="22"/>
          <w:lang w:eastAsia="en-US"/>
        </w:rPr>
        <w:t>Warszaw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ie</w:t>
      </w:r>
      <w:r w:rsidR="00294248">
        <w:rPr>
          <w:rFonts w:eastAsiaTheme="minorHAnsi" w:cstheme="minorBidi"/>
          <w:b/>
          <w:sz w:val="22"/>
          <w:szCs w:val="22"/>
          <w:lang w:eastAsia="en-US"/>
        </w:rPr>
        <w:t>, Ł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odzi i</w:t>
      </w:r>
      <w:r w:rsidR="00294248">
        <w:rPr>
          <w:rFonts w:eastAsiaTheme="minorHAnsi" w:cstheme="minorBidi"/>
          <w:b/>
          <w:sz w:val="22"/>
          <w:szCs w:val="22"/>
          <w:lang w:eastAsia="en-US"/>
        </w:rPr>
        <w:t xml:space="preserve"> Pozna</w:t>
      </w:r>
      <w:r w:rsidR="00DD2156">
        <w:rPr>
          <w:rFonts w:eastAsiaTheme="minorHAnsi" w:cstheme="minorBidi"/>
          <w:b/>
          <w:sz w:val="22"/>
          <w:szCs w:val="22"/>
          <w:lang w:eastAsia="en-US"/>
        </w:rPr>
        <w:t>niu.</w:t>
      </w:r>
    </w:p>
    <w:p w14:paraId="17530A11" w14:textId="77777777" w:rsidR="00136F5E" w:rsidRDefault="00136F5E" w:rsidP="001C00F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14:paraId="069F2DC2" w14:textId="42666647" w:rsidR="00A258AE" w:rsidRDefault="0055648A" w:rsidP="00A258AE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55648A">
        <w:rPr>
          <w:rFonts w:eastAsiaTheme="minorHAnsi" w:cstheme="minorBidi"/>
          <w:sz w:val="22"/>
          <w:szCs w:val="22"/>
          <w:lang w:eastAsia="en-US"/>
        </w:rPr>
        <w:t xml:space="preserve">Chociaż </w:t>
      </w:r>
      <w:r w:rsidR="006C5072" w:rsidRPr="0055648A">
        <w:rPr>
          <w:rFonts w:eastAsiaTheme="minorHAnsi" w:cstheme="minorBidi"/>
          <w:sz w:val="22"/>
          <w:szCs w:val="22"/>
          <w:lang w:eastAsia="en-US"/>
        </w:rPr>
        <w:t>popularność kredytów z poręczeniem gwałtownie spada i</w:t>
      </w:r>
      <w:r w:rsidR="00752731" w:rsidRPr="0055648A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6C5072" w:rsidRPr="0055648A">
        <w:rPr>
          <w:rFonts w:eastAsiaTheme="minorHAnsi" w:cstheme="minorBidi"/>
          <w:sz w:val="22"/>
          <w:szCs w:val="22"/>
          <w:lang w:eastAsia="en-US"/>
        </w:rPr>
        <w:t xml:space="preserve">w ostatnich czterech latach </w:t>
      </w:r>
      <w:r w:rsidRPr="0055648A">
        <w:rPr>
          <w:rFonts w:eastAsiaTheme="minorHAnsi" w:cstheme="minorBidi"/>
          <w:sz w:val="22"/>
          <w:szCs w:val="22"/>
          <w:lang w:eastAsia="en-US"/>
        </w:rPr>
        <w:t xml:space="preserve">ich </w:t>
      </w:r>
      <w:r w:rsidR="006C5072" w:rsidRPr="0055648A">
        <w:rPr>
          <w:rFonts w:eastAsiaTheme="minorHAnsi" w:cstheme="minorBidi"/>
          <w:sz w:val="22"/>
          <w:szCs w:val="22"/>
          <w:lang w:eastAsia="en-US"/>
        </w:rPr>
        <w:t xml:space="preserve">liczba zmniejszyła się o ponad połowę, to od początku tego roku obserwujemy w 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Rejestrze Dłużników BIG InfoMonitor </w:t>
      </w:r>
      <w:r w:rsidR="006C5072" w:rsidRPr="0055648A">
        <w:rPr>
          <w:rFonts w:eastAsiaTheme="minorHAnsi" w:cstheme="minorBidi"/>
          <w:sz w:val="22"/>
          <w:szCs w:val="22"/>
          <w:lang w:eastAsia="en-US"/>
        </w:rPr>
        <w:t>wzrost zaległości z</w:t>
      </w:r>
      <w:r w:rsidRPr="0055648A">
        <w:rPr>
          <w:rFonts w:eastAsiaTheme="minorHAnsi" w:cstheme="minorBidi"/>
          <w:sz w:val="22"/>
          <w:szCs w:val="22"/>
          <w:lang w:eastAsia="en-US"/>
        </w:rPr>
        <w:t xml:space="preserve"> tego tytułu.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="002B69DE">
        <w:rPr>
          <w:rFonts w:eastAsiaTheme="minorHAnsi" w:cstheme="minorBidi"/>
          <w:sz w:val="22"/>
          <w:szCs w:val="22"/>
          <w:lang w:eastAsia="en-US"/>
        </w:rPr>
        <w:t>Znajduje się w nim</w:t>
      </w:r>
      <w:r w:rsidR="00A258A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416E49">
        <w:rPr>
          <w:rFonts w:eastAsiaTheme="minorHAnsi" w:cstheme="minorBidi"/>
          <w:sz w:val="22"/>
          <w:szCs w:val="22"/>
          <w:lang w:eastAsia="en-US"/>
        </w:rPr>
        <w:t xml:space="preserve">obecnie </w:t>
      </w:r>
      <w:r w:rsidR="002B53DC">
        <w:rPr>
          <w:rFonts w:eastAsiaTheme="minorHAnsi" w:cstheme="minorBidi"/>
          <w:sz w:val="22"/>
          <w:szCs w:val="22"/>
          <w:lang w:eastAsia="en-US"/>
        </w:rPr>
        <w:t xml:space="preserve">ponad </w:t>
      </w:r>
      <w:r w:rsidR="00A258AE">
        <w:rPr>
          <w:rFonts w:eastAsiaTheme="minorHAnsi" w:cstheme="minorBidi"/>
          <w:sz w:val="22"/>
          <w:szCs w:val="22"/>
          <w:lang w:eastAsia="en-US"/>
        </w:rPr>
        <w:t>36</w:t>
      </w:r>
      <w:r w:rsidR="002B53DC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A258AE">
        <w:rPr>
          <w:rFonts w:eastAsiaTheme="minorHAnsi" w:cstheme="minorBidi"/>
          <w:sz w:val="22"/>
          <w:szCs w:val="22"/>
          <w:lang w:eastAsia="en-US"/>
        </w:rPr>
        <w:t>tys. osób, które po tym jak zdecydowały się stać się poręczycielami</w:t>
      </w:r>
      <w:r w:rsidR="002B69DE">
        <w:rPr>
          <w:rFonts w:eastAsiaTheme="minorHAnsi" w:cstheme="minorBidi"/>
          <w:sz w:val="22"/>
          <w:szCs w:val="22"/>
          <w:lang w:eastAsia="en-US"/>
        </w:rPr>
        <w:t>,</w:t>
      </w:r>
      <w:r w:rsidR="00A258AE">
        <w:rPr>
          <w:rFonts w:eastAsiaTheme="minorHAnsi" w:cstheme="minorBidi"/>
          <w:sz w:val="22"/>
          <w:szCs w:val="22"/>
          <w:lang w:eastAsia="en-US"/>
        </w:rPr>
        <w:t xml:space="preserve"> z czasem 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miały </w:t>
      </w:r>
      <w:r w:rsidR="00A258AE">
        <w:rPr>
          <w:rFonts w:eastAsiaTheme="minorHAnsi" w:cstheme="minorBidi"/>
          <w:sz w:val="22"/>
          <w:szCs w:val="22"/>
          <w:lang w:eastAsia="en-US"/>
        </w:rPr>
        <w:t>włączyć się do spłaty kredytu</w:t>
      </w:r>
      <w:r w:rsidR="006C5072">
        <w:rPr>
          <w:rFonts w:eastAsiaTheme="minorHAnsi" w:cstheme="minorBidi"/>
          <w:sz w:val="22"/>
          <w:szCs w:val="22"/>
          <w:lang w:eastAsia="en-US"/>
        </w:rPr>
        <w:t>,</w:t>
      </w:r>
      <w:r w:rsidR="00416E49">
        <w:rPr>
          <w:rFonts w:eastAsiaTheme="minorHAnsi" w:cstheme="minorBidi"/>
          <w:sz w:val="22"/>
          <w:szCs w:val="22"/>
          <w:lang w:eastAsia="en-US"/>
        </w:rPr>
        <w:t xml:space="preserve"> ale tego nie zrobiły i w rezultacie trafiły do rejestru dłużników. Dziś mają ponad </w:t>
      </w:r>
      <w:r w:rsidR="00A258AE">
        <w:rPr>
          <w:rFonts w:eastAsiaTheme="minorHAnsi" w:cstheme="minorBidi"/>
          <w:sz w:val="22"/>
          <w:szCs w:val="22"/>
          <w:lang w:eastAsia="en-US"/>
        </w:rPr>
        <w:t>483 mln zł</w:t>
      </w:r>
      <w:r w:rsidR="00416E49">
        <w:rPr>
          <w:rFonts w:eastAsiaTheme="minorHAnsi" w:cstheme="minorBidi"/>
          <w:sz w:val="22"/>
          <w:szCs w:val="22"/>
          <w:lang w:eastAsia="en-US"/>
        </w:rPr>
        <w:t xml:space="preserve"> zaległości z tytułu poręczania cudzego zobowiązania</w:t>
      </w:r>
      <w:r w:rsidR="00A258AE">
        <w:rPr>
          <w:rFonts w:eastAsiaTheme="minorHAnsi" w:cstheme="minorBidi"/>
          <w:sz w:val="22"/>
          <w:szCs w:val="22"/>
          <w:lang w:eastAsia="en-US"/>
        </w:rPr>
        <w:t>. Średni</w:t>
      </w:r>
      <w:r w:rsidR="00416E49">
        <w:rPr>
          <w:rFonts w:eastAsiaTheme="minorHAnsi" w:cstheme="minorBidi"/>
          <w:sz w:val="22"/>
          <w:szCs w:val="22"/>
          <w:lang w:eastAsia="en-US"/>
        </w:rPr>
        <w:t>o</w:t>
      </w:r>
      <w:r w:rsidR="00A258AE">
        <w:rPr>
          <w:rFonts w:eastAsiaTheme="minorHAnsi" w:cstheme="minorBidi"/>
          <w:sz w:val="22"/>
          <w:szCs w:val="22"/>
          <w:lang w:eastAsia="en-US"/>
        </w:rPr>
        <w:t xml:space="preserve"> na osobę </w:t>
      </w:r>
      <w:r w:rsidR="00416E49">
        <w:rPr>
          <w:rFonts w:eastAsiaTheme="minorHAnsi" w:cstheme="minorBidi"/>
          <w:sz w:val="22"/>
          <w:szCs w:val="22"/>
          <w:lang w:eastAsia="en-US"/>
        </w:rPr>
        <w:t>wypada</w:t>
      </w:r>
      <w:r w:rsidR="00A258AE">
        <w:rPr>
          <w:rFonts w:eastAsiaTheme="minorHAnsi" w:cstheme="minorBidi"/>
          <w:sz w:val="22"/>
          <w:szCs w:val="22"/>
          <w:lang w:eastAsia="en-US"/>
        </w:rPr>
        <w:t xml:space="preserve"> 13 404 zł.</w:t>
      </w:r>
    </w:p>
    <w:p w14:paraId="325D8900" w14:textId="77777777" w:rsidR="002B69DE" w:rsidRDefault="002B69DE" w:rsidP="00A258AE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7E26E35E" w14:textId="5AB2AB09" w:rsidR="002B69DE" w:rsidRDefault="002B69DE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i/>
          <w:sz w:val="22"/>
          <w:szCs w:val="22"/>
          <w:lang w:eastAsia="en-US"/>
        </w:rPr>
        <w:t xml:space="preserve">–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Nawet jeśli </w:t>
      </w:r>
      <w:r w:rsidR="00C34923">
        <w:rPr>
          <w:rFonts w:eastAsiaTheme="minorHAnsi" w:cstheme="minorBidi"/>
          <w:i/>
          <w:sz w:val="22"/>
          <w:szCs w:val="22"/>
          <w:lang w:eastAsia="en-US"/>
        </w:rPr>
        <w:t>solidnie obsługujemy swo</w:t>
      </w:r>
      <w:r w:rsidR="006C249E" w:rsidRPr="00494946">
        <w:rPr>
          <w:rFonts w:eastAsiaTheme="minorHAnsi" w:cstheme="minorBidi"/>
          <w:i/>
          <w:sz w:val="22"/>
          <w:szCs w:val="22"/>
          <w:lang w:eastAsia="en-US"/>
        </w:rPr>
        <w:t xml:space="preserve">je kredyty i rachunki,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>ale</w:t>
      </w:r>
      <w:r w:rsidR="0055648A">
        <w:rPr>
          <w:rFonts w:eastAsiaTheme="minorHAnsi" w:cstheme="minorBidi"/>
          <w:i/>
          <w:sz w:val="22"/>
          <w:szCs w:val="22"/>
          <w:lang w:eastAsia="en-US"/>
        </w:rPr>
        <w:t xml:space="preserve"> jesteśmy </w:t>
      </w:r>
      <w:r w:rsidR="006C249E" w:rsidRPr="00494946">
        <w:rPr>
          <w:rFonts w:eastAsiaTheme="minorHAnsi" w:cstheme="minorBidi"/>
          <w:i/>
          <w:sz w:val="22"/>
          <w:szCs w:val="22"/>
          <w:lang w:eastAsia="en-US"/>
        </w:rPr>
        <w:t>współodpowi</w:t>
      </w:r>
      <w:r w:rsidR="0055648A">
        <w:rPr>
          <w:rFonts w:eastAsiaTheme="minorHAnsi" w:cstheme="minorBidi"/>
          <w:i/>
          <w:sz w:val="22"/>
          <w:szCs w:val="22"/>
          <w:lang w:eastAsia="en-US"/>
        </w:rPr>
        <w:t xml:space="preserve">edzialni za spłatę 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cudzych </w:t>
      </w:r>
      <w:r w:rsidR="0055648A">
        <w:rPr>
          <w:rFonts w:eastAsiaTheme="minorHAnsi" w:cstheme="minorBidi"/>
          <w:i/>
          <w:sz w:val="22"/>
          <w:szCs w:val="22"/>
          <w:lang w:eastAsia="en-US"/>
        </w:rPr>
        <w:t>zobowiązań,</w:t>
      </w:r>
      <w:r w:rsidR="00C153B6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="007138B0" w:rsidRPr="00494946">
        <w:rPr>
          <w:rFonts w:eastAsiaTheme="minorHAnsi" w:cstheme="minorBidi"/>
          <w:i/>
          <w:sz w:val="22"/>
          <w:szCs w:val="22"/>
          <w:lang w:eastAsia="en-US"/>
        </w:rPr>
        <w:t xml:space="preserve">których nie </w:t>
      </w:r>
      <w:r w:rsidR="00C34923">
        <w:rPr>
          <w:rFonts w:eastAsiaTheme="minorHAnsi" w:cstheme="minorBidi"/>
          <w:i/>
          <w:sz w:val="22"/>
          <w:szCs w:val="22"/>
          <w:lang w:eastAsia="en-US"/>
        </w:rPr>
        <w:t xml:space="preserve">reguluje </w:t>
      </w:r>
      <w:r w:rsidR="007138B0" w:rsidRPr="00494946">
        <w:rPr>
          <w:rFonts w:eastAsiaTheme="minorHAnsi" w:cstheme="minorBidi"/>
          <w:i/>
          <w:sz w:val="22"/>
          <w:szCs w:val="22"/>
          <w:lang w:eastAsia="en-US"/>
        </w:rPr>
        <w:t>osoba</w:t>
      </w:r>
      <w:r w:rsidR="00494946" w:rsidRPr="00494946">
        <w:rPr>
          <w:rFonts w:eastAsiaTheme="minorHAnsi" w:cstheme="minorBidi"/>
          <w:i/>
          <w:sz w:val="22"/>
          <w:szCs w:val="22"/>
          <w:lang w:eastAsia="en-US"/>
        </w:rPr>
        <w:t>,</w:t>
      </w:r>
      <w:r w:rsidR="007138B0" w:rsidRPr="00494946">
        <w:rPr>
          <w:rFonts w:eastAsiaTheme="minorHAnsi" w:cstheme="minorBidi"/>
          <w:i/>
          <w:sz w:val="22"/>
          <w:szCs w:val="22"/>
          <w:lang w:eastAsia="en-US"/>
        </w:rPr>
        <w:t xml:space="preserve"> za którą poręczyliśmy</w:t>
      </w:r>
      <w:r w:rsidR="00C34923">
        <w:rPr>
          <w:rFonts w:eastAsiaTheme="minorHAnsi" w:cstheme="minorBidi"/>
          <w:i/>
          <w:sz w:val="22"/>
          <w:szCs w:val="22"/>
          <w:lang w:eastAsia="en-US"/>
        </w:rPr>
        <w:t xml:space="preserve">,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cierpi </w:t>
      </w:r>
      <w:r w:rsidR="000D08BF">
        <w:rPr>
          <w:rFonts w:eastAsiaTheme="minorHAnsi" w:cstheme="minorBidi"/>
          <w:i/>
          <w:sz w:val="22"/>
          <w:szCs w:val="22"/>
          <w:lang w:eastAsia="en-US"/>
        </w:rPr>
        <w:t xml:space="preserve">na tym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nasza 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własna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>historia kredytowa i wizerunek solidnego płatnika</w:t>
      </w:r>
      <w:r w:rsidR="007138B0" w:rsidRPr="00494946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– przypomina </w:t>
      </w:r>
      <w:r w:rsidR="00A45C4C">
        <w:rPr>
          <w:rFonts w:eastAsiaTheme="minorHAnsi" w:cstheme="minorBidi"/>
          <w:sz w:val="22"/>
          <w:szCs w:val="22"/>
          <w:lang w:eastAsia="en-US"/>
        </w:rPr>
        <w:t>Sławomir Grzelczak, prezes BIG InfoMonitor</w:t>
      </w:r>
      <w:r>
        <w:rPr>
          <w:rFonts w:eastAsiaTheme="minorHAnsi" w:cstheme="minorBidi"/>
          <w:sz w:val="22"/>
          <w:szCs w:val="22"/>
          <w:lang w:eastAsia="en-US"/>
        </w:rPr>
        <w:t xml:space="preserve">. </w:t>
      </w:r>
    </w:p>
    <w:p w14:paraId="154C6A5D" w14:textId="77777777" w:rsidR="002B69DE" w:rsidRDefault="002B69DE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3AE3DA18" w14:textId="29229C0D" w:rsidR="00402449" w:rsidRDefault="002B69DE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Warto zatem 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>poważnie</w:t>
      </w:r>
      <w:r w:rsidR="00C34923" w:rsidRPr="00957799">
        <w:rPr>
          <w:rFonts w:eastAsiaTheme="minorHAnsi" w:cstheme="minorBidi"/>
          <w:sz w:val="22"/>
          <w:szCs w:val="22"/>
          <w:lang w:eastAsia="en-US"/>
        </w:rPr>
        <w:t xml:space="preserve"> się zastanowić</w:t>
      </w:r>
      <w:r>
        <w:rPr>
          <w:rFonts w:eastAsiaTheme="minorHAnsi" w:cstheme="minorBidi"/>
          <w:sz w:val="22"/>
          <w:szCs w:val="22"/>
          <w:lang w:eastAsia="en-US"/>
        </w:rPr>
        <w:t>,</w:t>
      </w:r>
      <w:r w:rsidR="00C34923" w:rsidRPr="00957799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55648A" w:rsidRPr="00957799">
        <w:rPr>
          <w:rFonts w:eastAsiaTheme="minorHAnsi" w:cstheme="minorBidi"/>
          <w:sz w:val="22"/>
          <w:szCs w:val="22"/>
          <w:lang w:eastAsia="en-US"/>
        </w:rPr>
        <w:t>zanim zdecydujemy się zostać poręczycielem</w:t>
      </w:r>
      <w:r w:rsidR="0055648A">
        <w:rPr>
          <w:rFonts w:eastAsiaTheme="minorHAnsi" w:cstheme="minorBidi"/>
          <w:sz w:val="22"/>
          <w:szCs w:val="22"/>
          <w:lang w:eastAsia="en-US"/>
        </w:rPr>
        <w:t xml:space="preserve">, bo faktycznie może to oznaczać 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 xml:space="preserve">konieczność </w:t>
      </w:r>
      <w:r w:rsidR="00A45C4C" w:rsidRPr="00957799">
        <w:rPr>
          <w:rFonts w:eastAsiaTheme="minorHAnsi" w:cstheme="minorBidi"/>
          <w:sz w:val="22"/>
          <w:szCs w:val="22"/>
          <w:lang w:eastAsia="en-US"/>
        </w:rPr>
        <w:t xml:space="preserve">obsługi </w:t>
      </w:r>
      <w:r w:rsidR="000D08BF" w:rsidRPr="00957799">
        <w:rPr>
          <w:rFonts w:eastAsiaTheme="minorHAnsi" w:cstheme="minorBidi"/>
          <w:sz w:val="22"/>
          <w:szCs w:val="22"/>
          <w:lang w:eastAsia="en-US"/>
        </w:rPr>
        <w:t xml:space="preserve">żyrowanego 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>kredytu</w:t>
      </w:r>
      <w:r w:rsidR="00957799">
        <w:rPr>
          <w:rFonts w:eastAsiaTheme="minorHAnsi" w:cstheme="minorBidi"/>
          <w:sz w:val="22"/>
          <w:szCs w:val="22"/>
          <w:lang w:eastAsia="en-US"/>
        </w:rPr>
        <w:t>. Wy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>padki losowe mają to do siebie, że zdarzają s</w:t>
      </w:r>
      <w:r w:rsidR="00C34923" w:rsidRPr="00957799">
        <w:rPr>
          <w:rFonts w:eastAsiaTheme="minorHAnsi" w:cstheme="minorBidi"/>
          <w:sz w:val="22"/>
          <w:szCs w:val="22"/>
          <w:lang w:eastAsia="en-US"/>
        </w:rPr>
        <w:t xml:space="preserve">ię niespodziewanie, 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 xml:space="preserve">wtedy w rolę </w:t>
      </w:r>
      <w:r w:rsidR="00A45C4C" w:rsidRPr="00957799">
        <w:rPr>
          <w:rFonts w:eastAsiaTheme="minorHAnsi" w:cstheme="minorBidi"/>
          <w:sz w:val="22"/>
          <w:szCs w:val="22"/>
          <w:lang w:eastAsia="en-US"/>
        </w:rPr>
        <w:t xml:space="preserve">głównego 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>dłużnika musi wejść poręczyciel</w:t>
      </w:r>
      <w:r w:rsidR="00A45C4C" w:rsidRPr="00957799">
        <w:rPr>
          <w:rFonts w:eastAsiaTheme="minorHAnsi" w:cstheme="minorBidi"/>
          <w:sz w:val="22"/>
          <w:szCs w:val="22"/>
          <w:lang w:eastAsia="en-US"/>
        </w:rPr>
        <w:t xml:space="preserve"> i to mimo tego, że nie korzysta z dobrodziejstw kredytu</w:t>
      </w:r>
      <w:r w:rsidR="00906F2D" w:rsidRPr="00957799">
        <w:rPr>
          <w:rFonts w:eastAsiaTheme="minorHAnsi" w:cstheme="minorBidi"/>
          <w:sz w:val="22"/>
          <w:szCs w:val="22"/>
          <w:lang w:eastAsia="en-US"/>
        </w:rPr>
        <w:t>.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–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Jeśli </w:t>
      </w:r>
      <w:r w:rsidR="00C34923">
        <w:rPr>
          <w:rFonts w:eastAsiaTheme="minorHAnsi" w:cstheme="minorBidi"/>
          <w:i/>
          <w:sz w:val="22"/>
          <w:szCs w:val="22"/>
          <w:lang w:eastAsia="en-US"/>
        </w:rPr>
        <w:t xml:space="preserve">poręczyciel </w:t>
      </w:r>
      <w:r w:rsidR="000D08BF">
        <w:rPr>
          <w:rFonts w:eastAsiaTheme="minorHAnsi" w:cstheme="minorBidi"/>
          <w:i/>
          <w:sz w:val="22"/>
          <w:szCs w:val="22"/>
          <w:lang w:eastAsia="en-US"/>
        </w:rPr>
        <w:t xml:space="preserve">nie będzie </w:t>
      </w:r>
      <w:r w:rsidR="00A45C4C">
        <w:rPr>
          <w:rFonts w:eastAsiaTheme="minorHAnsi" w:cstheme="minorBidi"/>
          <w:i/>
          <w:sz w:val="22"/>
          <w:szCs w:val="22"/>
          <w:lang w:eastAsia="en-US"/>
        </w:rPr>
        <w:t>spłacać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 rat,</w:t>
      </w:r>
      <w:r w:rsidR="00A45C4C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>może trafić do rejestru dłużników, c</w:t>
      </w:r>
      <w:r w:rsidR="007138B0" w:rsidRPr="00494946">
        <w:rPr>
          <w:rFonts w:eastAsiaTheme="minorHAnsi" w:cstheme="minorBidi"/>
          <w:i/>
          <w:sz w:val="22"/>
          <w:szCs w:val="22"/>
          <w:lang w:eastAsia="en-US"/>
        </w:rPr>
        <w:t>o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 xml:space="preserve"> zablok</w:t>
      </w:r>
      <w:r w:rsidR="00906F2D">
        <w:rPr>
          <w:rFonts w:eastAsiaTheme="minorHAnsi" w:cstheme="minorBidi"/>
          <w:i/>
          <w:sz w:val="22"/>
          <w:szCs w:val="22"/>
          <w:lang w:eastAsia="en-US"/>
        </w:rPr>
        <w:t xml:space="preserve">uje mu 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 xml:space="preserve">drogę do wielu niezbędnych 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w codziennym życiu 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 xml:space="preserve">usług, takich jak możliwość </w:t>
      </w:r>
      <w:r w:rsidR="000D08BF">
        <w:rPr>
          <w:rFonts w:eastAsiaTheme="minorHAnsi" w:cstheme="minorBidi"/>
          <w:i/>
          <w:sz w:val="22"/>
          <w:szCs w:val="22"/>
          <w:lang w:eastAsia="en-US"/>
        </w:rPr>
        <w:t xml:space="preserve">zakupów 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>rat</w:t>
      </w:r>
      <w:r w:rsidR="000D08BF">
        <w:rPr>
          <w:rFonts w:eastAsiaTheme="minorHAnsi" w:cstheme="minorBidi"/>
          <w:i/>
          <w:sz w:val="22"/>
          <w:szCs w:val="22"/>
          <w:lang w:eastAsia="en-US"/>
        </w:rPr>
        <w:t>alnych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 xml:space="preserve">, </w:t>
      </w:r>
      <w:r w:rsidR="002B53DC">
        <w:rPr>
          <w:rFonts w:eastAsiaTheme="minorHAnsi" w:cstheme="minorBidi"/>
          <w:i/>
          <w:sz w:val="22"/>
          <w:szCs w:val="22"/>
          <w:lang w:eastAsia="en-US"/>
        </w:rPr>
        <w:t xml:space="preserve">zaciąganie kredytów, pożyczek, zawieranie 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>um</w:t>
      </w:r>
      <w:r w:rsidR="002B53DC">
        <w:rPr>
          <w:rFonts w:eastAsiaTheme="minorHAnsi" w:cstheme="minorBidi"/>
          <w:i/>
          <w:sz w:val="22"/>
          <w:szCs w:val="22"/>
          <w:lang w:eastAsia="en-US"/>
        </w:rPr>
        <w:t>ów abonamentowych n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 xml:space="preserve">a telefon lub internet czy </w:t>
      </w:r>
      <w:r w:rsidR="00A45C4C">
        <w:rPr>
          <w:rFonts w:eastAsiaTheme="minorHAnsi" w:cstheme="minorBidi"/>
          <w:i/>
          <w:sz w:val="22"/>
          <w:szCs w:val="22"/>
          <w:lang w:eastAsia="en-US"/>
        </w:rPr>
        <w:t>t</w:t>
      </w:r>
      <w:r w:rsidR="002B53DC">
        <w:rPr>
          <w:rFonts w:eastAsiaTheme="minorHAnsi" w:cstheme="minorBidi"/>
          <w:i/>
          <w:sz w:val="22"/>
          <w:szCs w:val="22"/>
          <w:lang w:eastAsia="en-US"/>
        </w:rPr>
        <w:t>eż wyleasingowanie</w:t>
      </w:r>
      <w:r w:rsidR="00A45C4C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="00776202">
        <w:rPr>
          <w:rFonts w:eastAsiaTheme="minorHAnsi" w:cstheme="minorBidi"/>
          <w:i/>
          <w:sz w:val="22"/>
          <w:szCs w:val="22"/>
          <w:lang w:eastAsia="en-US"/>
        </w:rPr>
        <w:t>auta</w:t>
      </w:r>
      <w:r w:rsidR="00A45C4C">
        <w:rPr>
          <w:rFonts w:eastAsiaTheme="minorHAnsi" w:cstheme="minorBidi"/>
          <w:i/>
          <w:sz w:val="22"/>
          <w:szCs w:val="22"/>
          <w:lang w:eastAsia="en-US"/>
        </w:rPr>
        <w:t xml:space="preserve">, </w:t>
      </w:r>
      <w:r w:rsidR="0054399D">
        <w:rPr>
          <w:rFonts w:eastAsiaTheme="minorHAnsi" w:cstheme="minorBidi"/>
          <w:i/>
          <w:sz w:val="22"/>
          <w:szCs w:val="22"/>
          <w:lang w:eastAsia="en-US"/>
        </w:rPr>
        <w:t>itp.</w:t>
      </w:r>
      <w:r w:rsidR="00C153B6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494946">
        <w:rPr>
          <w:rFonts w:eastAsiaTheme="minorHAnsi" w:cstheme="minorBidi"/>
          <w:sz w:val="22"/>
          <w:szCs w:val="22"/>
          <w:lang w:eastAsia="en-US"/>
        </w:rPr>
        <w:t xml:space="preserve">- zaznacza Sławomir Grzelczak, prezes BIG InfoMonitor. </w:t>
      </w:r>
    </w:p>
    <w:p w14:paraId="24C1E093" w14:textId="77777777" w:rsidR="0055648A" w:rsidRDefault="0055648A" w:rsidP="0055648A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3D75CD72" w14:textId="31B35B19" w:rsidR="0055648A" w:rsidRDefault="0055648A" w:rsidP="0055648A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5A35B2">
        <w:rPr>
          <w:rFonts w:eastAsiaTheme="minorHAnsi" w:cstheme="minorBidi"/>
          <w:sz w:val="22"/>
          <w:szCs w:val="22"/>
          <w:lang w:eastAsia="en-US"/>
        </w:rPr>
        <w:t xml:space="preserve">Poręczenie jest umową, w której poręczyciel zobowiązuje się 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spłacać </w:t>
      </w:r>
      <w:r>
        <w:rPr>
          <w:rFonts w:eastAsiaTheme="minorHAnsi" w:cstheme="minorBidi"/>
          <w:sz w:val="22"/>
          <w:szCs w:val="22"/>
          <w:lang w:eastAsia="en-US"/>
        </w:rPr>
        <w:t>zobowiązanie, gdy</w:t>
      </w:r>
      <w:r w:rsidRPr="006C5072">
        <w:t xml:space="preserve"> </w:t>
      </w:r>
      <w:r>
        <w:t xml:space="preserve">główny kredytobiorca </w:t>
      </w:r>
      <w:r>
        <w:rPr>
          <w:rFonts w:eastAsiaTheme="minorHAnsi" w:cstheme="minorBidi"/>
          <w:sz w:val="22"/>
          <w:szCs w:val="22"/>
          <w:lang w:eastAsia="en-US"/>
        </w:rPr>
        <w:t>tego nie robi. P</w:t>
      </w:r>
      <w:r>
        <w:t>oręczyciel</w:t>
      </w:r>
      <w:r w:rsidR="002B69DE">
        <w:t>,</w:t>
      </w:r>
      <w:r>
        <w:t xml:space="preserve"> jako dłużnik solidarny</w:t>
      </w:r>
      <w:r w:rsidR="002B69DE">
        <w:t>,</w:t>
      </w:r>
      <w:r>
        <w:t xml:space="preserve"> odpowiada za spłatę świadczenia głównego, a w przypadku opóźnień, również za odsetki karne</w:t>
      </w:r>
      <w:r w:rsidR="002B69DE">
        <w:t xml:space="preserve"> i</w:t>
      </w:r>
      <w:r>
        <w:t xml:space="preserve"> koszty związane z dochodzeniem roszczeń. Z</w:t>
      </w:r>
      <w:r w:rsidRPr="00C034F6">
        <w:rPr>
          <w:rFonts w:eastAsiaTheme="minorHAnsi" w:cstheme="minorBidi"/>
          <w:sz w:val="22"/>
          <w:szCs w:val="22"/>
          <w:lang w:eastAsia="en-US"/>
        </w:rPr>
        <w:t xml:space="preserve"> chwilą, gdy dług </w:t>
      </w:r>
      <w:r>
        <w:rPr>
          <w:rFonts w:eastAsiaTheme="minorHAnsi" w:cstheme="minorBidi"/>
          <w:sz w:val="22"/>
          <w:szCs w:val="22"/>
          <w:lang w:eastAsia="en-US"/>
        </w:rPr>
        <w:t>staje się wymagalny, bank m</w:t>
      </w:r>
      <w:r w:rsidRPr="00C034F6">
        <w:rPr>
          <w:rFonts w:eastAsiaTheme="minorHAnsi" w:cstheme="minorBidi"/>
          <w:sz w:val="22"/>
          <w:szCs w:val="22"/>
          <w:lang w:eastAsia="en-US"/>
        </w:rPr>
        <w:t xml:space="preserve">oże </w:t>
      </w:r>
      <w:r>
        <w:rPr>
          <w:rFonts w:eastAsiaTheme="minorHAnsi" w:cstheme="minorBidi"/>
          <w:sz w:val="22"/>
          <w:szCs w:val="22"/>
          <w:lang w:eastAsia="en-US"/>
        </w:rPr>
        <w:t>żą</w:t>
      </w:r>
      <w:r w:rsidRPr="00C034F6">
        <w:rPr>
          <w:rFonts w:eastAsiaTheme="minorHAnsi" w:cstheme="minorBidi"/>
          <w:sz w:val="22"/>
          <w:szCs w:val="22"/>
          <w:lang w:eastAsia="en-US"/>
        </w:rPr>
        <w:t xml:space="preserve">dać całości lub </w:t>
      </w:r>
      <w:r>
        <w:rPr>
          <w:rFonts w:eastAsiaTheme="minorHAnsi" w:cstheme="minorBidi"/>
          <w:sz w:val="22"/>
          <w:szCs w:val="22"/>
          <w:lang w:eastAsia="en-US"/>
        </w:rPr>
        <w:t xml:space="preserve">jego </w:t>
      </w:r>
      <w:r w:rsidRPr="00C034F6">
        <w:rPr>
          <w:rFonts w:eastAsiaTheme="minorHAnsi" w:cstheme="minorBidi"/>
          <w:sz w:val="22"/>
          <w:szCs w:val="22"/>
          <w:lang w:eastAsia="en-US"/>
        </w:rPr>
        <w:t xml:space="preserve">części 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zarówno </w:t>
      </w:r>
      <w:r w:rsidR="002B69DE" w:rsidRPr="00C034F6">
        <w:rPr>
          <w:rFonts w:eastAsiaTheme="minorHAnsi" w:cstheme="minorBidi"/>
          <w:sz w:val="22"/>
          <w:szCs w:val="22"/>
          <w:lang w:eastAsia="en-US"/>
        </w:rPr>
        <w:t xml:space="preserve">łącznie </w:t>
      </w:r>
      <w:r w:rsidRPr="00C034F6">
        <w:rPr>
          <w:rFonts w:eastAsiaTheme="minorHAnsi" w:cstheme="minorBidi"/>
          <w:sz w:val="22"/>
          <w:szCs w:val="22"/>
          <w:lang w:eastAsia="en-US"/>
        </w:rPr>
        <w:t>od dłużnika głównego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, jak i </w:t>
      </w:r>
      <w:r w:rsidRPr="00C034F6">
        <w:rPr>
          <w:rFonts w:eastAsiaTheme="minorHAnsi" w:cstheme="minorBidi"/>
          <w:sz w:val="22"/>
          <w:szCs w:val="22"/>
          <w:lang w:eastAsia="en-US"/>
        </w:rPr>
        <w:t>poręczyciela lub od każdego z nich z osobna</w:t>
      </w:r>
      <w:r>
        <w:rPr>
          <w:rFonts w:eastAsiaTheme="minorHAnsi" w:cstheme="minorBidi"/>
          <w:sz w:val="22"/>
          <w:szCs w:val="22"/>
          <w:lang w:eastAsia="en-US"/>
        </w:rPr>
        <w:t>. Zasada jest taka, że o</w:t>
      </w:r>
      <w:r w:rsidRPr="00C034F6">
        <w:rPr>
          <w:rFonts w:eastAsiaTheme="minorHAnsi" w:cstheme="minorBidi"/>
          <w:sz w:val="22"/>
          <w:szCs w:val="22"/>
          <w:lang w:eastAsia="en-US"/>
        </w:rPr>
        <w:t>baj dłużnicy pozostają zobowiązani</w:t>
      </w:r>
      <w:r w:rsidR="002B69DE">
        <w:rPr>
          <w:rFonts w:eastAsiaTheme="minorHAnsi" w:cstheme="minorBidi"/>
          <w:sz w:val="22"/>
          <w:szCs w:val="22"/>
          <w:lang w:eastAsia="en-US"/>
        </w:rPr>
        <w:t xml:space="preserve"> do regulowania zaległości aż do</w:t>
      </w:r>
      <w:r w:rsidRPr="00C034F6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momentu pełnej spłaty</w:t>
      </w:r>
      <w:r w:rsidR="00B6005F">
        <w:rPr>
          <w:rFonts w:eastAsiaTheme="minorHAnsi" w:cstheme="minorBidi"/>
          <w:sz w:val="22"/>
          <w:szCs w:val="22"/>
          <w:lang w:eastAsia="en-US"/>
        </w:rPr>
        <w:t xml:space="preserve"> zobowiązania</w:t>
      </w:r>
      <w:r>
        <w:rPr>
          <w:rFonts w:eastAsiaTheme="minorHAnsi" w:cstheme="minorBidi"/>
          <w:sz w:val="22"/>
          <w:szCs w:val="22"/>
          <w:lang w:eastAsia="en-US"/>
        </w:rPr>
        <w:t xml:space="preserve">. </w:t>
      </w:r>
    </w:p>
    <w:p w14:paraId="39CECA8E" w14:textId="77777777" w:rsidR="00024F5B" w:rsidRDefault="00024F5B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4D3D8F57" w14:textId="4DB0C9B5" w:rsidR="00024F5B" w:rsidRDefault="00024F5B" w:rsidP="001C00F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024F5B">
        <w:rPr>
          <w:rFonts w:eastAsiaTheme="minorHAnsi" w:cstheme="minorBidi"/>
          <w:b/>
          <w:sz w:val="22"/>
          <w:szCs w:val="22"/>
          <w:lang w:eastAsia="en-US"/>
        </w:rPr>
        <w:t>Najwięcej problemów z poręczeniem na Śląsku</w:t>
      </w:r>
    </w:p>
    <w:p w14:paraId="47511A36" w14:textId="77777777" w:rsidR="00024F5B" w:rsidRDefault="00024F5B" w:rsidP="001C00F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14:paraId="1236FB13" w14:textId="48BA8B60" w:rsidR="00024F5B" w:rsidRDefault="00024F5B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024F5B">
        <w:rPr>
          <w:rFonts w:eastAsiaTheme="minorHAnsi" w:cstheme="minorBidi"/>
          <w:sz w:val="22"/>
          <w:szCs w:val="22"/>
          <w:lang w:eastAsia="en-US"/>
        </w:rPr>
        <w:t xml:space="preserve">Najwięcej dłużników 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zmagających </w:t>
      </w:r>
      <w:r w:rsidRPr="00024F5B">
        <w:rPr>
          <w:rFonts w:eastAsiaTheme="minorHAnsi" w:cstheme="minorBidi"/>
          <w:sz w:val="22"/>
          <w:szCs w:val="22"/>
          <w:lang w:eastAsia="en-US"/>
        </w:rPr>
        <w:t xml:space="preserve">się z </w:t>
      </w:r>
      <w:r w:rsidR="002B53DC">
        <w:rPr>
          <w:rFonts w:eastAsiaTheme="minorHAnsi" w:cstheme="minorBidi"/>
          <w:sz w:val="22"/>
          <w:szCs w:val="22"/>
          <w:lang w:eastAsia="en-US"/>
        </w:rPr>
        <w:t xml:space="preserve">przykrymi konsekwencjami </w:t>
      </w:r>
      <w:r w:rsidRPr="00024F5B">
        <w:rPr>
          <w:rFonts w:eastAsiaTheme="minorHAnsi" w:cstheme="minorBidi"/>
          <w:sz w:val="22"/>
          <w:szCs w:val="22"/>
          <w:lang w:eastAsia="en-US"/>
        </w:rPr>
        <w:t>poręczeni</w:t>
      </w:r>
      <w:r w:rsidR="002B53DC">
        <w:rPr>
          <w:rFonts w:eastAsiaTheme="minorHAnsi" w:cstheme="minorBidi"/>
          <w:sz w:val="22"/>
          <w:szCs w:val="22"/>
          <w:lang w:eastAsia="en-US"/>
        </w:rPr>
        <w:t>a</w:t>
      </w:r>
      <w:r w:rsidRPr="00024F5B">
        <w:rPr>
          <w:rFonts w:eastAsiaTheme="minorHAnsi" w:cstheme="minorBidi"/>
          <w:sz w:val="22"/>
          <w:szCs w:val="22"/>
          <w:lang w:eastAsia="en-US"/>
        </w:rPr>
        <w:t xml:space="preserve"> zamieszkuje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 województwa</w:t>
      </w:r>
      <w:r>
        <w:rPr>
          <w:rFonts w:eastAsiaTheme="minorHAnsi" w:cstheme="minorBidi"/>
          <w:sz w:val="22"/>
          <w:szCs w:val="22"/>
          <w:lang w:eastAsia="en-US"/>
        </w:rPr>
        <w:t xml:space="preserve"> śląski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e i wielkopolskie, 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odpowiednio </w:t>
      </w:r>
      <w:r w:rsidR="002B53DC">
        <w:rPr>
          <w:rFonts w:eastAsiaTheme="minorHAnsi" w:cstheme="minorBidi"/>
          <w:sz w:val="22"/>
          <w:szCs w:val="22"/>
          <w:lang w:eastAsia="en-US"/>
        </w:rPr>
        <w:t xml:space="preserve">jest to </w:t>
      </w:r>
      <w:r w:rsidR="00F63BFB">
        <w:rPr>
          <w:rFonts w:eastAsiaTheme="minorHAnsi" w:cstheme="minorBidi"/>
          <w:sz w:val="22"/>
          <w:szCs w:val="22"/>
          <w:lang w:eastAsia="en-US"/>
        </w:rPr>
        <w:t>6 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tys. 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i 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prawie </w:t>
      </w:r>
      <w:r w:rsidR="00F63BFB">
        <w:rPr>
          <w:rFonts w:eastAsiaTheme="minorHAnsi" w:cstheme="minorBidi"/>
          <w:sz w:val="22"/>
          <w:szCs w:val="22"/>
          <w:lang w:eastAsia="en-US"/>
        </w:rPr>
        <w:t>5</w:t>
      </w:r>
      <w:r w:rsidR="00906F2D">
        <w:rPr>
          <w:rFonts w:eastAsiaTheme="minorHAnsi" w:cstheme="minorBidi"/>
          <w:sz w:val="22"/>
          <w:szCs w:val="22"/>
          <w:lang w:eastAsia="en-US"/>
        </w:rPr>
        <w:t>,1 tys. osó</w:t>
      </w:r>
      <w:r>
        <w:rPr>
          <w:rFonts w:eastAsiaTheme="minorHAnsi" w:cstheme="minorBidi"/>
          <w:sz w:val="22"/>
          <w:szCs w:val="22"/>
          <w:lang w:eastAsia="en-US"/>
        </w:rPr>
        <w:t xml:space="preserve">b. </w:t>
      </w:r>
      <w:r w:rsidR="00906F2D">
        <w:rPr>
          <w:rFonts w:eastAsiaTheme="minorHAnsi" w:cstheme="minorBidi"/>
          <w:sz w:val="22"/>
          <w:szCs w:val="22"/>
          <w:lang w:eastAsia="en-US"/>
        </w:rPr>
        <w:t>Jeśli chodzi o</w:t>
      </w:r>
      <w:r w:rsidR="00192969">
        <w:rPr>
          <w:rFonts w:eastAsiaTheme="minorHAnsi" w:cstheme="minorBidi"/>
          <w:sz w:val="22"/>
          <w:szCs w:val="22"/>
          <w:lang w:eastAsia="en-US"/>
        </w:rPr>
        <w:t> </w:t>
      </w:r>
      <w:r>
        <w:rPr>
          <w:rFonts w:eastAsiaTheme="minorHAnsi" w:cstheme="minorBidi"/>
          <w:sz w:val="22"/>
          <w:szCs w:val="22"/>
          <w:lang w:eastAsia="en-US"/>
        </w:rPr>
        <w:t>wartość</w:t>
      </w:r>
      <w:r w:rsidR="00906F2D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zadłużenia, to największe zaległości </w:t>
      </w:r>
      <w:r w:rsidR="006F3911">
        <w:rPr>
          <w:rFonts w:eastAsiaTheme="minorHAnsi" w:cstheme="minorBidi"/>
          <w:sz w:val="22"/>
          <w:szCs w:val="22"/>
          <w:lang w:eastAsia="en-US"/>
        </w:rPr>
        <w:t>mają Ś</w:t>
      </w:r>
      <w:r w:rsidR="00F63BFB">
        <w:rPr>
          <w:rFonts w:eastAsiaTheme="minorHAnsi" w:cstheme="minorBidi"/>
          <w:sz w:val="22"/>
          <w:szCs w:val="22"/>
          <w:lang w:eastAsia="en-US"/>
        </w:rPr>
        <w:t>lą</w:t>
      </w:r>
      <w:r w:rsidR="006F3911">
        <w:rPr>
          <w:rFonts w:eastAsiaTheme="minorHAnsi" w:cstheme="minorBidi"/>
          <w:sz w:val="22"/>
          <w:szCs w:val="22"/>
          <w:lang w:eastAsia="en-US"/>
        </w:rPr>
        <w:t>zacy</w:t>
      </w:r>
      <w:r w:rsidR="00752731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F63BFB">
        <w:rPr>
          <w:rFonts w:eastAsiaTheme="minorHAnsi" w:cstheme="minorBidi"/>
          <w:sz w:val="22"/>
          <w:szCs w:val="22"/>
          <w:lang w:eastAsia="en-US"/>
        </w:rPr>
        <w:t>– prawie 84</w:t>
      </w:r>
      <w:r>
        <w:rPr>
          <w:rFonts w:eastAsiaTheme="minorHAnsi" w:cstheme="minorBidi"/>
          <w:sz w:val="22"/>
          <w:szCs w:val="22"/>
          <w:lang w:eastAsia="en-US"/>
        </w:rPr>
        <w:t>,6 ml</w:t>
      </w:r>
      <w:r w:rsidR="00F63BFB">
        <w:rPr>
          <w:rFonts w:eastAsiaTheme="minorHAnsi" w:cstheme="minorBidi"/>
          <w:sz w:val="22"/>
          <w:szCs w:val="22"/>
          <w:lang w:eastAsia="en-US"/>
        </w:rPr>
        <w:t>n zł, następnie Mazowsza</w:t>
      </w:r>
      <w:r w:rsidR="006F3911">
        <w:rPr>
          <w:rFonts w:eastAsiaTheme="minorHAnsi" w:cstheme="minorBidi"/>
          <w:sz w:val="22"/>
          <w:szCs w:val="22"/>
          <w:lang w:eastAsia="en-US"/>
        </w:rPr>
        <w:t>nie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 – 63,8</w:t>
      </w:r>
      <w:r w:rsidR="006F3911">
        <w:rPr>
          <w:rFonts w:eastAsiaTheme="minorHAnsi" w:cstheme="minorBidi"/>
          <w:sz w:val="22"/>
          <w:szCs w:val="22"/>
          <w:lang w:eastAsia="en-US"/>
        </w:rPr>
        <w:t xml:space="preserve"> mln zł oraz Wielkopolanie</w:t>
      </w:r>
      <w:r>
        <w:rPr>
          <w:rFonts w:eastAsiaTheme="minorHAnsi" w:cstheme="minorBidi"/>
          <w:sz w:val="22"/>
          <w:szCs w:val="22"/>
          <w:lang w:eastAsia="en-US"/>
        </w:rPr>
        <w:t xml:space="preserve"> –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 45,8</w:t>
      </w:r>
      <w:r>
        <w:rPr>
          <w:rFonts w:eastAsiaTheme="minorHAnsi" w:cstheme="minorBidi"/>
          <w:sz w:val="22"/>
          <w:szCs w:val="22"/>
          <w:lang w:eastAsia="en-US"/>
        </w:rPr>
        <w:t xml:space="preserve"> mln zł. Najw</w:t>
      </w:r>
      <w:r w:rsidR="002B53DC">
        <w:rPr>
          <w:rFonts w:eastAsiaTheme="minorHAnsi" w:cstheme="minorBidi"/>
          <w:sz w:val="22"/>
          <w:szCs w:val="22"/>
          <w:lang w:eastAsia="en-US"/>
        </w:rPr>
        <w:t>yższy</w:t>
      </w:r>
      <w:r>
        <w:rPr>
          <w:rFonts w:eastAsiaTheme="minorHAnsi" w:cstheme="minorBidi"/>
          <w:sz w:val="22"/>
          <w:szCs w:val="22"/>
          <w:lang w:eastAsia="en-US"/>
        </w:rPr>
        <w:t xml:space="preserve"> średni dług </w:t>
      </w:r>
      <w:r w:rsidR="002B53DC">
        <w:rPr>
          <w:rFonts w:eastAsiaTheme="minorHAnsi" w:cstheme="minorBidi"/>
          <w:sz w:val="22"/>
          <w:szCs w:val="22"/>
          <w:lang w:eastAsia="en-US"/>
        </w:rPr>
        <w:t xml:space="preserve">z tytułu poręczenia </w:t>
      </w:r>
      <w:r>
        <w:rPr>
          <w:rFonts w:eastAsiaTheme="minorHAnsi" w:cstheme="minorBidi"/>
          <w:sz w:val="22"/>
          <w:szCs w:val="22"/>
          <w:lang w:eastAsia="en-US"/>
        </w:rPr>
        <w:t>przypada</w:t>
      </w:r>
      <w:r w:rsidR="006F3911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na </w:t>
      </w:r>
      <w:r w:rsidR="006F3911">
        <w:rPr>
          <w:rFonts w:eastAsiaTheme="minorHAnsi" w:cstheme="minorBidi"/>
          <w:sz w:val="22"/>
          <w:szCs w:val="22"/>
          <w:lang w:eastAsia="en-US"/>
        </w:rPr>
        <w:t>mieszkańców Podkarpacia</w:t>
      </w:r>
      <w:r w:rsidR="00F63BFB">
        <w:rPr>
          <w:rFonts w:eastAsiaTheme="minorHAnsi" w:cstheme="minorBidi"/>
          <w:sz w:val="22"/>
          <w:szCs w:val="22"/>
          <w:lang w:eastAsia="en-US"/>
        </w:rPr>
        <w:t xml:space="preserve"> – 19 630</w:t>
      </w:r>
      <w:r>
        <w:rPr>
          <w:rFonts w:eastAsiaTheme="minorHAnsi" w:cstheme="minorBidi"/>
          <w:sz w:val="22"/>
          <w:szCs w:val="22"/>
          <w:lang w:eastAsia="en-US"/>
        </w:rPr>
        <w:t xml:space="preserve"> zł.</w:t>
      </w:r>
    </w:p>
    <w:p w14:paraId="305B8DFB" w14:textId="77777777" w:rsidR="0055648A" w:rsidRDefault="0055648A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6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40"/>
        <w:gridCol w:w="1580"/>
        <w:gridCol w:w="1540"/>
      </w:tblGrid>
      <w:tr w:rsidR="0055648A" w:rsidRPr="0055648A" w14:paraId="513A0A94" w14:textId="77777777" w:rsidTr="0055648A">
        <w:trPr>
          <w:trHeight w:val="915"/>
        </w:trPr>
        <w:tc>
          <w:tcPr>
            <w:tcW w:w="2380" w:type="dxa"/>
            <w:tcBorders>
              <w:top w:val="single" w:sz="8" w:space="0" w:color="979991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84DF80D" w14:textId="77777777" w:rsidR="0055648A" w:rsidRPr="0055648A" w:rsidRDefault="0055648A" w:rsidP="0055648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WOJEWÓDZTWO</w:t>
            </w:r>
          </w:p>
        </w:tc>
        <w:tc>
          <w:tcPr>
            <w:tcW w:w="1440" w:type="dxa"/>
            <w:tcBorders>
              <w:top w:val="single" w:sz="8" w:space="0" w:color="979991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231B848" w14:textId="77777777" w:rsidR="0055648A" w:rsidRPr="0055648A" w:rsidRDefault="0055648A" w:rsidP="0055648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Liczba dłużników </w:t>
            </w:r>
          </w:p>
        </w:tc>
        <w:tc>
          <w:tcPr>
            <w:tcW w:w="1580" w:type="dxa"/>
            <w:tcBorders>
              <w:top w:val="single" w:sz="8" w:space="0" w:color="979991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877666B" w14:textId="77777777" w:rsidR="0055648A" w:rsidRPr="0055648A" w:rsidRDefault="0055648A" w:rsidP="0055648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Kwota zaległości w  mln zł</w:t>
            </w:r>
          </w:p>
        </w:tc>
        <w:tc>
          <w:tcPr>
            <w:tcW w:w="1540" w:type="dxa"/>
            <w:tcBorders>
              <w:top w:val="single" w:sz="8" w:space="0" w:color="979991"/>
              <w:left w:val="single" w:sz="8" w:space="0" w:color="979991"/>
              <w:bottom w:val="nil"/>
              <w:right w:val="single" w:sz="8" w:space="0" w:color="979991"/>
            </w:tcBorders>
            <w:shd w:val="clear" w:color="000000" w:fill="4472C4"/>
            <w:vAlign w:val="center"/>
            <w:hideMark/>
          </w:tcPr>
          <w:p w14:paraId="57A0DC8E" w14:textId="77777777" w:rsidR="0055648A" w:rsidRPr="0055648A" w:rsidRDefault="0055648A" w:rsidP="0055648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Średnia wartość zadłużenia w zł</w:t>
            </w:r>
          </w:p>
        </w:tc>
      </w:tr>
      <w:tr w:rsidR="0055648A" w:rsidRPr="0055648A" w14:paraId="3FDE808C" w14:textId="77777777" w:rsidTr="0055648A">
        <w:trPr>
          <w:trHeight w:val="315"/>
        </w:trPr>
        <w:tc>
          <w:tcPr>
            <w:tcW w:w="238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3AB4A52F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ŚLĄSKIE</w:t>
            </w:r>
          </w:p>
        </w:tc>
        <w:tc>
          <w:tcPr>
            <w:tcW w:w="144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3F31D89C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6 001</w:t>
            </w:r>
          </w:p>
        </w:tc>
        <w:tc>
          <w:tcPr>
            <w:tcW w:w="158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764FBF05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84,61</w:t>
            </w:r>
          </w:p>
        </w:tc>
        <w:tc>
          <w:tcPr>
            <w:tcW w:w="154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6C6027A9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14 078</w:t>
            </w:r>
          </w:p>
        </w:tc>
      </w:tr>
      <w:tr w:rsidR="0055648A" w:rsidRPr="0055648A" w14:paraId="29512796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55F641F7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WIELKOPOLSKIE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634D8907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5 091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308ECBC1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45,86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712B6867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8 995</w:t>
            </w:r>
          </w:p>
        </w:tc>
      </w:tr>
      <w:tr w:rsidR="0055648A" w:rsidRPr="0055648A" w14:paraId="709C2098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29687C30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MAZOWIECKIE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2870F6FC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3 498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10BFE835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63,79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2D3BF7BF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18 207</w:t>
            </w:r>
          </w:p>
        </w:tc>
      </w:tr>
      <w:tr w:rsidR="0055648A" w:rsidRPr="0055648A" w14:paraId="75166D49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309B48A0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DOLNOŚLĄSKIE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503E010F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3 257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5BB7B9B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41,14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3481DD60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12 610</w:t>
            </w:r>
          </w:p>
        </w:tc>
      </w:tr>
      <w:tr w:rsidR="0055648A" w:rsidRPr="0055648A" w14:paraId="62D759D0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786B794F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KUJAWSKO-POMORSKIE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4E19CC33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2 753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4EBBAE26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31,55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1114B7AE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11 443</w:t>
            </w:r>
          </w:p>
        </w:tc>
      </w:tr>
      <w:tr w:rsidR="0055648A" w:rsidRPr="0055648A" w14:paraId="4767ADC9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A9D64F7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ŁÓDZKIE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033740DC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2 585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9BFE566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32,95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51D08413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12 729</w:t>
            </w:r>
          </w:p>
        </w:tc>
      </w:tr>
      <w:tr w:rsidR="0055648A" w:rsidRPr="0055648A" w14:paraId="2DBBD600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6F82CC89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POMORSKIE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07ED9FC8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2 334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42176072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32,02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15DBD660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13 699</w:t>
            </w:r>
          </w:p>
        </w:tc>
      </w:tr>
      <w:tr w:rsidR="0055648A" w:rsidRPr="0055648A" w14:paraId="0C276458" w14:textId="77777777" w:rsidTr="0055648A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1A0D8F86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ZACHODNIOPOMORSKIE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1547D323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2 073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F7B95D1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33,75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432F644B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16 258</w:t>
            </w:r>
          </w:p>
        </w:tc>
      </w:tr>
      <w:tr w:rsidR="0055648A" w:rsidRPr="0055648A" w14:paraId="7B7EBACA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5E41484D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MAŁOPOLSKIE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097FA4FE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1 914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00E950C9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28,44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11CCDE74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14 837</w:t>
            </w:r>
          </w:p>
        </w:tc>
      </w:tr>
      <w:tr w:rsidR="0055648A" w:rsidRPr="0055648A" w14:paraId="08DA69C2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47D0DAFF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LUBELSKIE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326E3165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1 292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4869B17A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16,64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19CA8198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12 852</w:t>
            </w:r>
          </w:p>
        </w:tc>
      </w:tr>
      <w:tr w:rsidR="0055648A" w:rsidRPr="0055648A" w14:paraId="5D26D93F" w14:textId="77777777" w:rsidTr="0055648A">
        <w:trPr>
          <w:trHeight w:val="570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3E17DA2B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WARMIŃSKO-MAZURSKIE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34198148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1 263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518182F1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15,27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708944F2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12 065</w:t>
            </w:r>
          </w:p>
        </w:tc>
      </w:tr>
      <w:tr w:rsidR="0055648A" w:rsidRPr="0055648A" w14:paraId="7D19BA90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36691DEE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LUBUSKIE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9ADF758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1 165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21F6DA8A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11,83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162AA572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10 134</w:t>
            </w:r>
          </w:p>
        </w:tc>
      </w:tr>
      <w:tr w:rsidR="0055648A" w:rsidRPr="0055648A" w14:paraId="5E8D2771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5F171056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OPOLSKIE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12DA8DFC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824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6585AEBF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11,24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548DCA0D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13 612</w:t>
            </w:r>
          </w:p>
        </w:tc>
      </w:tr>
      <w:tr w:rsidR="0055648A" w:rsidRPr="0055648A" w14:paraId="6C31DC13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682F0845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PODKARPACKIE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6F5D2052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788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62ADE126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15,50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43A35648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19 630</w:t>
            </w:r>
          </w:p>
        </w:tc>
      </w:tr>
      <w:tr w:rsidR="0055648A" w:rsidRPr="0055648A" w14:paraId="2F911CAD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4FD4AF86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ŚWIĘTOKRZYSKIE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2D5E93CD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681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2F2F2"/>
            <w:vAlign w:val="center"/>
            <w:hideMark/>
          </w:tcPr>
          <w:p w14:paraId="2058FD6F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9,98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2F2F2"/>
            <w:vAlign w:val="center"/>
            <w:hideMark/>
          </w:tcPr>
          <w:p w14:paraId="10FF5CA0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14 632</w:t>
            </w:r>
          </w:p>
        </w:tc>
      </w:tr>
      <w:tr w:rsidR="0055648A" w:rsidRPr="0055648A" w14:paraId="6B174BAB" w14:textId="77777777" w:rsidTr="0055648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6D05D550" w14:textId="77777777" w:rsidR="0055648A" w:rsidRPr="0055648A" w:rsidRDefault="0055648A" w:rsidP="0055648A">
            <w:pPr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PODLASKIE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13D54E4F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537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DDEBF7"/>
            <w:vAlign w:val="center"/>
            <w:hideMark/>
          </w:tcPr>
          <w:p w14:paraId="7929E411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8,73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DDEBF7"/>
            <w:vAlign w:val="center"/>
            <w:hideMark/>
          </w:tcPr>
          <w:p w14:paraId="571F694B" w14:textId="77777777" w:rsidR="0055648A" w:rsidRPr="0055648A" w:rsidRDefault="0055648A" w:rsidP="0055648A">
            <w:pPr>
              <w:jc w:val="right"/>
              <w:rPr>
                <w:rFonts w:ascii="Calibri" w:hAnsi="Calibri"/>
                <w:color w:val="333F4F"/>
                <w:sz w:val="22"/>
                <w:szCs w:val="22"/>
              </w:rPr>
            </w:pPr>
            <w:r w:rsidRPr="0055648A">
              <w:rPr>
                <w:rFonts w:ascii="Calibri" w:hAnsi="Calibri"/>
                <w:color w:val="333F4F"/>
                <w:sz w:val="22"/>
                <w:szCs w:val="22"/>
              </w:rPr>
              <w:t>16 218</w:t>
            </w:r>
          </w:p>
        </w:tc>
      </w:tr>
      <w:tr w:rsidR="0055648A" w:rsidRPr="0055648A" w14:paraId="46EB0414" w14:textId="77777777" w:rsidTr="0055648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7BECEC3" w14:textId="77777777" w:rsidR="0055648A" w:rsidRPr="0055648A" w:rsidRDefault="0055648A" w:rsidP="0055648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SUMA</w:t>
            </w:r>
          </w:p>
        </w:tc>
        <w:tc>
          <w:tcPr>
            <w:tcW w:w="1440" w:type="dxa"/>
            <w:tcBorders>
              <w:top w:val="nil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E0F018D" w14:textId="77777777" w:rsidR="0055648A" w:rsidRPr="0055648A" w:rsidRDefault="0055648A" w:rsidP="0055648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36057</w:t>
            </w:r>
          </w:p>
        </w:tc>
        <w:tc>
          <w:tcPr>
            <w:tcW w:w="1580" w:type="dxa"/>
            <w:tcBorders>
              <w:top w:val="nil"/>
              <w:left w:val="single" w:sz="8" w:space="0" w:color="97999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0BB8205" w14:textId="77777777" w:rsidR="0055648A" w:rsidRPr="0055648A" w:rsidRDefault="0055648A" w:rsidP="0055648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483,29</w:t>
            </w:r>
          </w:p>
        </w:tc>
        <w:tc>
          <w:tcPr>
            <w:tcW w:w="1540" w:type="dxa"/>
            <w:tcBorders>
              <w:top w:val="nil"/>
              <w:left w:val="single" w:sz="8" w:space="0" w:color="979991"/>
              <w:bottom w:val="nil"/>
              <w:right w:val="single" w:sz="8" w:space="0" w:color="979991"/>
            </w:tcBorders>
            <w:shd w:val="clear" w:color="000000" w:fill="4472C4"/>
            <w:vAlign w:val="center"/>
            <w:hideMark/>
          </w:tcPr>
          <w:p w14:paraId="4477E723" w14:textId="77777777" w:rsidR="0055648A" w:rsidRPr="0055648A" w:rsidRDefault="0055648A" w:rsidP="0055648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5648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             13 404    </w:t>
            </w:r>
          </w:p>
        </w:tc>
      </w:tr>
    </w:tbl>
    <w:p w14:paraId="26B0D32E" w14:textId="796E2896" w:rsidR="0085634A" w:rsidRPr="0055648A" w:rsidRDefault="00F603FE" w:rsidP="001C00F6">
      <w:pPr>
        <w:spacing w:line="276" w:lineRule="auto"/>
        <w:jc w:val="both"/>
        <w:rPr>
          <w:rFonts w:eastAsiaTheme="minorHAnsi" w:cstheme="minorBidi"/>
          <w:i/>
          <w:sz w:val="18"/>
          <w:szCs w:val="18"/>
          <w:lang w:eastAsia="en-US"/>
        </w:rPr>
      </w:pPr>
      <w:r w:rsidRPr="0055648A">
        <w:rPr>
          <w:rFonts w:eastAsiaTheme="minorHAnsi" w:cstheme="minorBidi"/>
          <w:i/>
          <w:sz w:val="18"/>
          <w:szCs w:val="18"/>
          <w:lang w:eastAsia="en-US"/>
        </w:rPr>
        <w:t>Źródło: BIG InfoMonitor</w:t>
      </w:r>
    </w:p>
    <w:p w14:paraId="3FF4B273" w14:textId="77777777" w:rsidR="00BA3599" w:rsidRPr="00F603FE" w:rsidRDefault="00BA3599" w:rsidP="001C00F6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</w:p>
    <w:p w14:paraId="6761C36C" w14:textId="1984BC47" w:rsidR="00C34923" w:rsidRDefault="00C34923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Jeśli chodzi o płeć i</w:t>
      </w:r>
      <w:r w:rsidR="00752731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wiek osób, które decydują się żyrować komuś kredyt, a później wpadają z tego powodu w tarapaty</w:t>
      </w:r>
      <w:r w:rsidR="0055648A">
        <w:rPr>
          <w:rFonts w:eastAsiaTheme="minorHAnsi" w:cstheme="minorBidi"/>
          <w:sz w:val="22"/>
          <w:szCs w:val="22"/>
          <w:lang w:eastAsia="en-US"/>
        </w:rPr>
        <w:t>,</w:t>
      </w:r>
      <w:r>
        <w:rPr>
          <w:rFonts w:eastAsiaTheme="minorHAnsi" w:cstheme="minorBidi"/>
          <w:sz w:val="22"/>
          <w:szCs w:val="22"/>
          <w:lang w:eastAsia="en-US"/>
        </w:rPr>
        <w:t xml:space="preserve"> to 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zdecydowanie </w:t>
      </w:r>
      <w:r w:rsidR="0093352B">
        <w:rPr>
          <w:rFonts w:eastAsiaTheme="minorHAnsi" w:cstheme="minorBidi"/>
          <w:sz w:val="22"/>
          <w:szCs w:val="22"/>
          <w:lang w:eastAsia="en-US"/>
        </w:rPr>
        <w:t xml:space="preserve">częściej </w:t>
      </w:r>
      <w:r>
        <w:rPr>
          <w:rFonts w:eastAsiaTheme="minorHAnsi" w:cstheme="minorBidi"/>
          <w:sz w:val="22"/>
          <w:szCs w:val="22"/>
          <w:lang w:eastAsia="en-US"/>
        </w:rPr>
        <w:t>są to</w:t>
      </w:r>
      <w:r w:rsidR="0093352B">
        <w:rPr>
          <w:rFonts w:eastAsiaTheme="minorHAnsi" w:cstheme="minorBidi"/>
          <w:sz w:val="22"/>
          <w:szCs w:val="22"/>
          <w:lang w:eastAsia="en-US"/>
        </w:rPr>
        <w:t xml:space="preserve"> mężczyźni </w:t>
      </w:r>
      <w:r w:rsidR="00C34843">
        <w:rPr>
          <w:rFonts w:eastAsiaTheme="minorHAnsi" w:cstheme="minorBidi"/>
          <w:sz w:val="22"/>
          <w:szCs w:val="22"/>
          <w:lang w:eastAsia="en-US"/>
        </w:rPr>
        <w:t>–</w:t>
      </w:r>
      <w:r w:rsidR="00752731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58 proc. Przy czym </w:t>
      </w:r>
      <w:r w:rsidR="0055648A">
        <w:rPr>
          <w:rFonts w:eastAsiaTheme="minorHAnsi" w:cstheme="minorBidi"/>
          <w:sz w:val="22"/>
          <w:szCs w:val="22"/>
          <w:lang w:eastAsia="en-US"/>
        </w:rPr>
        <w:t xml:space="preserve">przeważają  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panowie </w:t>
      </w:r>
      <w:r w:rsidR="0093352B">
        <w:rPr>
          <w:rFonts w:eastAsiaTheme="minorHAnsi" w:cstheme="minorBidi"/>
          <w:sz w:val="22"/>
          <w:szCs w:val="22"/>
          <w:lang w:eastAsia="en-US"/>
        </w:rPr>
        <w:t>w wie</w:t>
      </w:r>
      <w:r w:rsidR="003975BD">
        <w:rPr>
          <w:rFonts w:eastAsiaTheme="minorHAnsi" w:cstheme="minorBidi"/>
          <w:sz w:val="22"/>
          <w:szCs w:val="22"/>
          <w:lang w:eastAsia="en-US"/>
        </w:rPr>
        <w:t xml:space="preserve">ku 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od </w:t>
      </w:r>
      <w:r w:rsidR="003975BD">
        <w:rPr>
          <w:rFonts w:eastAsiaTheme="minorHAnsi" w:cstheme="minorBidi"/>
          <w:sz w:val="22"/>
          <w:szCs w:val="22"/>
          <w:lang w:eastAsia="en-US"/>
        </w:rPr>
        <w:t>35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 do 4</w:t>
      </w:r>
      <w:r w:rsidR="003975BD">
        <w:rPr>
          <w:rFonts w:eastAsiaTheme="minorHAnsi" w:cstheme="minorBidi"/>
          <w:sz w:val="22"/>
          <w:szCs w:val="22"/>
          <w:lang w:eastAsia="en-US"/>
        </w:rPr>
        <w:t>4 lat</w:t>
      </w:r>
      <w:r w:rsidR="00C34843">
        <w:rPr>
          <w:rFonts w:eastAsiaTheme="minorHAnsi" w:cstheme="minorBidi"/>
          <w:sz w:val="22"/>
          <w:szCs w:val="22"/>
          <w:lang w:eastAsia="en-US"/>
        </w:rPr>
        <w:t>, sta</w:t>
      </w:r>
      <w:r>
        <w:rPr>
          <w:rFonts w:eastAsiaTheme="minorHAnsi" w:cstheme="minorBidi"/>
          <w:sz w:val="22"/>
          <w:szCs w:val="22"/>
          <w:lang w:eastAsia="en-US"/>
        </w:rPr>
        <w:t>nowią</w:t>
      </w:r>
      <w:r w:rsidR="00C34843">
        <w:rPr>
          <w:rFonts w:eastAsiaTheme="minorHAnsi" w:cstheme="minorBidi"/>
          <w:sz w:val="22"/>
          <w:szCs w:val="22"/>
          <w:lang w:eastAsia="en-US"/>
        </w:rPr>
        <w:t>cy</w:t>
      </w:r>
      <w:r>
        <w:rPr>
          <w:rFonts w:eastAsiaTheme="minorHAnsi" w:cstheme="minorBidi"/>
          <w:sz w:val="22"/>
          <w:szCs w:val="22"/>
          <w:lang w:eastAsia="en-US"/>
        </w:rPr>
        <w:t xml:space="preserve"> 18 proc. </w:t>
      </w:r>
      <w:r w:rsidR="00C34843">
        <w:rPr>
          <w:rFonts w:eastAsiaTheme="minorHAnsi" w:cstheme="minorBidi"/>
          <w:sz w:val="22"/>
          <w:szCs w:val="22"/>
          <w:lang w:eastAsia="en-US"/>
        </w:rPr>
        <w:t xml:space="preserve">ogółu </w:t>
      </w:r>
      <w:r>
        <w:rPr>
          <w:rFonts w:eastAsiaTheme="minorHAnsi" w:cstheme="minorBidi"/>
          <w:sz w:val="22"/>
          <w:szCs w:val="22"/>
          <w:lang w:eastAsia="en-US"/>
        </w:rPr>
        <w:t xml:space="preserve">dłużników poręczycieli zgłoszonych do rejestru. </w:t>
      </w:r>
    </w:p>
    <w:p w14:paraId="68D3E62F" w14:textId="04DBA9E8" w:rsidR="00184381" w:rsidRDefault="00184381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7E256F0C" w14:textId="10DD7764" w:rsidR="00C34923" w:rsidRDefault="00C34923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39E0D7" wp14:editId="0ECFFE8E">
            <wp:extent cx="4572000" cy="2648102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63CC8F" w14:textId="77777777" w:rsidR="00C34843" w:rsidRDefault="00C34843" w:rsidP="00C34843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  <w:r w:rsidRPr="00F603FE">
        <w:rPr>
          <w:rFonts w:eastAsiaTheme="minorHAnsi" w:cstheme="minorBidi"/>
          <w:sz w:val="18"/>
          <w:szCs w:val="18"/>
          <w:lang w:eastAsia="en-US"/>
        </w:rPr>
        <w:t>Źródło: BIG InfoMonitor</w:t>
      </w:r>
    </w:p>
    <w:p w14:paraId="32827369" w14:textId="77777777" w:rsidR="00DB0368" w:rsidRDefault="00DB0368" w:rsidP="00C34843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</w:p>
    <w:p w14:paraId="5C25D5A8" w14:textId="23F385F5" w:rsidR="00DB0368" w:rsidRDefault="00DB0368" w:rsidP="00DB0368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Ale jest wyjątek</w:t>
      </w:r>
      <w:r w:rsidR="00192969">
        <w:rPr>
          <w:rFonts w:eastAsiaTheme="minorHAnsi" w:cstheme="minorBidi"/>
          <w:sz w:val="22"/>
          <w:szCs w:val="22"/>
          <w:lang w:eastAsia="en-US"/>
        </w:rPr>
        <w:t>.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192969">
        <w:rPr>
          <w:rFonts w:eastAsiaTheme="minorHAnsi" w:cstheme="minorBidi"/>
          <w:sz w:val="22"/>
          <w:szCs w:val="22"/>
          <w:lang w:eastAsia="en-US"/>
        </w:rPr>
        <w:t>W</w:t>
      </w:r>
      <w:r>
        <w:rPr>
          <w:rFonts w:eastAsiaTheme="minorHAnsi" w:cstheme="minorBidi"/>
          <w:sz w:val="22"/>
          <w:szCs w:val="22"/>
          <w:lang w:eastAsia="en-US"/>
        </w:rPr>
        <w:t>śród osób po 65 roku życia, z poręczonym i niespłaconym kredytem wpisanych jest 3,15 tys. kobiet i jedynie 2 tys. mężczyzn. Najmniejszy odsetek</w:t>
      </w:r>
      <w:r w:rsidR="00752731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dłużników-poręczycieli to osoby, które mają nie więcej niż 24 lata. </w:t>
      </w:r>
    </w:p>
    <w:p w14:paraId="6CFEAF7B" w14:textId="72F7962B" w:rsidR="00C34923" w:rsidRDefault="00C34923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2A0308A4" w14:textId="4F850E09" w:rsidR="00C34923" w:rsidRDefault="00C34923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E78570C" wp14:editId="212CCD5A">
            <wp:extent cx="4572000" cy="2938463"/>
            <wp:effectExtent l="0" t="0" r="19050" b="1460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9A8F53" w14:textId="77777777" w:rsidR="00F603FE" w:rsidRDefault="00F603FE" w:rsidP="00F603FE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  <w:r w:rsidRPr="00F603FE">
        <w:rPr>
          <w:rFonts w:eastAsiaTheme="minorHAnsi" w:cstheme="minorBidi"/>
          <w:sz w:val="18"/>
          <w:szCs w:val="18"/>
          <w:lang w:eastAsia="en-US"/>
        </w:rPr>
        <w:t>Źródło: BIG InfoMonitor</w:t>
      </w:r>
    </w:p>
    <w:p w14:paraId="35DAB800" w14:textId="77777777" w:rsidR="00C153B6" w:rsidRDefault="00C153B6" w:rsidP="00F603FE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</w:p>
    <w:p w14:paraId="5BD1FAAD" w14:textId="5BE77EDF" w:rsidR="00F603FE" w:rsidRDefault="00C153B6" w:rsidP="00F603FE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C153B6">
        <w:rPr>
          <w:rFonts w:eastAsiaTheme="minorHAnsi" w:cstheme="minorBidi"/>
          <w:sz w:val="22"/>
          <w:szCs w:val="22"/>
          <w:lang w:eastAsia="en-US"/>
        </w:rPr>
        <w:t xml:space="preserve">Miasta, </w:t>
      </w:r>
      <w:r w:rsidR="006F3911">
        <w:rPr>
          <w:rFonts w:eastAsiaTheme="minorHAnsi" w:cstheme="minorBidi"/>
          <w:sz w:val="22"/>
          <w:szCs w:val="22"/>
          <w:lang w:eastAsia="en-US"/>
        </w:rPr>
        <w:t xml:space="preserve">w których </w:t>
      </w:r>
      <w:r w:rsidRPr="00C153B6">
        <w:rPr>
          <w:rFonts w:eastAsiaTheme="minorHAnsi" w:cstheme="minorBidi"/>
          <w:sz w:val="22"/>
          <w:szCs w:val="22"/>
          <w:lang w:eastAsia="en-US"/>
        </w:rPr>
        <w:t>zamieszkuje najwięcej osób posiadających zaległe zobowiązania z tytułu umowy poręczenia,</w:t>
      </w:r>
      <w:r w:rsidR="00192969">
        <w:rPr>
          <w:rFonts w:eastAsiaTheme="minorHAnsi" w:cstheme="minorBidi"/>
          <w:sz w:val="22"/>
          <w:szCs w:val="22"/>
          <w:lang w:eastAsia="en-US"/>
        </w:rPr>
        <w:t xml:space="preserve"> według danych z</w:t>
      </w:r>
      <w:r w:rsidR="006F3911">
        <w:rPr>
          <w:rFonts w:eastAsiaTheme="minorHAnsi" w:cstheme="minorBidi"/>
          <w:sz w:val="22"/>
          <w:szCs w:val="22"/>
          <w:lang w:eastAsia="en-US"/>
        </w:rPr>
        <w:t xml:space="preserve"> R</w:t>
      </w:r>
      <w:r w:rsidRPr="00C153B6">
        <w:rPr>
          <w:rFonts w:eastAsiaTheme="minorHAnsi" w:cstheme="minorBidi"/>
          <w:sz w:val="22"/>
          <w:szCs w:val="22"/>
          <w:lang w:eastAsia="en-US"/>
        </w:rPr>
        <w:t>ejestr</w:t>
      </w:r>
      <w:r w:rsidR="00192969">
        <w:rPr>
          <w:rFonts w:eastAsiaTheme="minorHAnsi" w:cstheme="minorBidi"/>
          <w:sz w:val="22"/>
          <w:szCs w:val="22"/>
          <w:lang w:eastAsia="en-US"/>
        </w:rPr>
        <w:t>u</w:t>
      </w:r>
      <w:r w:rsidR="006F3911">
        <w:rPr>
          <w:rFonts w:eastAsiaTheme="minorHAnsi" w:cstheme="minorBidi"/>
          <w:sz w:val="22"/>
          <w:szCs w:val="22"/>
          <w:lang w:eastAsia="en-US"/>
        </w:rPr>
        <w:t xml:space="preserve"> D</w:t>
      </w:r>
      <w:r w:rsidRPr="00C153B6">
        <w:rPr>
          <w:rFonts w:eastAsiaTheme="minorHAnsi" w:cstheme="minorBidi"/>
          <w:sz w:val="22"/>
          <w:szCs w:val="22"/>
          <w:lang w:eastAsia="en-US"/>
        </w:rPr>
        <w:t>łużników BIG InfoMonitor</w:t>
      </w:r>
      <w:r w:rsidR="00192969">
        <w:rPr>
          <w:rFonts w:eastAsiaTheme="minorHAnsi" w:cstheme="minorBidi"/>
          <w:sz w:val="22"/>
          <w:szCs w:val="22"/>
          <w:lang w:eastAsia="en-US"/>
        </w:rPr>
        <w:t xml:space="preserve"> to:</w:t>
      </w:r>
      <w:r w:rsidR="00752731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Warszawa - </w:t>
      </w:r>
      <w:r w:rsidRPr="00C153B6">
        <w:rPr>
          <w:rFonts w:eastAsiaTheme="minorHAnsi" w:cstheme="minorBidi"/>
          <w:sz w:val="22"/>
          <w:szCs w:val="22"/>
          <w:lang w:eastAsia="en-US"/>
        </w:rPr>
        <w:t>1</w:t>
      </w:r>
      <w:r>
        <w:rPr>
          <w:rFonts w:eastAsiaTheme="minorHAnsi" w:cstheme="minorBidi"/>
          <w:sz w:val="22"/>
          <w:szCs w:val="22"/>
          <w:lang w:eastAsia="en-US"/>
        </w:rPr>
        <w:t> </w:t>
      </w:r>
      <w:r w:rsidRPr="00C153B6">
        <w:rPr>
          <w:rFonts w:eastAsiaTheme="minorHAnsi" w:cstheme="minorBidi"/>
          <w:sz w:val="22"/>
          <w:szCs w:val="22"/>
          <w:lang w:eastAsia="en-US"/>
        </w:rPr>
        <w:t>309</w:t>
      </w:r>
      <w:r>
        <w:rPr>
          <w:rFonts w:eastAsiaTheme="minorHAnsi" w:cstheme="minorBidi"/>
          <w:sz w:val="22"/>
          <w:szCs w:val="22"/>
          <w:lang w:eastAsia="en-US"/>
        </w:rPr>
        <w:t xml:space="preserve"> osób, Łódź - </w:t>
      </w:r>
      <w:r w:rsidRPr="00C153B6">
        <w:rPr>
          <w:rFonts w:eastAsiaTheme="minorHAnsi" w:cstheme="minorBidi"/>
          <w:sz w:val="22"/>
          <w:szCs w:val="22"/>
          <w:lang w:eastAsia="en-US"/>
        </w:rPr>
        <w:t>1</w:t>
      </w:r>
      <w:r>
        <w:rPr>
          <w:rFonts w:eastAsiaTheme="minorHAnsi" w:cstheme="minorBidi"/>
          <w:sz w:val="22"/>
          <w:szCs w:val="22"/>
          <w:lang w:eastAsia="en-US"/>
        </w:rPr>
        <w:t> </w:t>
      </w:r>
      <w:r w:rsidRPr="00C153B6">
        <w:rPr>
          <w:rFonts w:eastAsiaTheme="minorHAnsi" w:cstheme="minorBidi"/>
          <w:sz w:val="22"/>
          <w:szCs w:val="22"/>
          <w:lang w:eastAsia="en-US"/>
        </w:rPr>
        <w:t>192</w:t>
      </w:r>
      <w:r>
        <w:rPr>
          <w:rFonts w:eastAsiaTheme="minorHAnsi" w:cstheme="minorBidi"/>
          <w:sz w:val="22"/>
          <w:szCs w:val="22"/>
          <w:lang w:eastAsia="en-US"/>
        </w:rPr>
        <w:t xml:space="preserve"> osób oraz Poznań - </w:t>
      </w:r>
      <w:r w:rsidRPr="00C153B6">
        <w:rPr>
          <w:rFonts w:eastAsiaTheme="minorHAnsi" w:cstheme="minorBidi"/>
          <w:sz w:val="22"/>
          <w:szCs w:val="22"/>
          <w:lang w:eastAsia="en-US"/>
        </w:rPr>
        <w:t>1</w:t>
      </w:r>
      <w:r>
        <w:rPr>
          <w:rFonts w:eastAsiaTheme="minorHAnsi" w:cstheme="minorBidi"/>
          <w:sz w:val="22"/>
          <w:szCs w:val="22"/>
          <w:lang w:eastAsia="en-US"/>
        </w:rPr>
        <w:t> </w:t>
      </w:r>
      <w:r w:rsidRPr="00C153B6">
        <w:rPr>
          <w:rFonts w:eastAsiaTheme="minorHAnsi" w:cstheme="minorBidi"/>
          <w:sz w:val="22"/>
          <w:szCs w:val="22"/>
          <w:lang w:eastAsia="en-US"/>
        </w:rPr>
        <w:t>069</w:t>
      </w:r>
      <w:r>
        <w:rPr>
          <w:rFonts w:eastAsiaTheme="minorHAnsi" w:cstheme="minorBidi"/>
          <w:sz w:val="22"/>
          <w:szCs w:val="22"/>
          <w:lang w:eastAsia="en-US"/>
        </w:rPr>
        <w:t xml:space="preserve"> osób. </w:t>
      </w:r>
    </w:p>
    <w:p w14:paraId="6C761634" w14:textId="77777777" w:rsidR="006F3911" w:rsidRPr="00F603FE" w:rsidRDefault="006F3911" w:rsidP="00F603FE">
      <w:pPr>
        <w:spacing w:line="276" w:lineRule="auto"/>
        <w:jc w:val="both"/>
        <w:rPr>
          <w:rFonts w:eastAsiaTheme="minorHAnsi" w:cstheme="minorBidi"/>
          <w:sz w:val="18"/>
          <w:szCs w:val="18"/>
          <w:lang w:eastAsia="en-US"/>
        </w:rPr>
      </w:pPr>
    </w:p>
    <w:p w14:paraId="731202C1" w14:textId="30D56F24" w:rsidR="00A02E50" w:rsidRDefault="00A27731" w:rsidP="001C00F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Poręczeniowi rekordziści</w:t>
      </w:r>
    </w:p>
    <w:p w14:paraId="5CF68AC6" w14:textId="5AFB21C7" w:rsidR="00F603FE" w:rsidRPr="00F603FE" w:rsidRDefault="00F603FE" w:rsidP="001C00F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F603FE">
        <w:rPr>
          <w:rFonts w:eastAsiaTheme="minorHAnsi" w:cstheme="minorBidi"/>
          <w:sz w:val="22"/>
          <w:szCs w:val="22"/>
          <w:lang w:eastAsia="en-US"/>
        </w:rPr>
        <w:t>Największa kwota zaległości</w:t>
      </w:r>
      <w:r>
        <w:rPr>
          <w:rFonts w:eastAsiaTheme="minorHAnsi" w:cstheme="minorBidi"/>
          <w:sz w:val="22"/>
          <w:szCs w:val="22"/>
          <w:lang w:eastAsia="en-US"/>
        </w:rPr>
        <w:t xml:space="preserve"> z tytułu umowy poręczenia należy do dwóch osób z województwa śląskiego – 44-letniej kobiety i 48-letniego mężczyzny, </w:t>
      </w:r>
      <w:r w:rsidR="0026275B">
        <w:rPr>
          <w:rFonts w:eastAsiaTheme="minorHAnsi" w:cstheme="minorBidi"/>
          <w:sz w:val="22"/>
          <w:szCs w:val="22"/>
          <w:lang w:eastAsia="en-US"/>
        </w:rPr>
        <w:t xml:space="preserve">mieszkańców Gliwic, </w:t>
      </w:r>
      <w:r>
        <w:rPr>
          <w:rFonts w:eastAsiaTheme="minorHAnsi" w:cstheme="minorBidi"/>
          <w:sz w:val="22"/>
          <w:szCs w:val="22"/>
          <w:lang w:eastAsia="en-US"/>
        </w:rPr>
        <w:t>którzy m</w:t>
      </w:r>
      <w:r w:rsidR="0026275B">
        <w:rPr>
          <w:rFonts w:eastAsiaTheme="minorHAnsi" w:cstheme="minorBidi"/>
          <w:sz w:val="22"/>
          <w:szCs w:val="22"/>
          <w:lang w:eastAsia="en-US"/>
        </w:rPr>
        <w:t>ają wspólny dług wynoszący prawie 2,7</w:t>
      </w:r>
      <w:r>
        <w:rPr>
          <w:rFonts w:eastAsiaTheme="minorHAnsi" w:cstheme="minorBidi"/>
          <w:sz w:val="22"/>
          <w:szCs w:val="22"/>
          <w:lang w:eastAsia="en-US"/>
        </w:rPr>
        <w:t xml:space="preserve"> mln zł. Na drugim miejsc</w:t>
      </w:r>
      <w:r w:rsidR="00EC0B73">
        <w:rPr>
          <w:rFonts w:eastAsiaTheme="minorHAnsi" w:cstheme="minorBidi"/>
          <w:sz w:val="22"/>
          <w:szCs w:val="22"/>
          <w:lang w:eastAsia="en-US"/>
        </w:rPr>
        <w:t>u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EC0B73">
        <w:rPr>
          <w:rFonts w:eastAsiaTheme="minorHAnsi" w:cstheme="minorBidi"/>
          <w:sz w:val="22"/>
          <w:szCs w:val="22"/>
          <w:lang w:eastAsia="en-US"/>
        </w:rPr>
        <w:t xml:space="preserve">jest </w:t>
      </w:r>
      <w:r w:rsidR="0026275B">
        <w:rPr>
          <w:rFonts w:eastAsiaTheme="minorHAnsi" w:cstheme="minorBidi"/>
          <w:sz w:val="22"/>
          <w:szCs w:val="22"/>
          <w:lang w:eastAsia="en-US"/>
        </w:rPr>
        <w:t>57-letni mężczyzna z Gdyni</w:t>
      </w:r>
      <w:r>
        <w:rPr>
          <w:rFonts w:eastAsiaTheme="minorHAnsi" w:cstheme="minorBidi"/>
          <w:sz w:val="22"/>
          <w:szCs w:val="22"/>
          <w:lang w:eastAsia="en-US"/>
        </w:rPr>
        <w:t xml:space="preserve"> z długiem na ponad 1,3 ml</w:t>
      </w:r>
      <w:r w:rsidR="0026275B">
        <w:rPr>
          <w:rFonts w:eastAsiaTheme="minorHAnsi" w:cstheme="minorBidi"/>
          <w:sz w:val="22"/>
          <w:szCs w:val="22"/>
          <w:lang w:eastAsia="en-US"/>
        </w:rPr>
        <w:t>n zł oraz 41</w:t>
      </w:r>
      <w:r>
        <w:rPr>
          <w:rFonts w:eastAsiaTheme="minorHAnsi" w:cstheme="minorBidi"/>
          <w:sz w:val="22"/>
          <w:szCs w:val="22"/>
          <w:lang w:eastAsia="en-US"/>
        </w:rPr>
        <w:t>-letnia k</w:t>
      </w:r>
      <w:r w:rsidR="0026275B">
        <w:rPr>
          <w:rFonts w:eastAsiaTheme="minorHAnsi" w:cstheme="minorBidi"/>
          <w:sz w:val="22"/>
          <w:szCs w:val="22"/>
          <w:lang w:eastAsia="en-US"/>
        </w:rPr>
        <w:t>obieta z Gdańska</w:t>
      </w:r>
      <w:r>
        <w:rPr>
          <w:rFonts w:eastAsiaTheme="minorHAnsi" w:cstheme="minorBidi"/>
          <w:sz w:val="22"/>
          <w:szCs w:val="22"/>
          <w:lang w:eastAsia="en-US"/>
        </w:rPr>
        <w:t>, która w wyniku podpisanej umowy poręczenia została z</w:t>
      </w:r>
      <w:r w:rsidR="00192969">
        <w:rPr>
          <w:rFonts w:eastAsiaTheme="minorHAnsi" w:cstheme="minorBidi"/>
          <w:sz w:val="22"/>
          <w:szCs w:val="22"/>
          <w:lang w:eastAsia="en-US"/>
        </w:rPr>
        <w:t> </w:t>
      </w:r>
      <w:r>
        <w:rPr>
          <w:rFonts w:eastAsiaTheme="minorHAnsi" w:cstheme="minorBidi"/>
          <w:sz w:val="22"/>
          <w:szCs w:val="22"/>
          <w:lang w:eastAsia="en-US"/>
        </w:rPr>
        <w:t>zaległym zobowiązaniem na ponad 1,1 mln zł.</w:t>
      </w:r>
    </w:p>
    <w:p w14:paraId="5549F68A" w14:textId="77777777" w:rsidR="002A0E96" w:rsidRDefault="002A0E96" w:rsidP="002A0E96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1184006D" w14:textId="5830D034" w:rsidR="002A0E96" w:rsidRDefault="00EC0B73" w:rsidP="002A0E9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Ponad 300 tys. poręczycieli w zeszłym roku</w:t>
      </w:r>
    </w:p>
    <w:p w14:paraId="4FE75A4E" w14:textId="77777777" w:rsidR="00192969" w:rsidRDefault="00192969" w:rsidP="002A0E96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14:paraId="555F8172" w14:textId="266B7C17" w:rsidR="00EC0B73" w:rsidRPr="0055648A" w:rsidRDefault="00F04207" w:rsidP="0055648A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55648A">
        <w:rPr>
          <w:rFonts w:eastAsiaTheme="minorHAnsi" w:cstheme="minorBidi"/>
          <w:sz w:val="22"/>
          <w:szCs w:val="22"/>
          <w:lang w:eastAsia="en-US"/>
        </w:rPr>
        <w:t xml:space="preserve">Z danych Biura Informacji Kredytowej wynika, że w 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>minionym roku poręczenia udzieliło 309 tys. osób. Podżyrowali oni</w:t>
      </w:r>
      <w:r w:rsidRPr="0055648A">
        <w:rPr>
          <w:rFonts w:eastAsiaTheme="minorHAnsi" w:cstheme="minorBidi"/>
          <w:sz w:val="22"/>
          <w:szCs w:val="22"/>
          <w:lang w:eastAsia="en-US"/>
        </w:rPr>
        <w:t xml:space="preserve"> 255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 xml:space="preserve"> tys. kredytów. W</w:t>
      </w:r>
      <w:r w:rsidR="00957799" w:rsidRPr="0055648A">
        <w:rPr>
          <w:rFonts w:eastAsiaTheme="minorHAnsi" w:cstheme="minorBidi"/>
          <w:sz w:val="22"/>
          <w:szCs w:val="22"/>
          <w:lang w:eastAsia="en-US"/>
        </w:rPr>
        <w:t xml:space="preserve"> grupie kredytów z poręczycielami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 xml:space="preserve"> 11,5 proc. </w:t>
      </w:r>
      <w:r w:rsidRPr="0055648A">
        <w:rPr>
          <w:rFonts w:eastAsiaTheme="minorHAnsi" w:cstheme="minorBidi"/>
          <w:sz w:val="22"/>
          <w:szCs w:val="22"/>
          <w:lang w:eastAsia="en-US"/>
        </w:rPr>
        <w:t xml:space="preserve">spłacanych </w:t>
      </w:r>
      <w:r w:rsidR="00192969" w:rsidRPr="0055648A">
        <w:rPr>
          <w:rFonts w:eastAsiaTheme="minorHAnsi" w:cstheme="minorBidi"/>
          <w:sz w:val="22"/>
          <w:szCs w:val="22"/>
          <w:lang w:eastAsia="en-US"/>
        </w:rPr>
        <w:t xml:space="preserve">było </w:t>
      </w:r>
      <w:r w:rsidRPr="0055648A">
        <w:rPr>
          <w:rFonts w:eastAsiaTheme="minorHAnsi" w:cstheme="minorBidi"/>
          <w:sz w:val="22"/>
          <w:szCs w:val="22"/>
          <w:lang w:eastAsia="en-US"/>
        </w:rPr>
        <w:t>z</w:t>
      </w:r>
      <w:r w:rsidR="00192969">
        <w:rPr>
          <w:rFonts w:eastAsiaTheme="minorHAnsi" w:cstheme="minorBidi"/>
          <w:sz w:val="22"/>
          <w:szCs w:val="22"/>
          <w:lang w:eastAsia="en-US"/>
        </w:rPr>
        <w:t> </w:t>
      </w:r>
      <w:r w:rsidRPr="0055648A">
        <w:rPr>
          <w:rFonts w:eastAsiaTheme="minorHAnsi" w:cstheme="minorBidi"/>
          <w:sz w:val="22"/>
          <w:szCs w:val="22"/>
          <w:lang w:eastAsia="en-US"/>
        </w:rPr>
        <w:t>opóźnieniem przekraczającym 90 dni.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192969">
        <w:rPr>
          <w:rFonts w:eastAsiaTheme="minorHAnsi" w:cstheme="minorBidi"/>
          <w:sz w:val="22"/>
          <w:szCs w:val="22"/>
          <w:lang w:eastAsia="en-US"/>
        </w:rPr>
        <w:t>To,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 xml:space="preserve"> czy główny kredytobiorca 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>dobrze spłaca zobowiązanie</w:t>
      </w:r>
      <w:r w:rsidR="00192969">
        <w:rPr>
          <w:rFonts w:eastAsiaTheme="minorHAnsi" w:cstheme="minorBidi"/>
          <w:sz w:val="22"/>
          <w:szCs w:val="22"/>
          <w:lang w:eastAsia="en-US"/>
        </w:rPr>
        <w:t>,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 xml:space="preserve"> można sprawdzać w baz</w:t>
      </w:r>
      <w:r w:rsidR="00957799" w:rsidRPr="0055648A">
        <w:rPr>
          <w:rFonts w:eastAsiaTheme="minorHAnsi" w:cstheme="minorBidi"/>
          <w:sz w:val="22"/>
          <w:szCs w:val="22"/>
          <w:lang w:eastAsia="en-US"/>
        </w:rPr>
        <w:t xml:space="preserve">ie 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>BIK</w:t>
      </w:r>
      <w:r w:rsidR="00192969">
        <w:rPr>
          <w:rFonts w:eastAsiaTheme="minorHAnsi" w:cstheme="minorBidi"/>
          <w:sz w:val="22"/>
          <w:szCs w:val="22"/>
          <w:lang w:eastAsia="en-US"/>
        </w:rPr>
        <w:t>,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957799" w:rsidRPr="0055648A">
        <w:rPr>
          <w:rFonts w:eastAsiaTheme="minorHAnsi" w:cstheme="minorBidi"/>
          <w:sz w:val="22"/>
          <w:szCs w:val="22"/>
          <w:lang w:eastAsia="en-US"/>
        </w:rPr>
        <w:t xml:space="preserve">pobierając </w:t>
      </w:r>
      <w:r w:rsidR="00192969">
        <w:rPr>
          <w:rFonts w:eastAsiaTheme="minorHAnsi" w:cstheme="minorBidi"/>
          <w:sz w:val="22"/>
          <w:szCs w:val="22"/>
          <w:lang w:eastAsia="en-US"/>
        </w:rPr>
        <w:t>z www.</w:t>
      </w:r>
      <w:r w:rsidR="00957799" w:rsidRPr="0055648A">
        <w:rPr>
          <w:rFonts w:eastAsiaTheme="minorHAnsi" w:cstheme="minorBidi"/>
          <w:sz w:val="22"/>
          <w:szCs w:val="22"/>
          <w:lang w:eastAsia="en-US"/>
        </w:rPr>
        <w:t xml:space="preserve">bik.pl kopię danych 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 xml:space="preserve">lub 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>Rapor</w:t>
      </w:r>
      <w:r w:rsidR="00957799" w:rsidRPr="0055648A">
        <w:rPr>
          <w:rFonts w:eastAsiaTheme="minorHAnsi" w:cstheme="minorBidi"/>
          <w:sz w:val="22"/>
          <w:szCs w:val="22"/>
          <w:lang w:eastAsia="en-US"/>
        </w:rPr>
        <w:t>t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 xml:space="preserve"> BIK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 xml:space="preserve">. Dokumenty te 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>pozwala</w:t>
      </w:r>
      <w:r w:rsidR="009270C0" w:rsidRPr="0055648A">
        <w:rPr>
          <w:rFonts w:eastAsiaTheme="minorHAnsi" w:cstheme="minorBidi"/>
          <w:sz w:val="22"/>
          <w:szCs w:val="22"/>
          <w:lang w:eastAsia="en-US"/>
        </w:rPr>
        <w:t xml:space="preserve">ją </w:t>
      </w:r>
      <w:r w:rsidR="00EC0B73" w:rsidRPr="0055648A">
        <w:rPr>
          <w:rFonts w:eastAsiaTheme="minorHAnsi" w:cstheme="minorBidi"/>
          <w:sz w:val="22"/>
          <w:szCs w:val="22"/>
          <w:lang w:eastAsia="en-US"/>
        </w:rPr>
        <w:t>sprawdzać, czy kredyt, który poręczyliśmy jest spłacany terminowo</w:t>
      </w:r>
      <w:r w:rsidR="0055648A">
        <w:rPr>
          <w:rFonts w:eastAsiaTheme="minorHAnsi" w:cstheme="minorBidi"/>
          <w:sz w:val="22"/>
          <w:szCs w:val="22"/>
          <w:lang w:eastAsia="en-US"/>
        </w:rPr>
        <w:t xml:space="preserve">, a także </w:t>
      </w:r>
      <w:r w:rsidR="0055648A" w:rsidRPr="0055648A">
        <w:rPr>
          <w:rFonts w:eastAsiaTheme="minorHAnsi" w:cstheme="minorBidi"/>
          <w:sz w:val="22"/>
          <w:szCs w:val="22"/>
          <w:lang w:eastAsia="en-US"/>
        </w:rPr>
        <w:t>kontrol</w:t>
      </w:r>
      <w:r w:rsidR="0055648A">
        <w:rPr>
          <w:rFonts w:eastAsiaTheme="minorHAnsi" w:cstheme="minorBidi"/>
          <w:sz w:val="22"/>
          <w:szCs w:val="22"/>
          <w:lang w:eastAsia="en-US"/>
        </w:rPr>
        <w:t>ować własną historię kredytową</w:t>
      </w:r>
      <w:r w:rsidR="00192969">
        <w:rPr>
          <w:rFonts w:eastAsiaTheme="minorHAnsi" w:cstheme="minorBidi"/>
          <w:sz w:val="22"/>
          <w:szCs w:val="22"/>
          <w:lang w:eastAsia="en-US"/>
        </w:rPr>
        <w:t>.</w:t>
      </w:r>
    </w:p>
    <w:p w14:paraId="7DEBAD2D" w14:textId="77777777" w:rsidR="00EC0B73" w:rsidRPr="002B2FCF" w:rsidRDefault="00EC0B73" w:rsidP="00F04207">
      <w:pPr>
        <w:jc w:val="both"/>
        <w:rPr>
          <w:color w:val="000000"/>
        </w:rPr>
      </w:pPr>
    </w:p>
    <w:p w14:paraId="2E2F765F" w14:textId="77777777" w:rsidR="00E05371" w:rsidRPr="00CA6058" w:rsidRDefault="00E05371" w:rsidP="00EA33FC">
      <w:pPr>
        <w:spacing w:before="120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6DDCED74" w14:textId="77777777" w:rsidR="00E05371" w:rsidRPr="00CA6058" w:rsidRDefault="00E05371" w:rsidP="00EA33FC">
      <w:pPr>
        <w:spacing w:after="120"/>
        <w:ind w:left="1423"/>
        <w:contextualSpacing/>
        <w:jc w:val="both"/>
      </w:pPr>
    </w:p>
    <w:p w14:paraId="4F8E7E44" w14:textId="77777777" w:rsidR="00E05371" w:rsidRDefault="00E05371" w:rsidP="00EA33FC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p w14:paraId="288ECBC0" w14:textId="77777777" w:rsidR="00E05371" w:rsidRPr="00F303A7" w:rsidRDefault="00E05371" w:rsidP="00EA33FC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5371" w:rsidRPr="00DB3167" w14:paraId="647ACF51" w14:textId="77777777" w:rsidTr="007D4158">
        <w:tc>
          <w:tcPr>
            <w:tcW w:w="4606" w:type="dxa"/>
            <w:hideMark/>
          </w:tcPr>
          <w:p w14:paraId="092B3E73" w14:textId="77777777" w:rsidR="00E05371" w:rsidRPr="00F303A7" w:rsidRDefault="00E05371" w:rsidP="00EA33FC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5B077002" w14:textId="77777777" w:rsidR="00E05371" w:rsidRPr="00F303A7" w:rsidRDefault="00E05371" w:rsidP="00EA33FC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4760D956" w14:textId="77777777" w:rsidR="00E05371" w:rsidRPr="00F303A7" w:rsidRDefault="00E05371" w:rsidP="00EA33FC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697EA58F" w14:textId="77777777" w:rsidR="00E05371" w:rsidRPr="00F303A7" w:rsidRDefault="00E05371" w:rsidP="00EA33FC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3AA25FAD" w14:textId="77777777" w:rsidR="00E05371" w:rsidRPr="00F303A7" w:rsidRDefault="001E1957" w:rsidP="00EA33FC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E05371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14:paraId="023D4BF0" w14:textId="77777777" w:rsidR="00E05371" w:rsidRPr="00F303A7" w:rsidRDefault="00E05371" w:rsidP="00EA33FC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0496F2BC" w14:textId="77777777" w:rsidR="00E05371" w:rsidRPr="00F303A7" w:rsidRDefault="00E05371" w:rsidP="00EA33FC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DEAC0C9" w14:textId="77777777" w:rsidR="00E05371" w:rsidRPr="00C95B8F" w:rsidRDefault="00E05371" w:rsidP="00EA33FC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r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>tel.: +48 22 486 56 46</w:t>
            </w:r>
          </w:p>
          <w:p w14:paraId="21F2A91E" w14:textId="77777777" w:rsidR="00E05371" w:rsidRPr="00C95B8F" w:rsidRDefault="00E05371" w:rsidP="00EA33FC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proofErr w:type="spellStart"/>
            <w:r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>kom</w:t>
            </w:r>
            <w:proofErr w:type="spellEnd"/>
            <w:r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>.: + 48 607 146 583</w:t>
            </w:r>
          </w:p>
          <w:p w14:paraId="754EA0C6" w14:textId="77777777" w:rsidR="00E05371" w:rsidRPr="00C95B8F" w:rsidRDefault="001E1957" w:rsidP="00EA33FC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hyperlink r:id="rId12" w:history="1">
              <w:r w:rsidR="00E05371" w:rsidRPr="00C95B8F">
                <w:rPr>
                  <w:color w:val="595959" w:themeColor="text1" w:themeTint="A6"/>
                  <w:sz w:val="18"/>
                  <w:szCs w:val="18"/>
                  <w:lang w:val="de-DE"/>
                </w:rPr>
                <w:t>Diana.Borowiecka@big.pl</w:t>
              </w:r>
            </w:hyperlink>
            <w:r w:rsidR="00E05371"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6703090" w14:textId="77777777" w:rsidR="00517C2D" w:rsidRPr="00C95B8F" w:rsidRDefault="001E1957" w:rsidP="00EA33FC">
      <w:pPr>
        <w:jc w:val="both"/>
        <w:rPr>
          <w:lang w:val="de-DE"/>
        </w:rPr>
      </w:pPr>
    </w:p>
    <w:sectPr w:rsidR="00517C2D" w:rsidRPr="00C95B8F" w:rsidSect="003E4F9A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9A3D2" w14:textId="77777777" w:rsidR="001E1957" w:rsidRDefault="001E1957">
      <w:r>
        <w:separator/>
      </w:r>
    </w:p>
  </w:endnote>
  <w:endnote w:type="continuationSeparator" w:id="0">
    <w:p w14:paraId="0CD89600" w14:textId="77777777" w:rsidR="001E1957" w:rsidRDefault="001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526A" w14:textId="77777777" w:rsidR="00DB3A26" w:rsidRDefault="00375ACB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67F14" w14:textId="77777777" w:rsidR="00DB3A26" w:rsidRDefault="001E1957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9E5B" w14:textId="77777777" w:rsidR="00DB3A26" w:rsidRDefault="00375ACB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54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D3FFAC" w14:textId="77777777" w:rsidR="00C44FC5" w:rsidRPr="00D94BC7" w:rsidRDefault="001E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ECF1" w14:textId="77777777" w:rsidR="001E1957" w:rsidRDefault="001E1957">
      <w:r>
        <w:separator/>
      </w:r>
    </w:p>
  </w:footnote>
  <w:footnote w:type="continuationSeparator" w:id="0">
    <w:p w14:paraId="54DD24C7" w14:textId="77777777" w:rsidR="001E1957" w:rsidRDefault="001E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A304" w14:textId="77777777" w:rsidR="00F37C25" w:rsidRDefault="00375ACB" w:rsidP="003F47E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BDBDBB" wp14:editId="3F248E3E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3758" w14:textId="77777777" w:rsidR="00C44FC5" w:rsidRDefault="00375A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1BC28" wp14:editId="3E4C505B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511D8" w14:textId="77777777" w:rsidR="00926ACD" w:rsidRDefault="001E1957">
    <w:pPr>
      <w:pStyle w:val="Nagwek"/>
    </w:pPr>
  </w:p>
  <w:p w14:paraId="67EA7471" w14:textId="77777777" w:rsidR="006E7F0C" w:rsidRDefault="001E1957">
    <w:pPr>
      <w:pStyle w:val="Nagwek"/>
    </w:pPr>
  </w:p>
  <w:p w14:paraId="2881FF40" w14:textId="77777777" w:rsidR="00085155" w:rsidRPr="00695EB6" w:rsidRDefault="00375ACB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D7F"/>
    <w:multiLevelType w:val="hybridMultilevel"/>
    <w:tmpl w:val="C8D06654"/>
    <w:lvl w:ilvl="0" w:tplc="0D302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6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00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B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9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AA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AA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C8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40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C0C11"/>
    <w:multiLevelType w:val="hybridMultilevel"/>
    <w:tmpl w:val="248EE460"/>
    <w:lvl w:ilvl="0" w:tplc="D5E67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EE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F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1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E1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2A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5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C1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10669"/>
    <w:multiLevelType w:val="hybridMultilevel"/>
    <w:tmpl w:val="33BC3286"/>
    <w:lvl w:ilvl="0" w:tplc="CB203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29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1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5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8F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20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40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CC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E6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C6DFB"/>
    <w:multiLevelType w:val="hybridMultilevel"/>
    <w:tmpl w:val="16BA304C"/>
    <w:lvl w:ilvl="0" w:tplc="12C0D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Dziewit, CCG">
    <w15:presenceInfo w15:providerId="None" w15:userId="Wojciech Dziewit, CC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1"/>
    <w:rsid w:val="00004B50"/>
    <w:rsid w:val="00014928"/>
    <w:rsid w:val="00024C6E"/>
    <w:rsid w:val="00024F5B"/>
    <w:rsid w:val="00030ED7"/>
    <w:rsid w:val="00033A55"/>
    <w:rsid w:val="0003764F"/>
    <w:rsid w:val="0004226E"/>
    <w:rsid w:val="00042A18"/>
    <w:rsid w:val="000439D4"/>
    <w:rsid w:val="00052A42"/>
    <w:rsid w:val="000544E7"/>
    <w:rsid w:val="000558A6"/>
    <w:rsid w:val="00071761"/>
    <w:rsid w:val="00071DD0"/>
    <w:rsid w:val="00083938"/>
    <w:rsid w:val="00093F4B"/>
    <w:rsid w:val="000A4850"/>
    <w:rsid w:val="000A5ABE"/>
    <w:rsid w:val="000A719A"/>
    <w:rsid w:val="000B0A38"/>
    <w:rsid w:val="000B3420"/>
    <w:rsid w:val="000B484A"/>
    <w:rsid w:val="000C0593"/>
    <w:rsid w:val="000C5B2F"/>
    <w:rsid w:val="000D08BF"/>
    <w:rsid w:val="000D46D7"/>
    <w:rsid w:val="000D7BAB"/>
    <w:rsid w:val="000E60FE"/>
    <w:rsid w:val="000E7FA7"/>
    <w:rsid w:val="000F4C45"/>
    <w:rsid w:val="000F6CCA"/>
    <w:rsid w:val="0011136E"/>
    <w:rsid w:val="00122F25"/>
    <w:rsid w:val="001274B3"/>
    <w:rsid w:val="0013029F"/>
    <w:rsid w:val="00134414"/>
    <w:rsid w:val="001363CB"/>
    <w:rsid w:val="001364B9"/>
    <w:rsid w:val="00136F5E"/>
    <w:rsid w:val="001377B6"/>
    <w:rsid w:val="0014520B"/>
    <w:rsid w:val="00156B42"/>
    <w:rsid w:val="00157575"/>
    <w:rsid w:val="00161012"/>
    <w:rsid w:val="00177ED6"/>
    <w:rsid w:val="00184381"/>
    <w:rsid w:val="00187889"/>
    <w:rsid w:val="00192969"/>
    <w:rsid w:val="001B11EF"/>
    <w:rsid w:val="001B479B"/>
    <w:rsid w:val="001C00F6"/>
    <w:rsid w:val="001C6C8B"/>
    <w:rsid w:val="001D4EED"/>
    <w:rsid w:val="001E0B2D"/>
    <w:rsid w:val="001E1957"/>
    <w:rsid w:val="001E3ADD"/>
    <w:rsid w:val="001E6A66"/>
    <w:rsid w:val="001F02F7"/>
    <w:rsid w:val="00204AD9"/>
    <w:rsid w:val="00205564"/>
    <w:rsid w:val="00205A3C"/>
    <w:rsid w:val="002149BA"/>
    <w:rsid w:val="00222187"/>
    <w:rsid w:val="0022423D"/>
    <w:rsid w:val="00230D49"/>
    <w:rsid w:val="00232769"/>
    <w:rsid w:val="00233928"/>
    <w:rsid w:val="00235F07"/>
    <w:rsid w:val="002423F1"/>
    <w:rsid w:val="00242CD7"/>
    <w:rsid w:val="00244D9B"/>
    <w:rsid w:val="0025338E"/>
    <w:rsid w:val="002548BD"/>
    <w:rsid w:val="0025733B"/>
    <w:rsid w:val="00260575"/>
    <w:rsid w:val="00261AEC"/>
    <w:rsid w:val="0026275B"/>
    <w:rsid w:val="002630A4"/>
    <w:rsid w:val="00266850"/>
    <w:rsid w:val="0028070D"/>
    <w:rsid w:val="00282F26"/>
    <w:rsid w:val="00285C81"/>
    <w:rsid w:val="00287111"/>
    <w:rsid w:val="00294248"/>
    <w:rsid w:val="002A0E96"/>
    <w:rsid w:val="002A2B10"/>
    <w:rsid w:val="002B3C34"/>
    <w:rsid w:val="002B53DC"/>
    <w:rsid w:val="002B5D59"/>
    <w:rsid w:val="002B69DE"/>
    <w:rsid w:val="002C64AB"/>
    <w:rsid w:val="002D5375"/>
    <w:rsid w:val="002F60C6"/>
    <w:rsid w:val="002F76B3"/>
    <w:rsid w:val="002F7A21"/>
    <w:rsid w:val="00300C51"/>
    <w:rsid w:val="003013DC"/>
    <w:rsid w:val="003043AB"/>
    <w:rsid w:val="003149A4"/>
    <w:rsid w:val="00330D4A"/>
    <w:rsid w:val="00332FA3"/>
    <w:rsid w:val="0034105E"/>
    <w:rsid w:val="00350E03"/>
    <w:rsid w:val="003518EB"/>
    <w:rsid w:val="00362C85"/>
    <w:rsid w:val="00365DB3"/>
    <w:rsid w:val="00373B7A"/>
    <w:rsid w:val="0037597D"/>
    <w:rsid w:val="00375ACB"/>
    <w:rsid w:val="00380360"/>
    <w:rsid w:val="003975BD"/>
    <w:rsid w:val="00397C40"/>
    <w:rsid w:val="003A0ACF"/>
    <w:rsid w:val="003A0ED4"/>
    <w:rsid w:val="003A264F"/>
    <w:rsid w:val="003A4A46"/>
    <w:rsid w:val="003B4201"/>
    <w:rsid w:val="003C2D42"/>
    <w:rsid w:val="003E11AB"/>
    <w:rsid w:val="003E7697"/>
    <w:rsid w:val="00402449"/>
    <w:rsid w:val="0040283B"/>
    <w:rsid w:val="004032A7"/>
    <w:rsid w:val="00413926"/>
    <w:rsid w:val="00416E49"/>
    <w:rsid w:val="00422C61"/>
    <w:rsid w:val="0042401F"/>
    <w:rsid w:val="004300CF"/>
    <w:rsid w:val="00431B76"/>
    <w:rsid w:val="0043400A"/>
    <w:rsid w:val="00434A03"/>
    <w:rsid w:val="00434F8B"/>
    <w:rsid w:val="00435416"/>
    <w:rsid w:val="00440016"/>
    <w:rsid w:val="00444E58"/>
    <w:rsid w:val="0044579C"/>
    <w:rsid w:val="00452786"/>
    <w:rsid w:val="00457A4C"/>
    <w:rsid w:val="00460D20"/>
    <w:rsid w:val="00472FB2"/>
    <w:rsid w:val="00474BAC"/>
    <w:rsid w:val="0048250A"/>
    <w:rsid w:val="004842DF"/>
    <w:rsid w:val="00484867"/>
    <w:rsid w:val="0048685D"/>
    <w:rsid w:val="0049425E"/>
    <w:rsid w:val="00494946"/>
    <w:rsid w:val="00496FDE"/>
    <w:rsid w:val="004B1ED0"/>
    <w:rsid w:val="004C7D9A"/>
    <w:rsid w:val="004D350B"/>
    <w:rsid w:val="004E2B0F"/>
    <w:rsid w:val="004F3044"/>
    <w:rsid w:val="004F352A"/>
    <w:rsid w:val="004F5819"/>
    <w:rsid w:val="004F597A"/>
    <w:rsid w:val="005028FB"/>
    <w:rsid w:val="00510923"/>
    <w:rsid w:val="00524F1B"/>
    <w:rsid w:val="00526CA0"/>
    <w:rsid w:val="00530567"/>
    <w:rsid w:val="0053144A"/>
    <w:rsid w:val="005320F5"/>
    <w:rsid w:val="005401A4"/>
    <w:rsid w:val="00543762"/>
    <w:rsid w:val="0054399D"/>
    <w:rsid w:val="00550DAA"/>
    <w:rsid w:val="00553F11"/>
    <w:rsid w:val="0055648A"/>
    <w:rsid w:val="00556FC9"/>
    <w:rsid w:val="00557301"/>
    <w:rsid w:val="00557514"/>
    <w:rsid w:val="00573EEA"/>
    <w:rsid w:val="00575A07"/>
    <w:rsid w:val="00575B44"/>
    <w:rsid w:val="00576136"/>
    <w:rsid w:val="00580B19"/>
    <w:rsid w:val="00580B1A"/>
    <w:rsid w:val="00583515"/>
    <w:rsid w:val="00585BE1"/>
    <w:rsid w:val="00595A73"/>
    <w:rsid w:val="005A1450"/>
    <w:rsid w:val="005A2E4C"/>
    <w:rsid w:val="005A35B2"/>
    <w:rsid w:val="005A54B0"/>
    <w:rsid w:val="005A5978"/>
    <w:rsid w:val="005B367A"/>
    <w:rsid w:val="005B569C"/>
    <w:rsid w:val="005B7AF7"/>
    <w:rsid w:val="005C4A4E"/>
    <w:rsid w:val="005D7C0F"/>
    <w:rsid w:val="005E681E"/>
    <w:rsid w:val="005E7106"/>
    <w:rsid w:val="005F23E8"/>
    <w:rsid w:val="005F26C4"/>
    <w:rsid w:val="00610FD6"/>
    <w:rsid w:val="006125F7"/>
    <w:rsid w:val="00620887"/>
    <w:rsid w:val="00622522"/>
    <w:rsid w:val="00622F9B"/>
    <w:rsid w:val="00623124"/>
    <w:rsid w:val="006241D1"/>
    <w:rsid w:val="00626319"/>
    <w:rsid w:val="0064669C"/>
    <w:rsid w:val="00647001"/>
    <w:rsid w:val="00654079"/>
    <w:rsid w:val="00656402"/>
    <w:rsid w:val="00657518"/>
    <w:rsid w:val="00664342"/>
    <w:rsid w:val="00675E4E"/>
    <w:rsid w:val="00676CD0"/>
    <w:rsid w:val="0068359F"/>
    <w:rsid w:val="0068430E"/>
    <w:rsid w:val="00684AB3"/>
    <w:rsid w:val="006A418C"/>
    <w:rsid w:val="006B0F16"/>
    <w:rsid w:val="006B7E4B"/>
    <w:rsid w:val="006C1638"/>
    <w:rsid w:val="006C249E"/>
    <w:rsid w:val="006C5072"/>
    <w:rsid w:val="006C762D"/>
    <w:rsid w:val="006E04AA"/>
    <w:rsid w:val="006E47E9"/>
    <w:rsid w:val="006F3911"/>
    <w:rsid w:val="006F6835"/>
    <w:rsid w:val="006F7015"/>
    <w:rsid w:val="006F72CC"/>
    <w:rsid w:val="00701476"/>
    <w:rsid w:val="0070715D"/>
    <w:rsid w:val="007138B0"/>
    <w:rsid w:val="0071568B"/>
    <w:rsid w:val="007318AC"/>
    <w:rsid w:val="00736387"/>
    <w:rsid w:val="0074023C"/>
    <w:rsid w:val="00740BC7"/>
    <w:rsid w:val="007501A1"/>
    <w:rsid w:val="007504BF"/>
    <w:rsid w:val="00752731"/>
    <w:rsid w:val="00761E0C"/>
    <w:rsid w:val="00770B07"/>
    <w:rsid w:val="00776202"/>
    <w:rsid w:val="00783118"/>
    <w:rsid w:val="0078617D"/>
    <w:rsid w:val="007A2F6D"/>
    <w:rsid w:val="007A638C"/>
    <w:rsid w:val="007B6C5C"/>
    <w:rsid w:val="007B7F1F"/>
    <w:rsid w:val="007C2F77"/>
    <w:rsid w:val="007C3AA9"/>
    <w:rsid w:val="007C55D8"/>
    <w:rsid w:val="007C7C06"/>
    <w:rsid w:val="007D48DC"/>
    <w:rsid w:val="007D5C8E"/>
    <w:rsid w:val="007E423B"/>
    <w:rsid w:val="007E48F2"/>
    <w:rsid w:val="007E794A"/>
    <w:rsid w:val="007F550E"/>
    <w:rsid w:val="007F5E4F"/>
    <w:rsid w:val="00812E9B"/>
    <w:rsid w:val="0081425F"/>
    <w:rsid w:val="00824C3A"/>
    <w:rsid w:val="00835148"/>
    <w:rsid w:val="00835D79"/>
    <w:rsid w:val="0084044E"/>
    <w:rsid w:val="00844CF9"/>
    <w:rsid w:val="0085634A"/>
    <w:rsid w:val="00856F73"/>
    <w:rsid w:val="008600DD"/>
    <w:rsid w:val="00867FC8"/>
    <w:rsid w:val="008773D5"/>
    <w:rsid w:val="00882560"/>
    <w:rsid w:val="00884B3B"/>
    <w:rsid w:val="00887CDD"/>
    <w:rsid w:val="0089308A"/>
    <w:rsid w:val="008A2E6C"/>
    <w:rsid w:val="008B2136"/>
    <w:rsid w:val="008B3801"/>
    <w:rsid w:val="008B7DE8"/>
    <w:rsid w:val="008C6AFD"/>
    <w:rsid w:val="008C7D88"/>
    <w:rsid w:val="008D1D5D"/>
    <w:rsid w:val="008D2176"/>
    <w:rsid w:val="008D4F6B"/>
    <w:rsid w:val="00901CFF"/>
    <w:rsid w:val="00906F2D"/>
    <w:rsid w:val="0091552C"/>
    <w:rsid w:val="009159EA"/>
    <w:rsid w:val="009172EA"/>
    <w:rsid w:val="00921517"/>
    <w:rsid w:val="0092358F"/>
    <w:rsid w:val="00925398"/>
    <w:rsid w:val="00926B11"/>
    <w:rsid w:val="009270C0"/>
    <w:rsid w:val="00930D49"/>
    <w:rsid w:val="00931A74"/>
    <w:rsid w:val="00932E6F"/>
    <w:rsid w:val="0093352B"/>
    <w:rsid w:val="00937295"/>
    <w:rsid w:val="009409BD"/>
    <w:rsid w:val="00941FEF"/>
    <w:rsid w:val="00957799"/>
    <w:rsid w:val="00961B4D"/>
    <w:rsid w:val="0099152C"/>
    <w:rsid w:val="0099708A"/>
    <w:rsid w:val="00997EAA"/>
    <w:rsid w:val="009A0423"/>
    <w:rsid w:val="009B75BF"/>
    <w:rsid w:val="009C3279"/>
    <w:rsid w:val="009C3DF9"/>
    <w:rsid w:val="009C4A7B"/>
    <w:rsid w:val="009D459E"/>
    <w:rsid w:val="009F48AE"/>
    <w:rsid w:val="00A02E50"/>
    <w:rsid w:val="00A079B8"/>
    <w:rsid w:val="00A138B5"/>
    <w:rsid w:val="00A258AE"/>
    <w:rsid w:val="00A268F5"/>
    <w:rsid w:val="00A27731"/>
    <w:rsid w:val="00A45C4C"/>
    <w:rsid w:val="00A47A34"/>
    <w:rsid w:val="00A531E5"/>
    <w:rsid w:val="00A53E7E"/>
    <w:rsid w:val="00A57B70"/>
    <w:rsid w:val="00A60954"/>
    <w:rsid w:val="00A61F38"/>
    <w:rsid w:val="00A6558B"/>
    <w:rsid w:val="00A65E6D"/>
    <w:rsid w:val="00A70CE0"/>
    <w:rsid w:val="00A72592"/>
    <w:rsid w:val="00A74EC1"/>
    <w:rsid w:val="00A8091C"/>
    <w:rsid w:val="00A821DE"/>
    <w:rsid w:val="00A85C51"/>
    <w:rsid w:val="00A8798F"/>
    <w:rsid w:val="00A87A1B"/>
    <w:rsid w:val="00AA2706"/>
    <w:rsid w:val="00AA4ADE"/>
    <w:rsid w:val="00AD3F1B"/>
    <w:rsid w:val="00AD7159"/>
    <w:rsid w:val="00AF6CA1"/>
    <w:rsid w:val="00AF71D0"/>
    <w:rsid w:val="00B033AB"/>
    <w:rsid w:val="00B21ECD"/>
    <w:rsid w:val="00B221FA"/>
    <w:rsid w:val="00B2281E"/>
    <w:rsid w:val="00B26A67"/>
    <w:rsid w:val="00B27C8F"/>
    <w:rsid w:val="00B3042C"/>
    <w:rsid w:val="00B30958"/>
    <w:rsid w:val="00B30A76"/>
    <w:rsid w:val="00B319E7"/>
    <w:rsid w:val="00B36184"/>
    <w:rsid w:val="00B410A7"/>
    <w:rsid w:val="00B46854"/>
    <w:rsid w:val="00B519C9"/>
    <w:rsid w:val="00B537B2"/>
    <w:rsid w:val="00B547D0"/>
    <w:rsid w:val="00B57C7A"/>
    <w:rsid w:val="00B6005F"/>
    <w:rsid w:val="00B624C8"/>
    <w:rsid w:val="00B649B9"/>
    <w:rsid w:val="00B673DC"/>
    <w:rsid w:val="00B72F89"/>
    <w:rsid w:val="00B74761"/>
    <w:rsid w:val="00B9046F"/>
    <w:rsid w:val="00B93525"/>
    <w:rsid w:val="00BA2790"/>
    <w:rsid w:val="00BA3599"/>
    <w:rsid w:val="00BB23E9"/>
    <w:rsid w:val="00BB6F38"/>
    <w:rsid w:val="00BC1359"/>
    <w:rsid w:val="00BC156E"/>
    <w:rsid w:val="00BC3BEC"/>
    <w:rsid w:val="00BD0665"/>
    <w:rsid w:val="00BD316C"/>
    <w:rsid w:val="00BE2D7C"/>
    <w:rsid w:val="00BE4504"/>
    <w:rsid w:val="00BE58A9"/>
    <w:rsid w:val="00BE6B4A"/>
    <w:rsid w:val="00C00F4A"/>
    <w:rsid w:val="00C02C08"/>
    <w:rsid w:val="00C034F6"/>
    <w:rsid w:val="00C1077C"/>
    <w:rsid w:val="00C11B1C"/>
    <w:rsid w:val="00C13604"/>
    <w:rsid w:val="00C153B6"/>
    <w:rsid w:val="00C1779B"/>
    <w:rsid w:val="00C3205C"/>
    <w:rsid w:val="00C34843"/>
    <w:rsid w:val="00C34923"/>
    <w:rsid w:val="00C44EF8"/>
    <w:rsid w:val="00C4676C"/>
    <w:rsid w:val="00C57638"/>
    <w:rsid w:val="00C60F2C"/>
    <w:rsid w:val="00C65EE9"/>
    <w:rsid w:val="00C678B1"/>
    <w:rsid w:val="00C73AEB"/>
    <w:rsid w:val="00C75AFB"/>
    <w:rsid w:val="00C76BF3"/>
    <w:rsid w:val="00C85DF2"/>
    <w:rsid w:val="00C95B8F"/>
    <w:rsid w:val="00C96083"/>
    <w:rsid w:val="00CA6343"/>
    <w:rsid w:val="00CA6A1F"/>
    <w:rsid w:val="00CB5C68"/>
    <w:rsid w:val="00CB686B"/>
    <w:rsid w:val="00CB6E08"/>
    <w:rsid w:val="00CB7627"/>
    <w:rsid w:val="00CC3319"/>
    <w:rsid w:val="00CC6E1C"/>
    <w:rsid w:val="00CC7644"/>
    <w:rsid w:val="00CD28AC"/>
    <w:rsid w:val="00CF79B6"/>
    <w:rsid w:val="00D01F2E"/>
    <w:rsid w:val="00D055AF"/>
    <w:rsid w:val="00D1075A"/>
    <w:rsid w:val="00D179B8"/>
    <w:rsid w:val="00D2243C"/>
    <w:rsid w:val="00D2538D"/>
    <w:rsid w:val="00D32E59"/>
    <w:rsid w:val="00D34D87"/>
    <w:rsid w:val="00D42906"/>
    <w:rsid w:val="00D461CC"/>
    <w:rsid w:val="00D52C83"/>
    <w:rsid w:val="00D55700"/>
    <w:rsid w:val="00D611B2"/>
    <w:rsid w:val="00D634B1"/>
    <w:rsid w:val="00D6541D"/>
    <w:rsid w:val="00D66793"/>
    <w:rsid w:val="00D66A0A"/>
    <w:rsid w:val="00D70443"/>
    <w:rsid w:val="00D708D2"/>
    <w:rsid w:val="00D74C90"/>
    <w:rsid w:val="00D7653D"/>
    <w:rsid w:val="00DA0DED"/>
    <w:rsid w:val="00DA1B61"/>
    <w:rsid w:val="00DA753F"/>
    <w:rsid w:val="00DB01F1"/>
    <w:rsid w:val="00DB0368"/>
    <w:rsid w:val="00DB3167"/>
    <w:rsid w:val="00DB5B9B"/>
    <w:rsid w:val="00DB6291"/>
    <w:rsid w:val="00DC400E"/>
    <w:rsid w:val="00DC62BD"/>
    <w:rsid w:val="00DD12A3"/>
    <w:rsid w:val="00DD2156"/>
    <w:rsid w:val="00DD4D7B"/>
    <w:rsid w:val="00DE0CBC"/>
    <w:rsid w:val="00DE0F79"/>
    <w:rsid w:val="00DF3500"/>
    <w:rsid w:val="00DF3892"/>
    <w:rsid w:val="00DF3DE9"/>
    <w:rsid w:val="00DF5A8A"/>
    <w:rsid w:val="00DF67D4"/>
    <w:rsid w:val="00E05371"/>
    <w:rsid w:val="00E10E21"/>
    <w:rsid w:val="00E1256E"/>
    <w:rsid w:val="00E1575A"/>
    <w:rsid w:val="00E16844"/>
    <w:rsid w:val="00E20085"/>
    <w:rsid w:val="00E203AB"/>
    <w:rsid w:val="00E2567C"/>
    <w:rsid w:val="00E27AD2"/>
    <w:rsid w:val="00E43547"/>
    <w:rsid w:val="00E4755E"/>
    <w:rsid w:val="00E47F3F"/>
    <w:rsid w:val="00E50199"/>
    <w:rsid w:val="00E547E0"/>
    <w:rsid w:val="00E63B99"/>
    <w:rsid w:val="00E6633D"/>
    <w:rsid w:val="00E66C14"/>
    <w:rsid w:val="00E71653"/>
    <w:rsid w:val="00E7674E"/>
    <w:rsid w:val="00E76D4C"/>
    <w:rsid w:val="00E83BD0"/>
    <w:rsid w:val="00E8712E"/>
    <w:rsid w:val="00E93880"/>
    <w:rsid w:val="00E95C52"/>
    <w:rsid w:val="00EA33FC"/>
    <w:rsid w:val="00EA4814"/>
    <w:rsid w:val="00EC043D"/>
    <w:rsid w:val="00EC0B73"/>
    <w:rsid w:val="00EC4CB6"/>
    <w:rsid w:val="00EC7FCD"/>
    <w:rsid w:val="00EE2C7E"/>
    <w:rsid w:val="00EE5403"/>
    <w:rsid w:val="00EF3DF7"/>
    <w:rsid w:val="00EF3FE3"/>
    <w:rsid w:val="00EF69CB"/>
    <w:rsid w:val="00F04207"/>
    <w:rsid w:val="00F12D74"/>
    <w:rsid w:val="00F16BC5"/>
    <w:rsid w:val="00F214F1"/>
    <w:rsid w:val="00F250B4"/>
    <w:rsid w:val="00F35A82"/>
    <w:rsid w:val="00F41769"/>
    <w:rsid w:val="00F553C7"/>
    <w:rsid w:val="00F56363"/>
    <w:rsid w:val="00F603FE"/>
    <w:rsid w:val="00F63BFB"/>
    <w:rsid w:val="00F7563E"/>
    <w:rsid w:val="00F76F7A"/>
    <w:rsid w:val="00F903CD"/>
    <w:rsid w:val="00FA2783"/>
    <w:rsid w:val="00FA57C1"/>
    <w:rsid w:val="00FA7569"/>
    <w:rsid w:val="00FB0F70"/>
    <w:rsid w:val="00FB1E33"/>
    <w:rsid w:val="00FC2DB0"/>
    <w:rsid w:val="00FC6E6C"/>
    <w:rsid w:val="00FC799E"/>
    <w:rsid w:val="00FD7B9E"/>
    <w:rsid w:val="00FD7CEE"/>
    <w:rsid w:val="00FE55BA"/>
    <w:rsid w:val="00FE61A6"/>
    <w:rsid w:val="00FF020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71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371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E0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371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E05371"/>
  </w:style>
  <w:style w:type="paragraph" w:customStyle="1" w:styleId="StylStBIKsubowagwka">
    <w:name w:val="Styl StBIK służbowa główka"/>
    <w:basedOn w:val="Normalny"/>
    <w:link w:val="StylStBIKsubowagwkaZnak"/>
    <w:rsid w:val="00E05371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E05371"/>
    <w:rPr>
      <w:rFonts w:eastAsia="Times New Roman" w:cs="Times New Roman"/>
      <w:b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7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C90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C9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4C9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AEC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AEC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9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71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371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E0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371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E05371"/>
  </w:style>
  <w:style w:type="paragraph" w:customStyle="1" w:styleId="StylStBIKsubowagwka">
    <w:name w:val="Styl StBIK służbowa główka"/>
    <w:basedOn w:val="Normalny"/>
    <w:link w:val="StylStBIKsubowagwkaZnak"/>
    <w:rsid w:val="00E05371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E05371"/>
    <w:rPr>
      <w:rFonts w:eastAsia="Times New Roman" w:cs="Times New Roman"/>
      <w:b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7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C90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C9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4C9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AEC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AEC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9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61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76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14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ina.Kochalska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Płeć i wiek</a:t>
            </a:r>
            <a:r>
              <a:rPr lang="pl-PL" sz="1400" baseline="0"/>
              <a:t> p</a:t>
            </a:r>
            <a:r>
              <a:rPr lang="pl-PL" sz="1400"/>
              <a:t>oręczycieli</a:t>
            </a:r>
            <a:r>
              <a:rPr lang="pl-PL" sz="1400" baseline="0"/>
              <a:t> wpisanych </a:t>
            </a:r>
          </a:p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 baseline="0"/>
              <a:t>do BIG InfoMonitor</a:t>
            </a:r>
            <a:endParaRPr lang="pl-PL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Arkusz1!$C$23:$D$34</c:f>
              <c:multiLvlStrCache>
                <c:ptCount val="12"/>
                <c:lvl>
                  <c:pt idx="0">
                    <c:v>K</c:v>
                  </c:pt>
                  <c:pt idx="1">
                    <c:v>M</c:v>
                  </c:pt>
                  <c:pt idx="2">
                    <c:v>K</c:v>
                  </c:pt>
                  <c:pt idx="3">
                    <c:v>M</c:v>
                  </c:pt>
                  <c:pt idx="4">
                    <c:v>K</c:v>
                  </c:pt>
                  <c:pt idx="5">
                    <c:v>M</c:v>
                  </c:pt>
                  <c:pt idx="6">
                    <c:v>K</c:v>
                  </c:pt>
                  <c:pt idx="7">
                    <c:v>M</c:v>
                  </c:pt>
                  <c:pt idx="8">
                    <c:v>K</c:v>
                  </c:pt>
                  <c:pt idx="9">
                    <c:v>M</c:v>
                  </c:pt>
                  <c:pt idx="10">
                    <c:v>K</c:v>
                  </c:pt>
                  <c:pt idx="11">
                    <c:v>M</c:v>
                  </c:pt>
                </c:lvl>
                <c:lvl>
                  <c:pt idx="0">
                    <c:v>18-24</c:v>
                  </c:pt>
                  <c:pt idx="2">
                    <c:v>25-34</c:v>
                  </c:pt>
                  <c:pt idx="4">
                    <c:v>35-44</c:v>
                  </c:pt>
                  <c:pt idx="6">
                    <c:v>45-54</c:v>
                  </c:pt>
                  <c:pt idx="8">
                    <c:v>55-64</c:v>
                  </c:pt>
                  <c:pt idx="10">
                    <c:v>65+</c:v>
                  </c:pt>
                </c:lvl>
              </c:multiLvlStrCache>
            </c:multiLvlStrRef>
          </c:cat>
          <c:val>
            <c:numRef>
              <c:f>Arkusz1!$E$23:$E$34</c:f>
              <c:numCache>
                <c:formatCode>#,##0</c:formatCode>
                <c:ptCount val="12"/>
                <c:pt idx="0">
                  <c:v>52</c:v>
                </c:pt>
                <c:pt idx="1">
                  <c:v>83</c:v>
                </c:pt>
                <c:pt idx="2" formatCode="General">
                  <c:v>1681</c:v>
                </c:pt>
                <c:pt idx="3" formatCode="General">
                  <c:v>3263</c:v>
                </c:pt>
                <c:pt idx="4">
                  <c:v>3729</c:v>
                </c:pt>
                <c:pt idx="5">
                  <c:v>6409</c:v>
                </c:pt>
                <c:pt idx="6" formatCode="General">
                  <c:v>3414</c:v>
                </c:pt>
                <c:pt idx="7" formatCode="General">
                  <c:v>4889</c:v>
                </c:pt>
                <c:pt idx="8">
                  <c:v>3213</c:v>
                </c:pt>
                <c:pt idx="9">
                  <c:v>4007</c:v>
                </c:pt>
                <c:pt idx="10" formatCode="General">
                  <c:v>3146</c:v>
                </c:pt>
                <c:pt idx="11" formatCode="General">
                  <c:v>1976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0959360"/>
        <c:axId val="214097280"/>
      </c:barChart>
      <c:catAx>
        <c:axId val="21095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4097280"/>
        <c:crosses val="autoZero"/>
        <c:auto val="1"/>
        <c:lblAlgn val="ctr"/>
        <c:lblOffset val="100"/>
        <c:noMultiLvlLbl val="0"/>
      </c:catAx>
      <c:valAx>
        <c:axId val="21409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095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Kwota zaległości </a:t>
            </a:r>
            <a:r>
              <a:rPr lang="pl-PL" sz="1400"/>
              <a:t>z</a:t>
            </a:r>
            <a:r>
              <a:rPr lang="pl-PL" sz="1400" baseline="0"/>
              <a:t> poręczeń w podziale na płeć </a:t>
            </a:r>
          </a:p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 baseline="0"/>
              <a:t>i wiek dłużników (</a:t>
            </a:r>
            <a:r>
              <a:rPr lang="en-US" sz="1400"/>
              <a:t>mln zł</a:t>
            </a:r>
            <a:r>
              <a:rPr lang="pl-PL" sz="1400"/>
              <a:t>)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Arkusz1!$E$7</c:f>
              <c:strCache>
                <c:ptCount val="1"/>
                <c:pt idx="0">
                  <c:v>Kwota zaległości w mln zł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Arkusz1!$C$8:$D$19</c:f>
              <c:multiLvlStrCache>
                <c:ptCount val="12"/>
                <c:lvl>
                  <c:pt idx="0">
                    <c:v>K</c:v>
                  </c:pt>
                  <c:pt idx="1">
                    <c:v>M</c:v>
                  </c:pt>
                  <c:pt idx="2">
                    <c:v>K</c:v>
                  </c:pt>
                  <c:pt idx="3">
                    <c:v>M</c:v>
                  </c:pt>
                  <c:pt idx="4">
                    <c:v>K</c:v>
                  </c:pt>
                  <c:pt idx="5">
                    <c:v>M</c:v>
                  </c:pt>
                  <c:pt idx="6">
                    <c:v>K</c:v>
                  </c:pt>
                  <c:pt idx="7">
                    <c:v>M</c:v>
                  </c:pt>
                  <c:pt idx="8">
                    <c:v>K</c:v>
                  </c:pt>
                  <c:pt idx="9">
                    <c:v>M</c:v>
                  </c:pt>
                  <c:pt idx="10">
                    <c:v>K</c:v>
                  </c:pt>
                  <c:pt idx="11">
                    <c:v>M</c:v>
                  </c:pt>
                </c:lvl>
                <c:lvl>
                  <c:pt idx="0">
                    <c:v>18-24</c:v>
                  </c:pt>
                  <c:pt idx="2">
                    <c:v>25-34</c:v>
                  </c:pt>
                  <c:pt idx="4">
                    <c:v>35-44</c:v>
                  </c:pt>
                  <c:pt idx="6">
                    <c:v>45-54</c:v>
                  </c:pt>
                  <c:pt idx="8">
                    <c:v>55-64</c:v>
                  </c:pt>
                  <c:pt idx="10">
                    <c:v>65+</c:v>
                  </c:pt>
                </c:lvl>
              </c:multiLvlStrCache>
            </c:multiLvlStrRef>
          </c:cat>
          <c:val>
            <c:numRef>
              <c:f>Arkusz1!$E$8:$E$19</c:f>
              <c:numCache>
                <c:formatCode>#,##0.0</c:formatCode>
                <c:ptCount val="12"/>
                <c:pt idx="0">
                  <c:v>0.16397600000000001</c:v>
                </c:pt>
                <c:pt idx="1">
                  <c:v>0.18479499999999999</c:v>
                </c:pt>
                <c:pt idx="2">
                  <c:v>14.051226</c:v>
                </c:pt>
                <c:pt idx="3">
                  <c:v>29.675442</c:v>
                </c:pt>
                <c:pt idx="4">
                  <c:v>49.216889999999999</c:v>
                </c:pt>
                <c:pt idx="5">
                  <c:v>93.067330999999996</c:v>
                </c:pt>
                <c:pt idx="6">
                  <c:v>41.934778000000001</c:v>
                </c:pt>
                <c:pt idx="7">
                  <c:v>84.509842000000006</c:v>
                </c:pt>
                <c:pt idx="8">
                  <c:v>39.196353000000002</c:v>
                </c:pt>
                <c:pt idx="9">
                  <c:v>67.637280000000004</c:v>
                </c:pt>
                <c:pt idx="10">
                  <c:v>25.990136</c:v>
                </c:pt>
                <c:pt idx="11">
                  <c:v>27.951325000000001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092032"/>
        <c:axId val="220128384"/>
      </c:barChart>
      <c:catAx>
        <c:axId val="21409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0128384"/>
        <c:crosses val="autoZero"/>
        <c:auto val="1"/>
        <c:lblAlgn val="ctr"/>
        <c:lblOffset val="100"/>
        <c:noMultiLvlLbl val="0"/>
      </c:catAx>
      <c:valAx>
        <c:axId val="2201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409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F5568DAB-9662-4871-9053-95DCF8F901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Kochalska Halina</dc:creator>
  <cp:lastModifiedBy>Borowiecka Diana</cp:lastModifiedBy>
  <cp:revision>9</cp:revision>
  <cp:lastPrinted>2018-03-28T12:54:00Z</cp:lastPrinted>
  <dcterms:created xsi:type="dcterms:W3CDTF">2018-07-27T12:40:00Z</dcterms:created>
  <dcterms:modified xsi:type="dcterms:W3CDTF">2018-07-31T07:39:00Z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763ce48b-a593-4b65-a617-fa456b8c040a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