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AD" w:rsidRPr="005112D6" w:rsidRDefault="00577E42" w:rsidP="005112D6">
      <w:pPr>
        <w:pStyle w:val="Nagwek1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5112D6"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Warszawa, </w:t>
      </w:r>
      <w:r w:rsidR="008657BF">
        <w:rPr>
          <w:rFonts w:ascii="Times New Roman" w:hAnsi="Times New Roman" w:cs="Times New Roman"/>
          <w:b w:val="0"/>
          <w:sz w:val="24"/>
          <w:szCs w:val="24"/>
          <w:lang w:eastAsia="pl-PL"/>
        </w:rPr>
        <w:t>0</w:t>
      </w:r>
      <w:r w:rsidR="00AD5360">
        <w:rPr>
          <w:rFonts w:ascii="Times New Roman" w:hAnsi="Times New Roman" w:cs="Times New Roman"/>
          <w:b w:val="0"/>
          <w:sz w:val="24"/>
          <w:szCs w:val="24"/>
          <w:lang w:eastAsia="pl-PL"/>
        </w:rPr>
        <w:t>3</w:t>
      </w:r>
      <w:r w:rsidR="008657BF"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sierpnia</w:t>
      </w:r>
      <w:r w:rsidR="00FC2395" w:rsidRPr="005112D6"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2018</w:t>
      </w:r>
      <w:r w:rsidR="005A3573"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r.</w:t>
      </w:r>
      <w:r w:rsidR="00F37889" w:rsidRPr="005112D6">
        <w:rPr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E7578E" w:rsidRDefault="00E7578E" w:rsidP="005112D6">
      <w:pPr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2482E" w:rsidRPr="005112D6" w:rsidRDefault="00D2482E" w:rsidP="005112D6">
      <w:pPr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E7578E" w:rsidRPr="005112D6" w:rsidRDefault="00E7578E" w:rsidP="005112D6">
      <w:pPr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2482E" w:rsidRPr="003E34B9" w:rsidRDefault="00D2482E" w:rsidP="00D2482E">
      <w:pPr>
        <w:jc w:val="center"/>
        <w:rPr>
          <w:b/>
        </w:rPr>
      </w:pPr>
      <w:r w:rsidRPr="003E34B9">
        <w:rPr>
          <w:b/>
        </w:rPr>
        <w:t xml:space="preserve">Pożyczka </w:t>
      </w:r>
      <w:r w:rsidR="00FF7AF1">
        <w:rPr>
          <w:b/>
        </w:rPr>
        <w:t>W</w:t>
      </w:r>
      <w:r w:rsidRPr="003E34B9">
        <w:rPr>
          <w:b/>
        </w:rPr>
        <w:t xml:space="preserve">ynajmowana </w:t>
      </w:r>
      <w:r>
        <w:rPr>
          <w:b/>
        </w:rPr>
        <w:t xml:space="preserve">ponownie w ofercie </w:t>
      </w:r>
      <w:r w:rsidR="008E012D">
        <w:rPr>
          <w:b/>
        </w:rPr>
        <w:t xml:space="preserve">produktowej </w:t>
      </w:r>
      <w:proofErr w:type="spellStart"/>
      <w:r>
        <w:rPr>
          <w:b/>
        </w:rPr>
        <w:t>Providenta</w:t>
      </w:r>
      <w:proofErr w:type="spellEnd"/>
    </w:p>
    <w:p w:rsidR="00D4276D" w:rsidRPr="005112D6" w:rsidRDefault="00D4276D" w:rsidP="005112D6">
      <w:pPr>
        <w:spacing w:line="276" w:lineRule="auto"/>
        <w:rPr>
          <w:rFonts w:cs="Times New Roman"/>
          <w:b/>
        </w:rPr>
      </w:pPr>
    </w:p>
    <w:p w:rsidR="00D2482E" w:rsidRPr="005D49C5" w:rsidRDefault="00D2482E" w:rsidP="00D2482E">
      <w:pPr>
        <w:jc w:val="both"/>
        <w:rPr>
          <w:b/>
        </w:rPr>
      </w:pPr>
      <w:r w:rsidRPr="005D49C5">
        <w:rPr>
          <w:b/>
        </w:rPr>
        <w:t xml:space="preserve">Pieniądze dostajemy od razu, kapitał oddajemy dopiero przy piątej racie, co miesiąc płacąc </w:t>
      </w:r>
      <w:r w:rsidRPr="005D49C5">
        <w:rPr>
          <w:b/>
          <w:bCs/>
        </w:rPr>
        <w:t>jedynie niewielkie koszty ich „wynajęcia” – to założenia specjalnej oferty produktowej od Prov</w:t>
      </w:r>
      <w:r w:rsidR="00FF7AF1">
        <w:rPr>
          <w:b/>
          <w:bCs/>
        </w:rPr>
        <w:t>i</w:t>
      </w:r>
      <w:r w:rsidRPr="005D49C5">
        <w:rPr>
          <w:b/>
          <w:bCs/>
        </w:rPr>
        <w:t xml:space="preserve">denta. </w:t>
      </w:r>
    </w:p>
    <w:p w:rsidR="0052164E" w:rsidRPr="005112D6" w:rsidRDefault="0052164E" w:rsidP="005112D6">
      <w:pPr>
        <w:spacing w:line="276" w:lineRule="auto"/>
        <w:jc w:val="both"/>
        <w:rPr>
          <w:rFonts w:cs="Times New Roman"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</w:rPr>
      </w:pPr>
      <w:r w:rsidRPr="00D2482E">
        <w:rPr>
          <w:rFonts w:cs="Times New Roman"/>
        </w:rPr>
        <w:t xml:space="preserve">Największa firma pożyczkowa w Polsce powraca z ofertą Pożyczki </w:t>
      </w:r>
      <w:r w:rsidR="00FF7AF1">
        <w:rPr>
          <w:rFonts w:cs="Times New Roman"/>
        </w:rPr>
        <w:t>W</w:t>
      </w:r>
      <w:r w:rsidRPr="00D2482E">
        <w:rPr>
          <w:rFonts w:cs="Times New Roman"/>
        </w:rPr>
        <w:t xml:space="preserve">ynajmowanej. Nazwa </w:t>
      </w:r>
      <w:r w:rsidR="00957404">
        <w:rPr>
          <w:rFonts w:cs="Times New Roman"/>
        </w:rPr>
        <w:t>jest tej pożyczki jest istotna</w:t>
      </w:r>
      <w:r w:rsidRPr="00D2482E">
        <w:rPr>
          <w:rFonts w:cs="Times New Roman"/>
        </w:rPr>
        <w:t xml:space="preserve">, gdyż oferta opiera się na mechanizmie podobnym </w:t>
      </w:r>
      <w:r w:rsidR="00733C37">
        <w:rPr>
          <w:rFonts w:cs="Times New Roman"/>
        </w:rPr>
        <w:t>do</w:t>
      </w:r>
      <w:r w:rsidR="00733C37" w:rsidRPr="00D2482E">
        <w:rPr>
          <w:rFonts w:cs="Times New Roman"/>
        </w:rPr>
        <w:t xml:space="preserve"> </w:t>
      </w:r>
      <w:r w:rsidRPr="00D2482E">
        <w:rPr>
          <w:rFonts w:cs="Times New Roman"/>
        </w:rPr>
        <w:t xml:space="preserve">wynajmowania produktu. Jak </w:t>
      </w:r>
      <w:r w:rsidR="005F4C50">
        <w:rPr>
          <w:rFonts w:cs="Times New Roman"/>
        </w:rPr>
        <w:t xml:space="preserve">to </w:t>
      </w:r>
      <w:r w:rsidRPr="00D2482E">
        <w:rPr>
          <w:rFonts w:cs="Times New Roman"/>
        </w:rPr>
        <w:t>działa</w:t>
      </w:r>
      <w:r w:rsidR="005F4C50">
        <w:rPr>
          <w:rFonts w:cs="Times New Roman"/>
        </w:rPr>
        <w:t xml:space="preserve"> w przypadku pożyczki</w:t>
      </w:r>
      <w:r w:rsidRPr="00D2482E">
        <w:rPr>
          <w:rFonts w:cs="Times New Roman"/>
        </w:rPr>
        <w:t xml:space="preserve">? 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iCs/>
        </w:rPr>
      </w:pPr>
      <w:r w:rsidRPr="00D2482E">
        <w:rPr>
          <w:rFonts w:cs="Times New Roman"/>
          <w:iCs/>
        </w:rPr>
        <w:t>Klient korzysta z produktu od razu i ponosi koszty jego wynajmu, zaś pożyczony przedmiot - w tym wypadku pieniądze - zwraca w całości na koniec umowy.</w:t>
      </w:r>
      <w:r w:rsidR="00607539">
        <w:rPr>
          <w:rFonts w:cs="Times New Roman"/>
          <w:iCs/>
        </w:rPr>
        <w:t xml:space="preserve"> </w:t>
      </w:r>
      <w:r w:rsidR="00B1463F">
        <w:rPr>
          <w:rFonts w:cs="Times New Roman"/>
          <w:iCs/>
        </w:rPr>
        <w:t>Przykładowo</w:t>
      </w:r>
      <w:r w:rsidRPr="00D2482E">
        <w:rPr>
          <w:rFonts w:cs="Times New Roman"/>
          <w:iCs/>
        </w:rPr>
        <w:t xml:space="preserve">, pożyczenie 1000 zł będzie kosztowało </w:t>
      </w:r>
      <w:r w:rsidR="00957404">
        <w:rPr>
          <w:rFonts w:cs="Times New Roman"/>
          <w:iCs/>
        </w:rPr>
        <w:t>50</w:t>
      </w:r>
      <w:r w:rsidR="00957404" w:rsidRPr="00D2482E">
        <w:rPr>
          <w:rFonts w:cs="Times New Roman"/>
          <w:iCs/>
        </w:rPr>
        <w:t xml:space="preserve"> </w:t>
      </w:r>
      <w:r w:rsidRPr="00D2482E">
        <w:rPr>
          <w:rFonts w:cs="Times New Roman"/>
          <w:iCs/>
        </w:rPr>
        <w:t>zł miesię</w:t>
      </w:r>
      <w:r w:rsidR="00957404">
        <w:rPr>
          <w:rFonts w:cs="Times New Roman"/>
          <w:iCs/>
        </w:rPr>
        <w:t>cznie</w:t>
      </w:r>
      <w:r w:rsidRPr="00D2482E">
        <w:rPr>
          <w:rFonts w:cs="Times New Roman"/>
          <w:iCs/>
        </w:rPr>
        <w:t xml:space="preserve">. </w:t>
      </w:r>
      <w:r w:rsidR="00733C37">
        <w:rPr>
          <w:rFonts w:cs="Times New Roman"/>
          <w:iCs/>
        </w:rPr>
        <w:t>Oznacza to, że p</w:t>
      </w:r>
      <w:r w:rsidR="00733C37" w:rsidRPr="00D2482E">
        <w:rPr>
          <w:rFonts w:cs="Times New Roman"/>
          <w:iCs/>
        </w:rPr>
        <w:t xml:space="preserve">rzez </w:t>
      </w:r>
      <w:r w:rsidRPr="00D2482E">
        <w:rPr>
          <w:rFonts w:cs="Times New Roman"/>
          <w:iCs/>
        </w:rPr>
        <w:t xml:space="preserve">pierwsze cztery miesiące klient będzie płacił tylko 50 zł </w:t>
      </w:r>
      <w:r w:rsidR="00957404">
        <w:rPr>
          <w:rFonts w:cs="Times New Roman"/>
          <w:iCs/>
        </w:rPr>
        <w:t>kosztów</w:t>
      </w:r>
      <w:r w:rsidRPr="00D2482E">
        <w:rPr>
          <w:rFonts w:cs="Times New Roman"/>
          <w:iCs/>
        </w:rPr>
        <w:t>, zaś na koniec umowy będzie miał do uregulowania piątą ratę za „wynajem” plus całość pożyczonego kapitału, czyli w tym przypadku 1050 zł.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  <w:iCs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iCs/>
        </w:rPr>
      </w:pPr>
      <w:r w:rsidRPr="00D2482E">
        <w:rPr>
          <w:rFonts w:cs="Times New Roman"/>
          <w:i/>
          <w:iCs/>
        </w:rPr>
        <w:t xml:space="preserve">- Pożyczka </w:t>
      </w:r>
      <w:r w:rsidR="007E7B99">
        <w:rPr>
          <w:rFonts w:cs="Times New Roman"/>
          <w:i/>
          <w:iCs/>
        </w:rPr>
        <w:t>W</w:t>
      </w:r>
      <w:r w:rsidRPr="00D2482E">
        <w:rPr>
          <w:rFonts w:cs="Times New Roman"/>
          <w:i/>
          <w:iCs/>
        </w:rPr>
        <w:t>ynajmowana to oferta produktowa, znana już klientom Providenta. Proponowany przez nas mechanizm „wynajmowania” zyskał spore uznanie wśród pożyczkobiorców, stąd decyzja o ponownym włączeniu go do naszej oferty</w:t>
      </w:r>
      <w:r w:rsidRPr="00D2482E">
        <w:rPr>
          <w:rFonts w:cs="Times New Roman"/>
          <w:iCs/>
        </w:rPr>
        <w:t xml:space="preserve"> – mówi Katarzyna Szerling, dyrektor ds. marketingu i członek zarządu Provident Polska. </w:t>
      </w:r>
      <w:r w:rsidRPr="00D2482E">
        <w:rPr>
          <w:rFonts w:cs="Times New Roman"/>
          <w:i/>
          <w:iCs/>
        </w:rPr>
        <w:t>– Warto podkreślić, że jest to bardzo atrakcyjny produkt, gdyż całkowite koszty „wynajęcia” pożyczki wynoszą tylko 25 proc.</w:t>
      </w:r>
      <w:r w:rsidR="008657BF">
        <w:rPr>
          <w:rFonts w:cs="Times New Roman"/>
          <w:i/>
          <w:iCs/>
        </w:rPr>
        <w:t xml:space="preserve"> </w:t>
      </w:r>
      <w:r w:rsidRPr="00D2482E">
        <w:rPr>
          <w:rFonts w:cs="Times New Roman"/>
          <w:iCs/>
        </w:rPr>
        <w:t>- dodaje Katarzyna Szerling</w:t>
      </w:r>
      <w:r>
        <w:rPr>
          <w:rFonts w:cs="Times New Roman"/>
          <w:iCs/>
        </w:rPr>
        <w:t>.</w:t>
      </w:r>
      <w:r w:rsidRPr="00D2482E">
        <w:rPr>
          <w:rFonts w:cs="Times New Roman"/>
          <w:iCs/>
        </w:rPr>
        <w:t xml:space="preserve"> 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</w:rPr>
      </w:pPr>
      <w:r w:rsidRPr="00D2482E">
        <w:rPr>
          <w:rFonts w:cs="Times New Roman"/>
        </w:rPr>
        <w:t xml:space="preserve">Wybierając Pożyczkę </w:t>
      </w:r>
      <w:r w:rsidR="007E7B99">
        <w:rPr>
          <w:rFonts w:cs="Times New Roman"/>
        </w:rPr>
        <w:t>W</w:t>
      </w:r>
      <w:r w:rsidRPr="00D2482E">
        <w:rPr>
          <w:rFonts w:cs="Times New Roman"/>
        </w:rPr>
        <w:t>ynajmowaną, klie</w:t>
      </w:r>
      <w:r w:rsidR="00664467">
        <w:rPr>
          <w:rFonts w:cs="Times New Roman"/>
        </w:rPr>
        <w:t>nci mają do dyspozycji kwoty od</w:t>
      </w:r>
      <w:r w:rsidRPr="00D2482E">
        <w:rPr>
          <w:rFonts w:cs="Times New Roman"/>
        </w:rPr>
        <w:t xml:space="preserve"> 500 zł do 4000 zł z okresem spłaty wynoszącym 5 miesięcy. Oferta skierowana jest do nowych klientów, a warunkiem udzielenia pożyczki jest pozytywny wynik oceny zdolności kredytowej konsumenta. Pożyczka Wynajmowana </w:t>
      </w:r>
      <w:r w:rsidR="00A54D0F">
        <w:rPr>
          <w:rFonts w:cs="Times New Roman"/>
        </w:rPr>
        <w:t>jest</w:t>
      </w:r>
      <w:r w:rsidRPr="00D2482E">
        <w:rPr>
          <w:rFonts w:cs="Times New Roman"/>
        </w:rPr>
        <w:t xml:space="preserve"> dostępna </w:t>
      </w:r>
      <w:r w:rsidR="00466DB1">
        <w:rPr>
          <w:rFonts w:cs="Times New Roman"/>
        </w:rPr>
        <w:t xml:space="preserve">w ofercie </w:t>
      </w:r>
      <w:proofErr w:type="spellStart"/>
      <w:r w:rsidR="00466DB1">
        <w:rPr>
          <w:rFonts w:cs="Times New Roman"/>
        </w:rPr>
        <w:t>Providenta</w:t>
      </w:r>
      <w:proofErr w:type="spellEnd"/>
      <w:r w:rsidR="008657BF" w:rsidRPr="00D2482E">
        <w:rPr>
          <w:rFonts w:cs="Times New Roman"/>
        </w:rPr>
        <w:t xml:space="preserve"> </w:t>
      </w:r>
      <w:r w:rsidRPr="00D2482E">
        <w:rPr>
          <w:rFonts w:cs="Times New Roman"/>
        </w:rPr>
        <w:t xml:space="preserve">od 18 lipca. 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  <w:r w:rsidRPr="00D2482E">
        <w:rPr>
          <w:rFonts w:cs="Times New Roman"/>
        </w:rPr>
        <w:t xml:space="preserve">Promocja </w:t>
      </w:r>
      <w:r w:rsidR="00733C37">
        <w:rPr>
          <w:rFonts w:cs="Times New Roman"/>
        </w:rPr>
        <w:t>jest</w:t>
      </w:r>
      <w:r w:rsidR="00733C37" w:rsidRPr="00A711C7">
        <w:rPr>
          <w:rFonts w:cs="Times New Roman"/>
        </w:rPr>
        <w:t xml:space="preserve"> </w:t>
      </w:r>
      <w:r w:rsidR="00A711C7" w:rsidRPr="00A711C7">
        <w:rPr>
          <w:rFonts w:cs="Times New Roman"/>
        </w:rPr>
        <w:t xml:space="preserve">wspierana kampanią reklamową w stacjach telewizyjnych i </w:t>
      </w:r>
      <w:proofErr w:type="spellStart"/>
      <w:r w:rsidR="00A711C7" w:rsidRPr="00A711C7">
        <w:rPr>
          <w:rFonts w:cs="Times New Roman"/>
        </w:rPr>
        <w:t>internecie</w:t>
      </w:r>
      <w:proofErr w:type="spellEnd"/>
      <w:r w:rsidRPr="00D2482E">
        <w:rPr>
          <w:rFonts w:cs="Times New Roman"/>
        </w:rPr>
        <w:t xml:space="preserve">. Za przygotowanie kampanii odpowiada agencja </w:t>
      </w:r>
      <w:proofErr w:type="spellStart"/>
      <w:r w:rsidRPr="00D2482E">
        <w:rPr>
          <w:rFonts w:cs="Times New Roman"/>
        </w:rPr>
        <w:t>Isobar</w:t>
      </w:r>
      <w:proofErr w:type="spellEnd"/>
      <w:r w:rsidRPr="00D2482E">
        <w:rPr>
          <w:rFonts w:cs="Times New Roman"/>
        </w:rPr>
        <w:t xml:space="preserve">, należąca do grupy </w:t>
      </w:r>
      <w:proofErr w:type="spellStart"/>
      <w:r w:rsidRPr="00D2482E">
        <w:rPr>
          <w:rFonts w:cs="Times New Roman"/>
        </w:rPr>
        <w:t>Dentsu</w:t>
      </w:r>
      <w:proofErr w:type="spellEnd"/>
      <w:r w:rsidRPr="00D2482E">
        <w:rPr>
          <w:rFonts w:cs="Times New Roman"/>
        </w:rPr>
        <w:t xml:space="preserve"> </w:t>
      </w:r>
      <w:proofErr w:type="spellStart"/>
      <w:r w:rsidRPr="00D2482E">
        <w:rPr>
          <w:rFonts w:cs="Times New Roman"/>
        </w:rPr>
        <w:t>Aegis</w:t>
      </w:r>
      <w:proofErr w:type="spellEnd"/>
      <w:r w:rsidRPr="00D2482E">
        <w:rPr>
          <w:rFonts w:cs="Times New Roman"/>
        </w:rPr>
        <w:t xml:space="preserve"> Network Polska. Media zostały zakupione przez dom </w:t>
      </w:r>
      <w:proofErr w:type="spellStart"/>
      <w:r w:rsidRPr="00D2482E">
        <w:rPr>
          <w:rFonts w:cs="Times New Roman"/>
        </w:rPr>
        <w:t>mediowy</w:t>
      </w:r>
      <w:proofErr w:type="spellEnd"/>
      <w:r w:rsidRPr="00D2482E">
        <w:rPr>
          <w:rFonts w:cs="Times New Roman"/>
        </w:rPr>
        <w:t xml:space="preserve"> OMD. 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D2482E" w:rsidRDefault="00D2482E" w:rsidP="00D2482E">
      <w:pPr>
        <w:spacing w:line="276" w:lineRule="auto"/>
        <w:jc w:val="both"/>
        <w:rPr>
          <w:rFonts w:cs="Times New Roman"/>
          <w:b/>
          <w:bCs/>
        </w:rPr>
      </w:pPr>
      <w:r w:rsidRPr="00D2482E">
        <w:rPr>
          <w:rFonts w:cs="Times New Roman"/>
          <w:b/>
          <w:bCs/>
        </w:rPr>
        <w:lastRenderedPageBreak/>
        <w:t>Informacja prawna dotycząca Pożyczki Wynajmowanej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iCs/>
        </w:rPr>
      </w:pPr>
      <w:r w:rsidRPr="00D2482E">
        <w:rPr>
          <w:rFonts w:cs="Times New Roman"/>
          <w:iCs/>
        </w:rPr>
        <w:t>Oferta produktowa „Pożyczka Wynajmowana” obowiązuje od 18.07.2018 r. i dotyczy pożyczki w opcji na Konto/ w Gotówce spłacanej w pięciu miesięcznych ratach, w której spłata pożyczonej kwoty następuje w ostatniej, piątej racie. Z oferty „Pożyczka Wynajmowana” mogą skorzystać wyłącznie nowi klienci. Warunkiem udzielenia pożyczki jest pozytywny wynik oceny zdolności kredytowej konsumenta.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  <w:iCs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iCs/>
        </w:rPr>
      </w:pPr>
      <w:r w:rsidRPr="00D2482E">
        <w:rPr>
          <w:rFonts w:cs="Times New Roman"/>
          <w:iCs/>
        </w:rPr>
        <w:t>Rzeczywista Roczna Stopa Oprocentowania (RRSO) wynosi 79,6%; całkowita kwota kredytu (bez kredytowanych kosztów) – 1000 zł; całkowita kwota do zapłaty – 1250 zł; oprocentowanie stałe – 0%; całkowity koszt kredytu – 250 zł (w tym: prowizja – 210 zł; opłata przygotowawcza – 40 zł; odsetki – 0 zł); 5 miesięcznych rat: 4 pierwsze miesięczne równe raty w wysokości 50 zł, ostatnia, 5. miesięczna rata w wysokości 1050 zł. Kalkulacja została dokonana na dzień 18.07.2018 r. na reprezentatywnym przykładzie Pożyczki Wynajmowanej.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  <w:iCs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b/>
          <w:bCs/>
          <w:iCs/>
        </w:rPr>
      </w:pPr>
      <w:r w:rsidRPr="00D2482E">
        <w:rPr>
          <w:rFonts w:cs="Times New Roman"/>
          <w:b/>
          <w:bCs/>
          <w:iCs/>
        </w:rPr>
        <w:t>Podstawowe informacje o Provident Polska SA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  <w:iCs/>
        </w:rPr>
      </w:pPr>
    </w:p>
    <w:p w:rsidR="00D2482E" w:rsidRDefault="00D2482E" w:rsidP="00D2482E">
      <w:pPr>
        <w:spacing w:line="276" w:lineRule="auto"/>
        <w:jc w:val="both"/>
        <w:rPr>
          <w:rFonts w:cs="Times New Roman"/>
          <w:iCs/>
        </w:rPr>
      </w:pPr>
      <w:r w:rsidRPr="00D2482E">
        <w:rPr>
          <w:rFonts w:cs="Times New Roman"/>
          <w:iCs/>
        </w:rPr>
        <w:t xml:space="preserve">Provident Polska SA jest częścią grupy finansowej International Personal Finance (IPF) notowanej na Londyńskiej Giełdzie Papierów Wartościowych, a także – w ramach notowań równoległych – na Giełdzie Papierów Wartościowych w Warszawie. IPF działa w 11 krajach na całym świecie i planuje rozwój na kolejnych rynkach. W Polsce Provident działa od 1997 roku i jest największą firmą na rynku </w:t>
      </w:r>
      <w:proofErr w:type="spellStart"/>
      <w:r w:rsidRPr="00D2482E">
        <w:rPr>
          <w:rFonts w:cs="Times New Roman"/>
          <w:iCs/>
        </w:rPr>
        <w:t>pozabankowych</w:t>
      </w:r>
      <w:proofErr w:type="spellEnd"/>
      <w:r w:rsidRPr="00D2482E">
        <w:rPr>
          <w:rFonts w:cs="Times New Roman"/>
          <w:iCs/>
        </w:rPr>
        <w:t xml:space="preserve"> pożyczek gotówkowych. Prezesem zarządu jest Agnieszka Kłos. Provident Polska jest firmą </w:t>
      </w:r>
      <w:proofErr w:type="spellStart"/>
      <w:r w:rsidRPr="00D2482E">
        <w:rPr>
          <w:rFonts w:cs="Times New Roman"/>
          <w:iCs/>
        </w:rPr>
        <w:t>multikanałową</w:t>
      </w:r>
      <w:proofErr w:type="spellEnd"/>
      <w:r w:rsidRPr="00D2482E">
        <w:rPr>
          <w:rFonts w:cs="Times New Roman"/>
          <w:iCs/>
        </w:rPr>
        <w:t xml:space="preserve"> i </w:t>
      </w:r>
      <w:proofErr w:type="spellStart"/>
      <w:r w:rsidRPr="00D2482E">
        <w:rPr>
          <w:rFonts w:cs="Times New Roman"/>
          <w:iCs/>
        </w:rPr>
        <w:t>multiproduktową</w:t>
      </w:r>
      <w:proofErr w:type="spellEnd"/>
      <w:r w:rsidRPr="00D2482E">
        <w:rPr>
          <w:rFonts w:cs="Times New Roman"/>
          <w:iCs/>
        </w:rPr>
        <w:t xml:space="preserve"> - dociera do wszystkich grup klientów, i oferuje szereg produktów: pożyczkę konsumencką (online, z obsługą domową lub samodzielną spłatą), pożyczkę konsolidacyjną, a także pożyczkę dla firm.</w:t>
      </w:r>
    </w:p>
    <w:p w:rsidR="00D2482E" w:rsidRPr="00D2482E" w:rsidRDefault="00D2482E" w:rsidP="00D2482E">
      <w:pPr>
        <w:spacing w:line="276" w:lineRule="auto"/>
        <w:jc w:val="both"/>
        <w:rPr>
          <w:rFonts w:cs="Times New Roman"/>
          <w:iCs/>
        </w:rPr>
      </w:pPr>
    </w:p>
    <w:p w:rsidR="00D41FAD" w:rsidRPr="004E26A2" w:rsidRDefault="00D2482E" w:rsidP="00D2482E">
      <w:pPr>
        <w:spacing w:line="276" w:lineRule="auto"/>
        <w:jc w:val="both"/>
        <w:rPr>
          <w:iCs/>
          <w:sz w:val="20"/>
          <w:szCs w:val="20"/>
        </w:rPr>
      </w:pPr>
      <w:r w:rsidRPr="00D2482E">
        <w:rPr>
          <w:rFonts w:cs="Times New Roman"/>
          <w:iCs/>
        </w:rPr>
        <w:t xml:space="preserve">Jednym z filarów strategii biznesowej </w:t>
      </w:r>
      <w:proofErr w:type="spellStart"/>
      <w:r w:rsidRPr="00D2482E">
        <w:rPr>
          <w:rFonts w:cs="Times New Roman"/>
          <w:iCs/>
        </w:rPr>
        <w:t>Providenta</w:t>
      </w:r>
      <w:proofErr w:type="spellEnd"/>
      <w:r w:rsidRPr="00D2482E">
        <w:rPr>
          <w:rFonts w:cs="Times New Roman"/>
          <w:iCs/>
        </w:rPr>
        <w:t xml:space="preserve"> jest </w:t>
      </w:r>
      <w:proofErr w:type="spellStart"/>
      <w:r w:rsidRPr="00D2482E">
        <w:rPr>
          <w:rFonts w:cs="Times New Roman"/>
          <w:iCs/>
        </w:rPr>
        <w:t>responsible</w:t>
      </w:r>
      <w:proofErr w:type="spellEnd"/>
      <w:r w:rsidRPr="00D2482E">
        <w:rPr>
          <w:rFonts w:cs="Times New Roman"/>
          <w:iCs/>
        </w:rPr>
        <w:t xml:space="preserve"> </w:t>
      </w:r>
      <w:proofErr w:type="spellStart"/>
      <w:r w:rsidRPr="00D2482E">
        <w:rPr>
          <w:rFonts w:cs="Times New Roman"/>
          <w:iCs/>
        </w:rPr>
        <w:t>lending</w:t>
      </w:r>
      <w:proofErr w:type="spellEnd"/>
      <w:r w:rsidRPr="00D2482E">
        <w:rPr>
          <w:rFonts w:cs="Times New Roman"/>
          <w:iCs/>
        </w:rPr>
        <w:t xml:space="preserve">, czyli odpowiedzialne pożyczanie. W 2014 roku Provident zaprezentował pierwszy raport społeczny na rynku pożyczkowym, w którym podsumowane zostały działania firmy w latach 2012-2013 oraz przedstawił strategię działań na kolejne lata. W 2015, 2016 i 2018 roku Provident otrzymał nagrodę Etyczna Firma przyznawaną przez dziennik „Puls Biznesu”. W 2015 roku Provident, będąc jednym z największych reklamodawców sektora finansowego, został sygnatariuszem Rady Reklamy. Firma sześciokrotnie została wyróżniona certyfikatem Top </w:t>
      </w:r>
      <w:proofErr w:type="spellStart"/>
      <w:r w:rsidRPr="00D2482E">
        <w:rPr>
          <w:rFonts w:cs="Times New Roman"/>
          <w:iCs/>
        </w:rPr>
        <w:t>Employer</w:t>
      </w:r>
      <w:proofErr w:type="spellEnd"/>
      <w:r w:rsidRPr="00D2482E">
        <w:rPr>
          <w:rFonts w:cs="Times New Roman"/>
          <w:iCs/>
        </w:rPr>
        <w:t xml:space="preserve"> (w latach 2013-2018).</w:t>
      </w:r>
    </w:p>
    <w:sectPr w:rsidR="00D41FAD" w:rsidRPr="004E26A2">
      <w:headerReference w:type="default" r:id="rId9"/>
      <w:footerReference w:type="default" r:id="rId10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6F" w:rsidRDefault="0074466F">
      <w:r>
        <w:separator/>
      </w:r>
    </w:p>
  </w:endnote>
  <w:endnote w:type="continuationSeparator" w:id="0">
    <w:p w:rsidR="0074466F" w:rsidRDefault="0074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6731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1FAD" w:rsidRDefault="00D41FAD">
    <w:pPr>
      <w:pStyle w:val="Stopka"/>
    </w:pPr>
  </w:p>
  <w:p w:rsidR="00D41FAD" w:rsidRDefault="00D41FAD">
    <w:pPr>
      <w:pStyle w:val="Stopka"/>
    </w:pPr>
  </w:p>
  <w:p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6F" w:rsidRDefault="0074466F">
      <w:r>
        <w:separator/>
      </w:r>
    </w:p>
  </w:footnote>
  <w:footnote w:type="continuationSeparator" w:id="0">
    <w:p w:rsidR="0074466F" w:rsidRDefault="0074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AD" w:rsidRDefault="00F37889">
    <w:pPr>
      <w:pStyle w:val="Nagwek"/>
    </w:pPr>
    <w:r>
      <w:rPr>
        <w:noProof/>
        <w:lang w:eastAsia="pl-PL" w:bidi="ar-SA"/>
      </w:rPr>
      <w:drawing>
        <wp:inline distT="0" distB="0" distL="0" distR="0">
          <wp:extent cx="6011177" cy="701101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177" cy="70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FAD" w:rsidRDefault="00D41FAD">
    <w:pPr>
      <w:pStyle w:val="Nagwek"/>
    </w:pPr>
  </w:p>
  <w:p w:rsidR="00D41FAD" w:rsidRDefault="00D41FAD">
    <w:pPr>
      <w:pStyle w:val="Nagwek"/>
    </w:pPr>
  </w:p>
  <w:p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AD"/>
    <w:rsid w:val="00001CD0"/>
    <w:rsid w:val="00013FA3"/>
    <w:rsid w:val="00021505"/>
    <w:rsid w:val="0002250C"/>
    <w:rsid w:val="00026370"/>
    <w:rsid w:val="00033119"/>
    <w:rsid w:val="000458D0"/>
    <w:rsid w:val="00051090"/>
    <w:rsid w:val="000622DF"/>
    <w:rsid w:val="00063B4F"/>
    <w:rsid w:val="00064B0B"/>
    <w:rsid w:val="000668EF"/>
    <w:rsid w:val="00066AA3"/>
    <w:rsid w:val="00070199"/>
    <w:rsid w:val="00071C80"/>
    <w:rsid w:val="0008541F"/>
    <w:rsid w:val="000A2F6F"/>
    <w:rsid w:val="000A42E4"/>
    <w:rsid w:val="000B2046"/>
    <w:rsid w:val="000B55C0"/>
    <w:rsid w:val="000C4BB7"/>
    <w:rsid w:val="000C6241"/>
    <w:rsid w:val="000D3911"/>
    <w:rsid w:val="000E60AC"/>
    <w:rsid w:val="000F1E84"/>
    <w:rsid w:val="000F38D1"/>
    <w:rsid w:val="001054FB"/>
    <w:rsid w:val="00105E87"/>
    <w:rsid w:val="00113583"/>
    <w:rsid w:val="001234FE"/>
    <w:rsid w:val="00132204"/>
    <w:rsid w:val="00133220"/>
    <w:rsid w:val="00133ED7"/>
    <w:rsid w:val="00136600"/>
    <w:rsid w:val="00137181"/>
    <w:rsid w:val="0015283A"/>
    <w:rsid w:val="001676E1"/>
    <w:rsid w:val="00185C3A"/>
    <w:rsid w:val="001875D8"/>
    <w:rsid w:val="00192AB4"/>
    <w:rsid w:val="001935C8"/>
    <w:rsid w:val="00195D31"/>
    <w:rsid w:val="00196E4D"/>
    <w:rsid w:val="001A3836"/>
    <w:rsid w:val="001A45B5"/>
    <w:rsid w:val="001B41EC"/>
    <w:rsid w:val="001C117A"/>
    <w:rsid w:val="001C61CF"/>
    <w:rsid w:val="001C76B1"/>
    <w:rsid w:val="001C7FF2"/>
    <w:rsid w:val="001D44B8"/>
    <w:rsid w:val="001D51A5"/>
    <w:rsid w:val="001E0E04"/>
    <w:rsid w:val="001E6A63"/>
    <w:rsid w:val="001F3DA1"/>
    <w:rsid w:val="001F51B6"/>
    <w:rsid w:val="001F623C"/>
    <w:rsid w:val="00205559"/>
    <w:rsid w:val="00206BBA"/>
    <w:rsid w:val="00207E8B"/>
    <w:rsid w:val="00210449"/>
    <w:rsid w:val="002224A8"/>
    <w:rsid w:val="00232D58"/>
    <w:rsid w:val="00244D52"/>
    <w:rsid w:val="00253026"/>
    <w:rsid w:val="00254250"/>
    <w:rsid w:val="002558AF"/>
    <w:rsid w:val="002626E0"/>
    <w:rsid w:val="00263EFF"/>
    <w:rsid w:val="00264749"/>
    <w:rsid w:val="00266F22"/>
    <w:rsid w:val="00275B5F"/>
    <w:rsid w:val="00281612"/>
    <w:rsid w:val="00281CB1"/>
    <w:rsid w:val="002908A4"/>
    <w:rsid w:val="002A49E2"/>
    <w:rsid w:val="002A5550"/>
    <w:rsid w:val="002B5D25"/>
    <w:rsid w:val="002C5E04"/>
    <w:rsid w:val="002E5278"/>
    <w:rsid w:val="002F0F63"/>
    <w:rsid w:val="002F10D1"/>
    <w:rsid w:val="002F364B"/>
    <w:rsid w:val="00301369"/>
    <w:rsid w:val="00304181"/>
    <w:rsid w:val="00305847"/>
    <w:rsid w:val="00305F74"/>
    <w:rsid w:val="00311ABC"/>
    <w:rsid w:val="00315D1E"/>
    <w:rsid w:val="00317720"/>
    <w:rsid w:val="00332942"/>
    <w:rsid w:val="00340741"/>
    <w:rsid w:val="00342C45"/>
    <w:rsid w:val="003436B3"/>
    <w:rsid w:val="00347276"/>
    <w:rsid w:val="0035038E"/>
    <w:rsid w:val="0035128F"/>
    <w:rsid w:val="003627C8"/>
    <w:rsid w:val="0036378F"/>
    <w:rsid w:val="00370CEB"/>
    <w:rsid w:val="003775BA"/>
    <w:rsid w:val="00382EA3"/>
    <w:rsid w:val="003A636E"/>
    <w:rsid w:val="003C13EC"/>
    <w:rsid w:val="003C1DE8"/>
    <w:rsid w:val="003C2F58"/>
    <w:rsid w:val="003C420E"/>
    <w:rsid w:val="003C6D71"/>
    <w:rsid w:val="003C71BD"/>
    <w:rsid w:val="003D0F32"/>
    <w:rsid w:val="003D2B2C"/>
    <w:rsid w:val="003E23D1"/>
    <w:rsid w:val="003F0874"/>
    <w:rsid w:val="003F4BC5"/>
    <w:rsid w:val="00400193"/>
    <w:rsid w:val="00405ED1"/>
    <w:rsid w:val="0041576C"/>
    <w:rsid w:val="0042005E"/>
    <w:rsid w:val="0042075F"/>
    <w:rsid w:val="00420EBC"/>
    <w:rsid w:val="0042643C"/>
    <w:rsid w:val="00431457"/>
    <w:rsid w:val="00435A6F"/>
    <w:rsid w:val="00436C6A"/>
    <w:rsid w:val="004425A8"/>
    <w:rsid w:val="00445D4F"/>
    <w:rsid w:val="00452EA8"/>
    <w:rsid w:val="00453791"/>
    <w:rsid w:val="004573BA"/>
    <w:rsid w:val="0046287F"/>
    <w:rsid w:val="00466DB1"/>
    <w:rsid w:val="00475BEF"/>
    <w:rsid w:val="00485FB5"/>
    <w:rsid w:val="00487C53"/>
    <w:rsid w:val="00491159"/>
    <w:rsid w:val="00491E9C"/>
    <w:rsid w:val="00492CAE"/>
    <w:rsid w:val="004939BB"/>
    <w:rsid w:val="004A1DD4"/>
    <w:rsid w:val="004A6B1D"/>
    <w:rsid w:val="004B14B5"/>
    <w:rsid w:val="004C228A"/>
    <w:rsid w:val="004C6A71"/>
    <w:rsid w:val="004C7B06"/>
    <w:rsid w:val="004D3C96"/>
    <w:rsid w:val="004E1BCA"/>
    <w:rsid w:val="004E23F7"/>
    <w:rsid w:val="004E26A2"/>
    <w:rsid w:val="004E323E"/>
    <w:rsid w:val="004E6F68"/>
    <w:rsid w:val="004F1AD6"/>
    <w:rsid w:val="00500701"/>
    <w:rsid w:val="00501AAE"/>
    <w:rsid w:val="005112D6"/>
    <w:rsid w:val="0052164E"/>
    <w:rsid w:val="00526676"/>
    <w:rsid w:val="0053477A"/>
    <w:rsid w:val="0054348E"/>
    <w:rsid w:val="005434F8"/>
    <w:rsid w:val="00544DCC"/>
    <w:rsid w:val="005556D3"/>
    <w:rsid w:val="00560992"/>
    <w:rsid w:val="00571BB4"/>
    <w:rsid w:val="00573F38"/>
    <w:rsid w:val="00577E42"/>
    <w:rsid w:val="005836B0"/>
    <w:rsid w:val="00584DCB"/>
    <w:rsid w:val="005A3573"/>
    <w:rsid w:val="005C2737"/>
    <w:rsid w:val="005C3CCA"/>
    <w:rsid w:val="005D085C"/>
    <w:rsid w:val="005D2F31"/>
    <w:rsid w:val="005D3BE4"/>
    <w:rsid w:val="005D635B"/>
    <w:rsid w:val="005E0716"/>
    <w:rsid w:val="005E5859"/>
    <w:rsid w:val="005F0FF8"/>
    <w:rsid w:val="005F12A1"/>
    <w:rsid w:val="005F4C50"/>
    <w:rsid w:val="0060244B"/>
    <w:rsid w:val="006072A4"/>
    <w:rsid w:val="00607539"/>
    <w:rsid w:val="006101F3"/>
    <w:rsid w:val="006119B4"/>
    <w:rsid w:val="0061499A"/>
    <w:rsid w:val="00624503"/>
    <w:rsid w:val="006259FA"/>
    <w:rsid w:val="00627634"/>
    <w:rsid w:val="00634E4C"/>
    <w:rsid w:val="00642671"/>
    <w:rsid w:val="00646941"/>
    <w:rsid w:val="006555D5"/>
    <w:rsid w:val="00660E95"/>
    <w:rsid w:val="00664467"/>
    <w:rsid w:val="00664807"/>
    <w:rsid w:val="006A187D"/>
    <w:rsid w:val="006A69F9"/>
    <w:rsid w:val="006A7257"/>
    <w:rsid w:val="006B1C1A"/>
    <w:rsid w:val="006B311D"/>
    <w:rsid w:val="006B383E"/>
    <w:rsid w:val="006B4777"/>
    <w:rsid w:val="006C1380"/>
    <w:rsid w:val="006C4686"/>
    <w:rsid w:val="006D0410"/>
    <w:rsid w:val="006D2ECA"/>
    <w:rsid w:val="006F0D0F"/>
    <w:rsid w:val="007059B8"/>
    <w:rsid w:val="007229EF"/>
    <w:rsid w:val="00722F81"/>
    <w:rsid w:val="00723780"/>
    <w:rsid w:val="007335E2"/>
    <w:rsid w:val="00733C37"/>
    <w:rsid w:val="00737362"/>
    <w:rsid w:val="00741586"/>
    <w:rsid w:val="0074466F"/>
    <w:rsid w:val="0074470D"/>
    <w:rsid w:val="00756C97"/>
    <w:rsid w:val="00766238"/>
    <w:rsid w:val="00767392"/>
    <w:rsid w:val="00770FB9"/>
    <w:rsid w:val="00773623"/>
    <w:rsid w:val="00777546"/>
    <w:rsid w:val="00787714"/>
    <w:rsid w:val="00787CA6"/>
    <w:rsid w:val="007905D2"/>
    <w:rsid w:val="00792AE1"/>
    <w:rsid w:val="00795FBC"/>
    <w:rsid w:val="007A34DC"/>
    <w:rsid w:val="007D6353"/>
    <w:rsid w:val="007E2ADB"/>
    <w:rsid w:val="007E7A73"/>
    <w:rsid w:val="007E7B99"/>
    <w:rsid w:val="00800AC3"/>
    <w:rsid w:val="00807472"/>
    <w:rsid w:val="00813DC7"/>
    <w:rsid w:val="0082083E"/>
    <w:rsid w:val="00824E5C"/>
    <w:rsid w:val="00837B3A"/>
    <w:rsid w:val="00841D04"/>
    <w:rsid w:val="00846E2A"/>
    <w:rsid w:val="0084703C"/>
    <w:rsid w:val="00847230"/>
    <w:rsid w:val="00852294"/>
    <w:rsid w:val="0085501D"/>
    <w:rsid w:val="008551FF"/>
    <w:rsid w:val="008657BF"/>
    <w:rsid w:val="008721FA"/>
    <w:rsid w:val="00872470"/>
    <w:rsid w:val="008812A7"/>
    <w:rsid w:val="00883BF9"/>
    <w:rsid w:val="00884750"/>
    <w:rsid w:val="00891928"/>
    <w:rsid w:val="0089369C"/>
    <w:rsid w:val="0089430B"/>
    <w:rsid w:val="0089468B"/>
    <w:rsid w:val="008A2E15"/>
    <w:rsid w:val="008A4BF6"/>
    <w:rsid w:val="008A531B"/>
    <w:rsid w:val="008A605A"/>
    <w:rsid w:val="008A6508"/>
    <w:rsid w:val="008A7552"/>
    <w:rsid w:val="008B16E0"/>
    <w:rsid w:val="008B28FA"/>
    <w:rsid w:val="008B4CA1"/>
    <w:rsid w:val="008B4EC7"/>
    <w:rsid w:val="008B6909"/>
    <w:rsid w:val="008C4841"/>
    <w:rsid w:val="008C5435"/>
    <w:rsid w:val="008D06EF"/>
    <w:rsid w:val="008D4232"/>
    <w:rsid w:val="008D5D09"/>
    <w:rsid w:val="008D6EC2"/>
    <w:rsid w:val="008D72FF"/>
    <w:rsid w:val="008D7457"/>
    <w:rsid w:val="008E012D"/>
    <w:rsid w:val="008F3190"/>
    <w:rsid w:val="00903D29"/>
    <w:rsid w:val="009215F9"/>
    <w:rsid w:val="0092327B"/>
    <w:rsid w:val="009232A9"/>
    <w:rsid w:val="0092394E"/>
    <w:rsid w:val="00935D16"/>
    <w:rsid w:val="009411C7"/>
    <w:rsid w:val="00941509"/>
    <w:rsid w:val="00941A79"/>
    <w:rsid w:val="00944103"/>
    <w:rsid w:val="00944D28"/>
    <w:rsid w:val="00945ED4"/>
    <w:rsid w:val="009524B7"/>
    <w:rsid w:val="00957404"/>
    <w:rsid w:val="00961444"/>
    <w:rsid w:val="0097038D"/>
    <w:rsid w:val="009751E2"/>
    <w:rsid w:val="009760DA"/>
    <w:rsid w:val="009772DF"/>
    <w:rsid w:val="009832CC"/>
    <w:rsid w:val="00985C77"/>
    <w:rsid w:val="009B09A7"/>
    <w:rsid w:val="009B21B0"/>
    <w:rsid w:val="009B2DC9"/>
    <w:rsid w:val="009E084D"/>
    <w:rsid w:val="009E19BA"/>
    <w:rsid w:val="009F435C"/>
    <w:rsid w:val="009F4696"/>
    <w:rsid w:val="00A03BE9"/>
    <w:rsid w:val="00A10738"/>
    <w:rsid w:val="00A16E9F"/>
    <w:rsid w:val="00A2240F"/>
    <w:rsid w:val="00A252FF"/>
    <w:rsid w:val="00A2772B"/>
    <w:rsid w:val="00A300F9"/>
    <w:rsid w:val="00A40886"/>
    <w:rsid w:val="00A41AFC"/>
    <w:rsid w:val="00A41F79"/>
    <w:rsid w:val="00A43451"/>
    <w:rsid w:val="00A43BEE"/>
    <w:rsid w:val="00A45A7D"/>
    <w:rsid w:val="00A54AF3"/>
    <w:rsid w:val="00A54D0F"/>
    <w:rsid w:val="00A711C7"/>
    <w:rsid w:val="00A71DD0"/>
    <w:rsid w:val="00A73E5B"/>
    <w:rsid w:val="00A81F99"/>
    <w:rsid w:val="00A835E1"/>
    <w:rsid w:val="00A8392E"/>
    <w:rsid w:val="00A84BB7"/>
    <w:rsid w:val="00A84D7B"/>
    <w:rsid w:val="00A95099"/>
    <w:rsid w:val="00AA14D3"/>
    <w:rsid w:val="00AA17CC"/>
    <w:rsid w:val="00AA284E"/>
    <w:rsid w:val="00AA53C3"/>
    <w:rsid w:val="00AA71C8"/>
    <w:rsid w:val="00AB1C65"/>
    <w:rsid w:val="00AB1FF8"/>
    <w:rsid w:val="00AC0762"/>
    <w:rsid w:val="00AD1675"/>
    <w:rsid w:val="00AD5360"/>
    <w:rsid w:val="00AD7CDD"/>
    <w:rsid w:val="00AD7E26"/>
    <w:rsid w:val="00AE0170"/>
    <w:rsid w:val="00AE108B"/>
    <w:rsid w:val="00AE758F"/>
    <w:rsid w:val="00AE7C54"/>
    <w:rsid w:val="00AF0C3E"/>
    <w:rsid w:val="00B07531"/>
    <w:rsid w:val="00B103BD"/>
    <w:rsid w:val="00B10978"/>
    <w:rsid w:val="00B11D54"/>
    <w:rsid w:val="00B1463F"/>
    <w:rsid w:val="00B15D92"/>
    <w:rsid w:val="00B20BFC"/>
    <w:rsid w:val="00B224B0"/>
    <w:rsid w:val="00B22B1A"/>
    <w:rsid w:val="00B23801"/>
    <w:rsid w:val="00B25CBB"/>
    <w:rsid w:val="00B30E9F"/>
    <w:rsid w:val="00B322E9"/>
    <w:rsid w:val="00B341CD"/>
    <w:rsid w:val="00B4057B"/>
    <w:rsid w:val="00B475EB"/>
    <w:rsid w:val="00B51B96"/>
    <w:rsid w:val="00B5691F"/>
    <w:rsid w:val="00B63127"/>
    <w:rsid w:val="00B64ECB"/>
    <w:rsid w:val="00B849C9"/>
    <w:rsid w:val="00B96964"/>
    <w:rsid w:val="00BA633B"/>
    <w:rsid w:val="00BA7666"/>
    <w:rsid w:val="00BB334C"/>
    <w:rsid w:val="00BB6135"/>
    <w:rsid w:val="00BC3181"/>
    <w:rsid w:val="00BD03B1"/>
    <w:rsid w:val="00BD1B6F"/>
    <w:rsid w:val="00BD4186"/>
    <w:rsid w:val="00C03ADA"/>
    <w:rsid w:val="00C04066"/>
    <w:rsid w:val="00C06322"/>
    <w:rsid w:val="00C33101"/>
    <w:rsid w:val="00C34E4E"/>
    <w:rsid w:val="00C428F7"/>
    <w:rsid w:val="00C47660"/>
    <w:rsid w:val="00C47787"/>
    <w:rsid w:val="00C60604"/>
    <w:rsid w:val="00C655D3"/>
    <w:rsid w:val="00C76C56"/>
    <w:rsid w:val="00C814DA"/>
    <w:rsid w:val="00CA04D3"/>
    <w:rsid w:val="00CA0C98"/>
    <w:rsid w:val="00CA293C"/>
    <w:rsid w:val="00CA7CD2"/>
    <w:rsid w:val="00CB40CF"/>
    <w:rsid w:val="00CB7B0C"/>
    <w:rsid w:val="00CC065F"/>
    <w:rsid w:val="00CC14DD"/>
    <w:rsid w:val="00CC267B"/>
    <w:rsid w:val="00CC429E"/>
    <w:rsid w:val="00CC4A5C"/>
    <w:rsid w:val="00CC5D74"/>
    <w:rsid w:val="00CD226E"/>
    <w:rsid w:val="00CE4D33"/>
    <w:rsid w:val="00CE54F3"/>
    <w:rsid w:val="00CF0F89"/>
    <w:rsid w:val="00CF22AF"/>
    <w:rsid w:val="00CF48EE"/>
    <w:rsid w:val="00D01991"/>
    <w:rsid w:val="00D05A87"/>
    <w:rsid w:val="00D07EC4"/>
    <w:rsid w:val="00D138D0"/>
    <w:rsid w:val="00D142C6"/>
    <w:rsid w:val="00D15E04"/>
    <w:rsid w:val="00D1718A"/>
    <w:rsid w:val="00D20707"/>
    <w:rsid w:val="00D2482E"/>
    <w:rsid w:val="00D30AE7"/>
    <w:rsid w:val="00D3335F"/>
    <w:rsid w:val="00D41FAD"/>
    <w:rsid w:val="00D4276D"/>
    <w:rsid w:val="00D45D82"/>
    <w:rsid w:val="00D66FDE"/>
    <w:rsid w:val="00D67371"/>
    <w:rsid w:val="00D70881"/>
    <w:rsid w:val="00D73A90"/>
    <w:rsid w:val="00D77F50"/>
    <w:rsid w:val="00D8573D"/>
    <w:rsid w:val="00D86814"/>
    <w:rsid w:val="00D9201C"/>
    <w:rsid w:val="00DA5B40"/>
    <w:rsid w:val="00DB3806"/>
    <w:rsid w:val="00DC2C2D"/>
    <w:rsid w:val="00DC5963"/>
    <w:rsid w:val="00DD56A6"/>
    <w:rsid w:val="00DD675D"/>
    <w:rsid w:val="00DF6688"/>
    <w:rsid w:val="00DF6F4E"/>
    <w:rsid w:val="00E02481"/>
    <w:rsid w:val="00E05FF0"/>
    <w:rsid w:val="00E11CC7"/>
    <w:rsid w:val="00E21BE1"/>
    <w:rsid w:val="00E243B7"/>
    <w:rsid w:val="00E33675"/>
    <w:rsid w:val="00E41A1F"/>
    <w:rsid w:val="00E42D1E"/>
    <w:rsid w:val="00E51A69"/>
    <w:rsid w:val="00E51B0E"/>
    <w:rsid w:val="00E60083"/>
    <w:rsid w:val="00E65791"/>
    <w:rsid w:val="00E65A67"/>
    <w:rsid w:val="00E67B1F"/>
    <w:rsid w:val="00E7578E"/>
    <w:rsid w:val="00E83E49"/>
    <w:rsid w:val="00E94A6A"/>
    <w:rsid w:val="00E97312"/>
    <w:rsid w:val="00EA07AD"/>
    <w:rsid w:val="00EA582B"/>
    <w:rsid w:val="00EB6305"/>
    <w:rsid w:val="00EB76E5"/>
    <w:rsid w:val="00EC3EDC"/>
    <w:rsid w:val="00ED02C9"/>
    <w:rsid w:val="00ED0E4B"/>
    <w:rsid w:val="00ED1142"/>
    <w:rsid w:val="00ED685C"/>
    <w:rsid w:val="00ED68DF"/>
    <w:rsid w:val="00EF1F9B"/>
    <w:rsid w:val="00F061BA"/>
    <w:rsid w:val="00F063E4"/>
    <w:rsid w:val="00F11A52"/>
    <w:rsid w:val="00F30EE6"/>
    <w:rsid w:val="00F33A83"/>
    <w:rsid w:val="00F36517"/>
    <w:rsid w:val="00F37889"/>
    <w:rsid w:val="00F42A6B"/>
    <w:rsid w:val="00F47555"/>
    <w:rsid w:val="00F55A6E"/>
    <w:rsid w:val="00F76EAA"/>
    <w:rsid w:val="00F9468B"/>
    <w:rsid w:val="00F94FD7"/>
    <w:rsid w:val="00F956B2"/>
    <w:rsid w:val="00F96A88"/>
    <w:rsid w:val="00F9793C"/>
    <w:rsid w:val="00FA3682"/>
    <w:rsid w:val="00FA7D6A"/>
    <w:rsid w:val="00FC0ABA"/>
    <w:rsid w:val="00FC2395"/>
    <w:rsid w:val="00FC389A"/>
    <w:rsid w:val="00FD2762"/>
    <w:rsid w:val="00FD2B11"/>
    <w:rsid w:val="00FE7CE3"/>
    <w:rsid w:val="00FF450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678A-36AC-4115-B308-2DEFF461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4334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http://media-provident.pl/pr/306341/rynek-pozyczkowy-juz-mysli-o-wiosnie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</dc:creator>
  <cp:lastModifiedBy>Maślana Magda (POL)</cp:lastModifiedBy>
  <cp:revision>8</cp:revision>
  <cp:lastPrinted>2017-01-23T11:12:00Z</cp:lastPrinted>
  <dcterms:created xsi:type="dcterms:W3CDTF">2018-08-02T09:48:00Z</dcterms:created>
  <dcterms:modified xsi:type="dcterms:W3CDTF">2018-08-03T08:13:00Z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</Properties>
</file>