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28" w:rsidRPr="00C12AD9" w:rsidRDefault="001632C7" w:rsidP="00FB4128">
      <w:pPr>
        <w:spacing w:line="276" w:lineRule="auto"/>
        <w:rPr>
          <w:rFonts w:ascii="Calibri" w:hAnsi="Calibri" w:cs="Arial"/>
          <w:sz w:val="22"/>
          <w:szCs w:val="22"/>
        </w:rPr>
      </w:pPr>
      <w:r w:rsidRPr="00C12AD9">
        <w:rPr>
          <w:rFonts w:ascii="Calibri" w:hAnsi="Calibri" w:cs="Arial"/>
          <w:sz w:val="22"/>
          <w:szCs w:val="22"/>
        </w:rPr>
        <w:t>Komentarz ekspercki</w:t>
      </w:r>
    </w:p>
    <w:p w:rsidR="00FB4128" w:rsidRPr="00C12AD9" w:rsidRDefault="00FB4128" w:rsidP="00FB4128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C12AD9">
        <w:rPr>
          <w:rFonts w:ascii="Calibri" w:hAnsi="Calibri" w:cs="Arial"/>
          <w:sz w:val="22"/>
          <w:szCs w:val="22"/>
        </w:rPr>
        <w:t xml:space="preserve">Wrocław, </w:t>
      </w:r>
      <w:r w:rsidR="001632C7" w:rsidRPr="00C12AD9">
        <w:rPr>
          <w:rFonts w:ascii="Calibri" w:hAnsi="Calibri" w:cs="Arial"/>
          <w:sz w:val="22"/>
          <w:szCs w:val="22"/>
        </w:rPr>
        <w:t>20 sierpnia</w:t>
      </w:r>
      <w:r w:rsidRPr="00C12AD9">
        <w:rPr>
          <w:rFonts w:ascii="Calibri" w:hAnsi="Calibri" w:cs="Arial"/>
          <w:sz w:val="22"/>
          <w:szCs w:val="22"/>
        </w:rPr>
        <w:t xml:space="preserve"> 2018</w:t>
      </w:r>
    </w:p>
    <w:p w:rsidR="001632C7" w:rsidRPr="00F86482" w:rsidRDefault="001632C7" w:rsidP="00505A17">
      <w:pPr>
        <w:spacing w:before="360" w:after="360" w:line="276" w:lineRule="auto"/>
        <w:rPr>
          <w:rFonts w:ascii="Calibri" w:hAnsi="Calibri" w:cs="Arial"/>
          <w:b/>
          <w:color w:val="26744D"/>
        </w:rPr>
      </w:pPr>
      <w:r w:rsidRPr="00F86482">
        <w:rPr>
          <w:rFonts w:ascii="Calibri" w:hAnsi="Calibri" w:cs="Arial"/>
          <w:b/>
          <w:color w:val="26744D"/>
        </w:rPr>
        <w:t>Radosław Kuczyński, prezes EFL</w:t>
      </w:r>
    </w:p>
    <w:p w:rsidR="001632C7" w:rsidRPr="00F86482" w:rsidRDefault="001632C7" w:rsidP="0092694F">
      <w:pPr>
        <w:spacing w:after="120" w:line="276" w:lineRule="auto"/>
        <w:jc w:val="both"/>
        <w:rPr>
          <w:rFonts w:ascii="Calibri" w:hAnsi="Calibri" w:cs="Arial"/>
          <w:b/>
          <w:color w:val="26744D"/>
        </w:rPr>
      </w:pPr>
      <w:r w:rsidRPr="00F86482">
        <w:rPr>
          <w:rFonts w:ascii="Calibri" w:hAnsi="Calibri" w:cs="Arial"/>
          <w:b/>
          <w:color w:val="26744D"/>
        </w:rPr>
        <w:t>Co trzecia inwestycja w Polsce jest finansowana leasingiem</w:t>
      </w:r>
      <w:r w:rsidR="004454DF" w:rsidRPr="00F86482">
        <w:rPr>
          <w:rFonts w:ascii="Calibri" w:hAnsi="Calibri" w:cs="Arial"/>
          <w:b/>
          <w:color w:val="26744D"/>
        </w:rPr>
        <w:t>. Przyszłość branży zależna od konsumpcji i automatyzacji</w:t>
      </w:r>
    </w:p>
    <w:p w:rsidR="001632C7" w:rsidRPr="00F86482" w:rsidRDefault="001632C7" w:rsidP="0092694F">
      <w:pPr>
        <w:spacing w:after="120" w:line="276" w:lineRule="auto"/>
        <w:jc w:val="both"/>
        <w:rPr>
          <w:rFonts w:ascii="Calibri" w:hAnsi="Calibri" w:cs="Arial"/>
          <w:b/>
          <w:color w:val="26744D"/>
        </w:rPr>
      </w:pPr>
      <w:r w:rsidRPr="00F86482">
        <w:rPr>
          <w:rFonts w:ascii="Calibri" w:hAnsi="Calibri" w:cs="Arial"/>
          <w:b/>
          <w:color w:val="26744D"/>
        </w:rPr>
        <w:t>Polska ominęła pułapkę średniego wzrostu i jest jednym z najszybciej rozwijających się krajów w Europie. Spory udział w tym mają firmy leasingowe, które odpowiadają za finansowanie 30 proc. wszystkich inwestycji w polskiej gospodarce. Co więcej, jak wynika z danych Związku Polsk</w:t>
      </w:r>
      <w:bookmarkStart w:id="0" w:name="_GoBack"/>
      <w:bookmarkEnd w:id="0"/>
      <w:r w:rsidRPr="00F86482">
        <w:rPr>
          <w:rFonts w:ascii="Calibri" w:hAnsi="Calibri" w:cs="Arial"/>
          <w:b/>
          <w:color w:val="26744D"/>
        </w:rPr>
        <w:t>iego Leasingu, udział sektora leasingowego w PKB Polski wynosi około 4 proc. co jest najwyższym wskaźnikiem</w:t>
      </w:r>
      <w:r w:rsidR="00D73603" w:rsidRPr="00F86482">
        <w:rPr>
          <w:rFonts w:ascii="Calibri" w:hAnsi="Calibri" w:cs="Arial"/>
          <w:b/>
          <w:color w:val="26744D"/>
        </w:rPr>
        <w:t xml:space="preserve"> w</w:t>
      </w:r>
      <w:r w:rsidRPr="00F86482">
        <w:rPr>
          <w:rFonts w:ascii="Calibri" w:hAnsi="Calibri" w:cs="Arial"/>
          <w:b/>
          <w:color w:val="26744D"/>
        </w:rPr>
        <w:t xml:space="preserve"> Europie. W</w:t>
      </w:r>
      <w:r w:rsidR="00A73DEB" w:rsidRPr="00F86482">
        <w:rPr>
          <w:rFonts w:ascii="Calibri" w:hAnsi="Calibri" w:cs="Arial"/>
          <w:b/>
          <w:color w:val="26744D"/>
        </w:rPr>
        <w:t>płynęły na to cztery obszary: budownictwo, produkcja przemysłowa, transport oraz sprzedaż samochodów.</w:t>
      </w:r>
    </w:p>
    <w:p w:rsidR="00A73DEB" w:rsidRPr="00F86482" w:rsidRDefault="00A73DEB" w:rsidP="00A73DEB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F86482">
        <w:rPr>
          <w:rFonts w:ascii="Calibri" w:hAnsi="Calibri" w:cs="Arial"/>
          <w:b/>
          <w:color w:val="26744D"/>
          <w:sz w:val="22"/>
          <w:szCs w:val="22"/>
        </w:rPr>
        <w:t>Po pierwsze, budujemy</w:t>
      </w:r>
    </w:p>
    <w:p w:rsidR="00A73DEB" w:rsidRPr="00F86482" w:rsidRDefault="00A73DEB" w:rsidP="00A73DEB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F86482">
        <w:rPr>
          <w:rFonts w:ascii="Calibri" w:hAnsi="Calibri" w:cs="Arial"/>
          <w:sz w:val="22"/>
          <w:szCs w:val="22"/>
        </w:rPr>
        <w:t xml:space="preserve">Firmy leasingowe mocno wspierają budownictwo, głównie infrastrukturalne, ale też mieszkaniowe, finansując firmy budowlane i zakup maszyn. Z najnowszych danych ZPL wynika, że od stycznia do czerwca 2018 roku nasza branża sfinansowała maszyny i urządzenia budowlane o łącznej wartości ponad 1,7 mld zł, co oznacza aż 64% dynamikę rok do roku. </w:t>
      </w:r>
    </w:p>
    <w:p w:rsidR="00A73DEB" w:rsidRPr="00F86482" w:rsidRDefault="00A73DEB" w:rsidP="00A73DEB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F86482">
        <w:rPr>
          <w:rFonts w:ascii="Calibri" w:hAnsi="Calibri" w:cs="Arial"/>
          <w:b/>
          <w:color w:val="26744D"/>
          <w:sz w:val="22"/>
          <w:szCs w:val="22"/>
        </w:rPr>
        <w:t>Po drugie, produkujemy</w:t>
      </w:r>
    </w:p>
    <w:p w:rsidR="00A73DEB" w:rsidRPr="00F86482" w:rsidRDefault="00A73DEB" w:rsidP="00A73DEB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F86482">
        <w:rPr>
          <w:rFonts w:ascii="Calibri" w:hAnsi="Calibri" w:cs="Arial"/>
          <w:sz w:val="22"/>
          <w:szCs w:val="22"/>
        </w:rPr>
        <w:t xml:space="preserve">Wspieramy również produkcję przemysłową, w tym głównie przetwórstwo przemysłowe. Tutaj sukces polskiej gospodarki polega na tym, że udział przemysłu w tworzeniu PKB jest </w:t>
      </w:r>
      <w:r w:rsidR="009B037E" w:rsidRPr="00F86482">
        <w:rPr>
          <w:rFonts w:ascii="Calibri" w:hAnsi="Calibri" w:cs="Arial"/>
          <w:sz w:val="22"/>
          <w:szCs w:val="22"/>
        </w:rPr>
        <w:t>obecnie</w:t>
      </w:r>
      <w:r w:rsidRPr="00F86482">
        <w:rPr>
          <w:rFonts w:ascii="Calibri" w:hAnsi="Calibri" w:cs="Arial"/>
          <w:sz w:val="22"/>
          <w:szCs w:val="22"/>
        </w:rPr>
        <w:t xml:space="preserve"> jednym z najwyższych w całej Europie. A firmy leasingowe finansując zakup maszyn powodują, że rosną zdolności produkcyjne firm, mogą one więcej eksportować, stosować nowe technologie</w:t>
      </w:r>
      <w:r w:rsidR="00F86482">
        <w:rPr>
          <w:rFonts w:ascii="Calibri" w:hAnsi="Calibri" w:cs="Arial"/>
          <w:sz w:val="22"/>
          <w:szCs w:val="22"/>
        </w:rPr>
        <w:t xml:space="preserve"> i zaawansowan</w:t>
      </w:r>
      <w:r w:rsidRPr="00F86482">
        <w:rPr>
          <w:rFonts w:ascii="Calibri" w:hAnsi="Calibri" w:cs="Arial"/>
          <w:sz w:val="22"/>
          <w:szCs w:val="22"/>
        </w:rPr>
        <w:t>e</w:t>
      </w:r>
      <w:r w:rsidR="009B037E" w:rsidRPr="00F86482">
        <w:rPr>
          <w:rFonts w:ascii="Calibri" w:hAnsi="Calibri" w:cs="Arial"/>
          <w:sz w:val="22"/>
          <w:szCs w:val="22"/>
        </w:rPr>
        <w:t xml:space="preserve"> rozwiązania. Branża leasingowa</w:t>
      </w:r>
      <w:r w:rsidRPr="00F86482">
        <w:rPr>
          <w:rFonts w:ascii="Calibri" w:hAnsi="Calibri" w:cs="Arial"/>
          <w:sz w:val="22"/>
          <w:szCs w:val="22"/>
        </w:rPr>
        <w:t xml:space="preserve"> sfinansowała w pierwszym półroczu tego roku maszyny o wartości niemal 10 mld zł i był to ponad 20 proc. wzrost rok do roku.</w:t>
      </w:r>
    </w:p>
    <w:p w:rsidR="00A73DEB" w:rsidRPr="00F86482" w:rsidRDefault="00A73DEB" w:rsidP="00A73DEB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F86482">
        <w:rPr>
          <w:rFonts w:ascii="Calibri" w:hAnsi="Calibri" w:cs="Arial"/>
          <w:b/>
          <w:color w:val="26744D"/>
          <w:sz w:val="22"/>
          <w:szCs w:val="22"/>
        </w:rPr>
        <w:t>Po trzecie, transportujemy</w:t>
      </w:r>
    </w:p>
    <w:p w:rsidR="00A73DEB" w:rsidRPr="00F86482" w:rsidRDefault="0037271C" w:rsidP="00A73DEB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F86482">
        <w:rPr>
          <w:rFonts w:ascii="Calibri" w:hAnsi="Calibri" w:cs="Arial"/>
          <w:sz w:val="22"/>
          <w:szCs w:val="22"/>
        </w:rPr>
        <w:t>L</w:t>
      </w:r>
      <w:r w:rsidR="00A73DEB" w:rsidRPr="00F86482">
        <w:rPr>
          <w:rFonts w:ascii="Calibri" w:hAnsi="Calibri" w:cs="Arial"/>
          <w:sz w:val="22"/>
          <w:szCs w:val="22"/>
        </w:rPr>
        <w:t xml:space="preserve">easing stał się narzędziem finansowym pierwszego wyboru dla firm transportowych przy zakupie pojazdów ciężarowych, znacznie ułatwiając rozwój tych firm. </w:t>
      </w:r>
      <w:r w:rsidRPr="00F86482">
        <w:rPr>
          <w:rFonts w:ascii="Calibri" w:hAnsi="Calibri" w:cs="Arial"/>
          <w:sz w:val="22"/>
          <w:szCs w:val="22"/>
        </w:rPr>
        <w:t xml:space="preserve">W pierwszej części roku, jako branża sfinansowaliśmy pojazdy ciężkie o łącznej wartości 4,3 mld zł, czyli o 13% więcej niż rok temu. </w:t>
      </w:r>
      <w:r w:rsidR="00A73DEB" w:rsidRPr="00F86482">
        <w:rPr>
          <w:rFonts w:ascii="Calibri" w:hAnsi="Calibri" w:cs="Arial"/>
          <w:sz w:val="22"/>
          <w:szCs w:val="22"/>
        </w:rPr>
        <w:t xml:space="preserve">Polscy przewoźnicy odnieśli niebywały sukces na rynku unijnym, zostając liderem całego europejskiego rynku przewozów w transporcie drogowym. Już od wielu lat generują przy tym istotną nadwyżkę handlową dla Polski. </w:t>
      </w:r>
      <w:r w:rsidRPr="00F86482">
        <w:rPr>
          <w:rFonts w:ascii="Calibri" w:hAnsi="Calibri" w:cs="Arial"/>
          <w:sz w:val="22"/>
          <w:szCs w:val="22"/>
        </w:rPr>
        <w:t xml:space="preserve">Tylko w </w:t>
      </w:r>
      <w:r w:rsidR="00A73DEB" w:rsidRPr="00F86482">
        <w:rPr>
          <w:rFonts w:ascii="Calibri" w:hAnsi="Calibri" w:cs="Arial"/>
          <w:sz w:val="22"/>
          <w:szCs w:val="22"/>
        </w:rPr>
        <w:t>2017 polskie firmy transportowe wypracowały ok. 27 mld zł nadwyżki w handlu zagranicznym, 8-krotnie więcej niż łącznie cały handel towarami.</w:t>
      </w:r>
    </w:p>
    <w:p w:rsidR="0037271C" w:rsidRPr="00F86482" w:rsidRDefault="007D2B66" w:rsidP="00A73DEB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F86482">
        <w:rPr>
          <w:rFonts w:ascii="Calibri" w:hAnsi="Calibri" w:cs="Arial"/>
          <w:b/>
          <w:color w:val="26744D"/>
          <w:sz w:val="22"/>
          <w:szCs w:val="22"/>
        </w:rPr>
        <w:t>Po czwarte, jeździmy</w:t>
      </w:r>
    </w:p>
    <w:p w:rsidR="00A73DEB" w:rsidRPr="00F86482" w:rsidRDefault="007D2B66" w:rsidP="00A73DEB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F86482">
        <w:rPr>
          <w:rFonts w:ascii="Calibri" w:hAnsi="Calibri" w:cs="Arial"/>
          <w:sz w:val="22"/>
          <w:szCs w:val="22"/>
        </w:rPr>
        <w:t>I w</w:t>
      </w:r>
      <w:r w:rsidR="00A73DEB" w:rsidRPr="00F86482">
        <w:rPr>
          <w:rFonts w:ascii="Calibri" w:hAnsi="Calibri" w:cs="Arial"/>
          <w:sz w:val="22"/>
          <w:szCs w:val="22"/>
        </w:rPr>
        <w:t xml:space="preserve"> końcu, branża leasingowa finansuje też </w:t>
      </w:r>
      <w:r w:rsidRPr="00F86482">
        <w:rPr>
          <w:rFonts w:ascii="Calibri" w:hAnsi="Calibri" w:cs="Arial"/>
          <w:sz w:val="22"/>
          <w:szCs w:val="22"/>
        </w:rPr>
        <w:t>tysiące</w:t>
      </w:r>
      <w:r w:rsidR="00A73DEB" w:rsidRPr="00F86482">
        <w:rPr>
          <w:rFonts w:ascii="Calibri" w:hAnsi="Calibri" w:cs="Arial"/>
          <w:sz w:val="22"/>
          <w:szCs w:val="22"/>
        </w:rPr>
        <w:t xml:space="preserve"> pojazdów </w:t>
      </w:r>
      <w:r w:rsidRPr="00F86482">
        <w:rPr>
          <w:rFonts w:ascii="Calibri" w:hAnsi="Calibri" w:cs="Arial"/>
          <w:sz w:val="22"/>
          <w:szCs w:val="22"/>
        </w:rPr>
        <w:t>osobowych i dostawczych</w:t>
      </w:r>
      <w:r w:rsidR="00A73DEB" w:rsidRPr="00F86482">
        <w:rPr>
          <w:rFonts w:ascii="Calibri" w:hAnsi="Calibri" w:cs="Arial"/>
          <w:sz w:val="22"/>
          <w:szCs w:val="22"/>
        </w:rPr>
        <w:t>.</w:t>
      </w:r>
      <w:r w:rsidRPr="00F86482">
        <w:rPr>
          <w:rFonts w:ascii="Calibri" w:hAnsi="Calibri" w:cs="Arial"/>
          <w:sz w:val="22"/>
          <w:szCs w:val="22"/>
        </w:rPr>
        <w:t xml:space="preserve"> </w:t>
      </w:r>
      <w:r w:rsidR="009B037E" w:rsidRPr="00F86482">
        <w:rPr>
          <w:rFonts w:ascii="Calibri" w:hAnsi="Calibri" w:cs="Arial"/>
          <w:sz w:val="22"/>
          <w:szCs w:val="22"/>
        </w:rPr>
        <w:t>Osobówki</w:t>
      </w:r>
      <w:r w:rsidRPr="00F86482">
        <w:rPr>
          <w:rFonts w:ascii="Calibri" w:hAnsi="Calibri" w:cs="Arial"/>
          <w:sz w:val="22"/>
          <w:szCs w:val="22"/>
        </w:rPr>
        <w:t xml:space="preserve"> stanowią największy kawałek tortu leasingowego – w pierwszej połowie tego roku wartość tego rynku wyniosła ponad 15 mld zł, to </w:t>
      </w:r>
      <w:r w:rsidR="009B037E" w:rsidRPr="00F86482">
        <w:rPr>
          <w:rFonts w:ascii="Calibri" w:hAnsi="Calibri" w:cs="Arial"/>
          <w:sz w:val="22"/>
          <w:szCs w:val="22"/>
        </w:rPr>
        <w:t>prawie</w:t>
      </w:r>
      <w:r w:rsidRPr="00F86482">
        <w:rPr>
          <w:rFonts w:ascii="Calibri" w:hAnsi="Calibri" w:cs="Arial"/>
          <w:sz w:val="22"/>
          <w:szCs w:val="22"/>
        </w:rPr>
        <w:t xml:space="preserve"> 40% całego rynku leasingowego.</w:t>
      </w:r>
      <w:r w:rsidR="00A73DEB" w:rsidRPr="00F86482">
        <w:rPr>
          <w:rFonts w:ascii="Calibri" w:hAnsi="Calibri" w:cs="Arial"/>
          <w:sz w:val="22"/>
          <w:szCs w:val="22"/>
        </w:rPr>
        <w:t xml:space="preserve"> To są te auta, które codziennie służą do obsługi handlu, co powoduje, że konsumpcja stała się istotnym elementem rozwoju całej gospodarki. Dzisiaj poziom konsumpcji per capita jest o ponad 30 proc. wyższy niż siedem lat temu. I branża leasingowa miała w tym swój udział.</w:t>
      </w:r>
    </w:p>
    <w:p w:rsidR="0092694F" w:rsidRPr="00F86482" w:rsidRDefault="009547E0" w:rsidP="0092694F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F86482">
        <w:rPr>
          <w:rFonts w:ascii="Calibri" w:hAnsi="Calibri" w:cs="Arial"/>
          <w:b/>
          <w:color w:val="26744D"/>
          <w:sz w:val="22"/>
          <w:szCs w:val="22"/>
        </w:rPr>
        <w:lastRenderedPageBreak/>
        <w:t>Konsumpcja ma swoje granice</w:t>
      </w:r>
    </w:p>
    <w:p w:rsidR="009547E0" w:rsidRPr="00F86482" w:rsidRDefault="009547E0" w:rsidP="0092694F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F86482">
        <w:rPr>
          <w:rFonts w:ascii="Calibri" w:hAnsi="Calibri" w:cs="Arial"/>
          <w:sz w:val="22"/>
          <w:szCs w:val="22"/>
        </w:rPr>
        <w:t>Dalszy rozwój branży leasingowej zależy przede wszystkim od tego, co</w:t>
      </w:r>
      <w:r w:rsidR="009B037E" w:rsidRPr="00F86482">
        <w:rPr>
          <w:rFonts w:ascii="Calibri" w:hAnsi="Calibri" w:cs="Arial"/>
          <w:sz w:val="22"/>
          <w:szCs w:val="22"/>
        </w:rPr>
        <w:t xml:space="preserve"> się dzieje w popycie krajowym, </w:t>
      </w:r>
      <w:r w:rsidRPr="00F86482">
        <w:rPr>
          <w:rFonts w:ascii="Calibri" w:hAnsi="Calibri" w:cs="Arial"/>
          <w:sz w:val="22"/>
          <w:szCs w:val="22"/>
        </w:rPr>
        <w:t xml:space="preserve">w wydatkach konsumpcyjnych. </w:t>
      </w:r>
      <w:r w:rsidR="009B037E" w:rsidRPr="00F86482">
        <w:rPr>
          <w:rFonts w:ascii="Calibri" w:hAnsi="Calibri" w:cs="Arial"/>
          <w:sz w:val="22"/>
          <w:szCs w:val="22"/>
        </w:rPr>
        <w:t>Bo g</w:t>
      </w:r>
      <w:r w:rsidRPr="00F86482">
        <w:rPr>
          <w:rFonts w:ascii="Calibri" w:hAnsi="Calibri" w:cs="Arial"/>
          <w:sz w:val="22"/>
          <w:szCs w:val="22"/>
        </w:rPr>
        <w:t>ospodarka Polski rośnie w dużej mierze dlatego, że wysoka jest konsumpcja</w:t>
      </w:r>
      <w:r w:rsidR="009B037E" w:rsidRPr="00F86482">
        <w:rPr>
          <w:rFonts w:ascii="Calibri" w:hAnsi="Calibri" w:cs="Arial"/>
          <w:sz w:val="22"/>
          <w:szCs w:val="22"/>
        </w:rPr>
        <w:t>. Istotną barierą dla jej wzrostu będzie dalsza dynamika zatrudnienia. Mamy w tej chwili mniej niż milion osób bezrobotnych. Na rynek pracy wchodzi rocznie ok. 400 tys. absolwentów, a ubywa z niego ok. 700 tys. zatrudnionych. Liczba osób w wieku produkcyjnym w Polsce systematycznie się więc kurczy i dalsze korzystanie z tej coraz mniejszej puli bezrobotnych nie zrekompensuje tego. Stąd dynamika zatrudnienia w gospodarce w kolejnych latach będzie hamowała. I to oczywiście wpłynie na popyt konsumpcyjny, gdyż zależy on od dwóch czynników: od wzrostu zatrudnienia i od wzrostu wynagrodzeń. A jeden z tych czynników, czyli dynamika zatrudnienia, zaczyna powoli wygasać.</w:t>
      </w:r>
    </w:p>
    <w:p w:rsidR="009B037E" w:rsidRPr="00F86482" w:rsidRDefault="009B037E" w:rsidP="0092694F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F86482">
        <w:rPr>
          <w:rFonts w:ascii="Calibri" w:hAnsi="Calibri" w:cs="Arial"/>
          <w:sz w:val="22"/>
          <w:szCs w:val="22"/>
        </w:rPr>
        <w:t>Jednak czynnik negatywny dla konsumpcji, paradoksalnie będzie sprzyjał rozwojowi firm leasingowych w przyszłości. Coraz mniejsza pula nowych prac</w:t>
      </w:r>
      <w:r w:rsidR="00F86482">
        <w:rPr>
          <w:rFonts w:ascii="Calibri" w:hAnsi="Calibri" w:cs="Arial"/>
          <w:sz w:val="22"/>
          <w:szCs w:val="22"/>
        </w:rPr>
        <w:t>owników będzie skłaniała firmy do inwestycji</w:t>
      </w:r>
      <w:r w:rsidRPr="00F86482">
        <w:rPr>
          <w:rFonts w:ascii="Calibri" w:hAnsi="Calibri" w:cs="Arial"/>
          <w:sz w:val="22"/>
          <w:szCs w:val="22"/>
        </w:rPr>
        <w:t xml:space="preserve"> w automatyzację, czyli inwestycje w maszyny. A te w dużej mierze są finansowane przez firmy leasingowe.</w:t>
      </w:r>
    </w:p>
    <w:p w:rsidR="009B037E" w:rsidRPr="00F86482" w:rsidRDefault="009B037E" w:rsidP="0092694F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F86482">
        <w:rPr>
          <w:rFonts w:ascii="Calibri" w:hAnsi="Calibri" w:cs="Arial"/>
          <w:sz w:val="22"/>
          <w:szCs w:val="22"/>
        </w:rPr>
        <w:t>Na końcu chciałbym podkreślić, że trudno utrzymać wysoki wzrost gospodarczy, jeżeli składa się</w:t>
      </w:r>
      <w:r w:rsidR="00F86482">
        <w:rPr>
          <w:rFonts w:ascii="Calibri" w:hAnsi="Calibri" w:cs="Arial"/>
          <w:sz w:val="22"/>
          <w:szCs w:val="22"/>
        </w:rPr>
        <w:t xml:space="preserve"> on </w:t>
      </w:r>
      <w:r w:rsidRPr="00F86482">
        <w:rPr>
          <w:rFonts w:ascii="Calibri" w:hAnsi="Calibri" w:cs="Arial"/>
          <w:sz w:val="22"/>
          <w:szCs w:val="22"/>
        </w:rPr>
        <w:t xml:space="preserve"> przede wszystkim z konsumpcji, z czym mamy obecnie do czynienia. Zbyt niski udział inwestycji w strukturze wzrostu gospodarczego powoduje, że trudno będzie powtórzyć wysoką dynamikę PKB w kolejnych kwartałach.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9632"/>
      </w:tblGrid>
      <w:tr w:rsidR="00AB761F" w:rsidRPr="00ED3203" w:rsidTr="00C5621E">
        <w:tc>
          <w:tcPr>
            <w:tcW w:w="9632" w:type="dxa"/>
            <w:shd w:val="clear" w:color="auto" w:fill="22744F"/>
          </w:tcPr>
          <w:p w:rsidR="00AB761F" w:rsidRPr="00ED3203" w:rsidRDefault="00AB761F" w:rsidP="00C5621E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AB761F" w:rsidRPr="001632C7" w:rsidTr="00C5621E">
        <w:trPr>
          <w:trHeight w:val="964"/>
        </w:trPr>
        <w:tc>
          <w:tcPr>
            <w:tcW w:w="9632" w:type="dxa"/>
            <w:shd w:val="clear" w:color="auto" w:fill="auto"/>
            <w:vAlign w:val="center"/>
          </w:tcPr>
          <w:p w:rsidR="00AB761F" w:rsidRPr="00ED3203" w:rsidRDefault="00AB761F" w:rsidP="00C5621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t>Maja Lidke</w:t>
            </w:r>
          </w:p>
          <w:p w:rsidR="00AB761F" w:rsidRPr="00ED3203" w:rsidRDefault="00AB761F" w:rsidP="00C5621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:rsidR="00AB761F" w:rsidRPr="00ED3203" w:rsidRDefault="00AB761F" w:rsidP="00C5621E">
            <w:pPr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:rsidR="00AB761F" w:rsidRPr="00575566" w:rsidRDefault="00AB761F" w:rsidP="00C5621E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0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:rsidR="008F77BF" w:rsidRPr="00575566" w:rsidRDefault="008F77BF" w:rsidP="00FB4128">
      <w:pPr>
        <w:spacing w:after="120" w:line="276" w:lineRule="auto"/>
        <w:jc w:val="both"/>
        <w:rPr>
          <w:rFonts w:ascii="Arial" w:hAnsi="Arial" w:cs="Arial"/>
          <w:b/>
          <w:color w:val="26744D"/>
          <w:sz w:val="20"/>
          <w:szCs w:val="22"/>
          <w:lang w:val="en-GB"/>
        </w:rPr>
      </w:pPr>
    </w:p>
    <w:p w:rsidR="00F623C2" w:rsidRPr="00575566" w:rsidRDefault="00F623C2" w:rsidP="0090356A">
      <w:pPr>
        <w:rPr>
          <w:lang w:val="en-GB"/>
        </w:rPr>
      </w:pPr>
    </w:p>
    <w:sectPr w:rsidR="00F623C2" w:rsidRPr="00575566" w:rsidSect="0090356A">
      <w:headerReference w:type="even" r:id="rId11"/>
      <w:headerReference w:type="default" r:id="rId12"/>
      <w:headerReference w:type="first" r:id="rId13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93" w:rsidRDefault="00227D93" w:rsidP="00E55FF4">
      <w:r>
        <w:separator/>
      </w:r>
    </w:p>
  </w:endnote>
  <w:endnote w:type="continuationSeparator" w:id="0">
    <w:p w:rsidR="00227D93" w:rsidRDefault="00227D93" w:rsidP="00E5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93" w:rsidRDefault="00227D93" w:rsidP="00E55FF4">
      <w:r>
        <w:separator/>
      </w:r>
    </w:p>
  </w:footnote>
  <w:footnote w:type="continuationSeparator" w:id="0">
    <w:p w:rsidR="00227D93" w:rsidRDefault="00227D93" w:rsidP="00E5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9" w:rsidRDefault="00555D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F4" w:rsidRDefault="00555D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35.15pt;margin-top:-87.4pt;width:595.75pt;height:842pt;z-index:-251655168;mso-position-horizontal-relative:margin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9" w:rsidRDefault="00555D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6E1"/>
    <w:rsid w:val="00037C7C"/>
    <w:rsid w:val="00097B6C"/>
    <w:rsid w:val="000C2D2F"/>
    <w:rsid w:val="001632C7"/>
    <w:rsid w:val="00163717"/>
    <w:rsid w:val="001960AB"/>
    <w:rsid w:val="0019656C"/>
    <w:rsid w:val="001C7529"/>
    <w:rsid w:val="001E43E1"/>
    <w:rsid w:val="001E5191"/>
    <w:rsid w:val="00227D93"/>
    <w:rsid w:val="002A7699"/>
    <w:rsid w:val="002C2F8A"/>
    <w:rsid w:val="002F34E3"/>
    <w:rsid w:val="0037271C"/>
    <w:rsid w:val="003A7143"/>
    <w:rsid w:val="00421F4E"/>
    <w:rsid w:val="00427876"/>
    <w:rsid w:val="004454DF"/>
    <w:rsid w:val="004C14C8"/>
    <w:rsid w:val="004C1E52"/>
    <w:rsid w:val="00504743"/>
    <w:rsid w:val="00505A17"/>
    <w:rsid w:val="00555D63"/>
    <w:rsid w:val="00575566"/>
    <w:rsid w:val="0058157A"/>
    <w:rsid w:val="00592069"/>
    <w:rsid w:val="00617848"/>
    <w:rsid w:val="00637E9B"/>
    <w:rsid w:val="00652A31"/>
    <w:rsid w:val="00683F60"/>
    <w:rsid w:val="006B1576"/>
    <w:rsid w:val="006D691D"/>
    <w:rsid w:val="00773FBF"/>
    <w:rsid w:val="0078402B"/>
    <w:rsid w:val="007D2B66"/>
    <w:rsid w:val="007F46E4"/>
    <w:rsid w:val="0080030A"/>
    <w:rsid w:val="00883DF4"/>
    <w:rsid w:val="00885633"/>
    <w:rsid w:val="008D06D2"/>
    <w:rsid w:val="008F24A2"/>
    <w:rsid w:val="008F77BF"/>
    <w:rsid w:val="00902893"/>
    <w:rsid w:val="0090356A"/>
    <w:rsid w:val="0092694F"/>
    <w:rsid w:val="009547E0"/>
    <w:rsid w:val="00960365"/>
    <w:rsid w:val="009B037E"/>
    <w:rsid w:val="009C2990"/>
    <w:rsid w:val="009E3E29"/>
    <w:rsid w:val="009F0FF2"/>
    <w:rsid w:val="009F25C4"/>
    <w:rsid w:val="00A504D8"/>
    <w:rsid w:val="00A51BC3"/>
    <w:rsid w:val="00A73DEB"/>
    <w:rsid w:val="00AA1A56"/>
    <w:rsid w:val="00AB761F"/>
    <w:rsid w:val="00AD771D"/>
    <w:rsid w:val="00AE5DFF"/>
    <w:rsid w:val="00B00840"/>
    <w:rsid w:val="00B302F1"/>
    <w:rsid w:val="00BB3210"/>
    <w:rsid w:val="00C12AD9"/>
    <w:rsid w:val="00C221AE"/>
    <w:rsid w:val="00C36346"/>
    <w:rsid w:val="00C570A9"/>
    <w:rsid w:val="00C93103"/>
    <w:rsid w:val="00C964AB"/>
    <w:rsid w:val="00CD38BA"/>
    <w:rsid w:val="00CD55D8"/>
    <w:rsid w:val="00CF13C0"/>
    <w:rsid w:val="00CF705D"/>
    <w:rsid w:val="00D73603"/>
    <w:rsid w:val="00DB64C4"/>
    <w:rsid w:val="00DF6619"/>
    <w:rsid w:val="00E07578"/>
    <w:rsid w:val="00E105D7"/>
    <w:rsid w:val="00E26D5D"/>
    <w:rsid w:val="00E301AC"/>
    <w:rsid w:val="00E53439"/>
    <w:rsid w:val="00E55FF4"/>
    <w:rsid w:val="00E800B7"/>
    <w:rsid w:val="00ED3203"/>
    <w:rsid w:val="00ED4DE4"/>
    <w:rsid w:val="00ED5E8A"/>
    <w:rsid w:val="00EF1301"/>
    <w:rsid w:val="00F01868"/>
    <w:rsid w:val="00F1269C"/>
    <w:rsid w:val="00F623C2"/>
    <w:rsid w:val="00F86482"/>
    <w:rsid w:val="00FB4128"/>
    <w:rsid w:val="00F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6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61F"/>
    <w:rPr>
      <w:vertAlign w:val="superscript"/>
    </w:rPr>
  </w:style>
  <w:style w:type="character" w:styleId="Hipercze">
    <w:name w:val="Hyperlink"/>
    <w:unhideWhenUsed/>
    <w:rsid w:val="00AB76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4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ja.lidke@efl.com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3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5D555-E197-4ADF-B3BC-D3F4D24B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Lorenc</dc:creator>
  <cp:lastModifiedBy>MaLid</cp:lastModifiedBy>
  <cp:revision>4</cp:revision>
  <dcterms:created xsi:type="dcterms:W3CDTF">2018-08-14T10:04:00Z</dcterms:created>
  <dcterms:modified xsi:type="dcterms:W3CDTF">2018-08-14T10:12:00Z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