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2D" w:rsidRPr="00F303A7" w:rsidRDefault="00F42E2D" w:rsidP="00F42E2D">
      <w:pPr>
        <w:jc w:val="both"/>
        <w:rPr>
          <w:szCs w:val="23"/>
        </w:rPr>
      </w:pPr>
    </w:p>
    <w:p w:rsidR="00F42E2D" w:rsidRPr="00631283" w:rsidRDefault="00115E62" w:rsidP="00F42E2D">
      <w:pPr>
        <w:ind w:left="6372"/>
        <w:jc w:val="both"/>
        <w:rPr>
          <w:sz w:val="18"/>
          <w:szCs w:val="18"/>
        </w:rPr>
      </w:pPr>
      <w:r>
        <w:rPr>
          <w:sz w:val="20"/>
          <w:szCs w:val="20"/>
        </w:rPr>
        <w:t xml:space="preserve"> </w:t>
      </w:r>
      <w:r w:rsidR="00F42E2D" w:rsidRPr="00631283">
        <w:rPr>
          <w:sz w:val="18"/>
          <w:szCs w:val="18"/>
        </w:rPr>
        <w:t xml:space="preserve">Warszawa, </w:t>
      </w:r>
      <w:r w:rsidR="00B83BE1">
        <w:rPr>
          <w:sz w:val="18"/>
          <w:szCs w:val="18"/>
        </w:rPr>
        <w:t xml:space="preserve">01 </w:t>
      </w:r>
      <w:r w:rsidR="008E2FFC">
        <w:rPr>
          <w:sz w:val="18"/>
          <w:szCs w:val="18"/>
        </w:rPr>
        <w:t>października</w:t>
      </w:r>
      <w:r w:rsidR="00F42E2D" w:rsidRPr="00631283">
        <w:rPr>
          <w:sz w:val="18"/>
          <w:szCs w:val="18"/>
        </w:rPr>
        <w:t xml:space="preserve"> 2018 r.</w:t>
      </w:r>
    </w:p>
    <w:p w:rsidR="004718FF" w:rsidRDefault="004718FF" w:rsidP="00D46943">
      <w:pPr>
        <w:spacing w:after="120"/>
        <w:jc w:val="both"/>
        <w:rPr>
          <w:rFonts w:cs="Arial"/>
          <w:i/>
          <w:szCs w:val="23"/>
        </w:rPr>
      </w:pPr>
    </w:p>
    <w:p w:rsidR="00C5018B" w:rsidRPr="00C5018B" w:rsidRDefault="00C5018B" w:rsidP="00C5018B">
      <w:pPr>
        <w:spacing w:after="120"/>
        <w:jc w:val="both"/>
        <w:rPr>
          <w:rFonts w:ascii="Calibri" w:hAnsi="Calibri" w:cs="Arial"/>
          <w:b/>
          <w:sz w:val="24"/>
        </w:rPr>
      </w:pPr>
      <w:r w:rsidRPr="00C5018B">
        <w:rPr>
          <w:rFonts w:ascii="Calibri" w:hAnsi="Calibri" w:cs="Arial"/>
          <w:b/>
          <w:sz w:val="28"/>
          <w:szCs w:val="28"/>
        </w:rPr>
        <w:t xml:space="preserve">Kondycja portfela polskiego seniora </w:t>
      </w:r>
      <w:r w:rsidR="00115E62">
        <w:rPr>
          <w:rFonts w:ascii="Calibri" w:hAnsi="Calibri" w:cs="Arial"/>
          <w:b/>
          <w:sz w:val="28"/>
          <w:szCs w:val="28"/>
        </w:rPr>
        <w:t xml:space="preserve"> </w:t>
      </w:r>
    </w:p>
    <w:p w:rsidR="00C5018B" w:rsidRPr="00C5018B" w:rsidRDefault="00C5018B" w:rsidP="00C5018B">
      <w:pPr>
        <w:spacing w:after="120"/>
        <w:jc w:val="both"/>
        <w:rPr>
          <w:rFonts w:ascii="Calibri" w:hAnsi="Calibri" w:cs="Arial"/>
          <w:b/>
          <w:sz w:val="24"/>
        </w:rPr>
      </w:pPr>
      <w:r w:rsidRPr="00C5018B">
        <w:rPr>
          <w:rFonts w:ascii="Calibri" w:hAnsi="Calibri" w:cs="Arial"/>
          <w:b/>
          <w:sz w:val="24"/>
        </w:rPr>
        <w:t>Liczba zadłużonych seniorów przez pół roku rosła dwa razy szybciej niż liczba wszystkich osób z zaległościami – wynika z danych BIG InfoMonitor i BIK. W obu bazach znajduje się ponad 345 tys. osób, które ukończyły 64 lata i mają na koncie opóźnione raty kredytów oraz pożyczek, a także nieopłacone na czas bieżące rachunki. Suma ich zaległości dochodzi do 7,3 mld złotych. Powody kłopotów? W znaczącym stopniu wydatki na leki i leczenie. Pochłaniają lwią część budżetu i są główną przyczyną zapożyczania się.</w:t>
      </w:r>
    </w:p>
    <w:p w:rsidR="00C5018B" w:rsidRPr="00C5018B" w:rsidRDefault="00C5018B" w:rsidP="00C5018B">
      <w:pPr>
        <w:spacing w:after="120"/>
        <w:jc w:val="both"/>
        <w:rPr>
          <w:rFonts w:ascii="Calibri" w:hAnsi="Calibri" w:cs="Arial"/>
          <w:sz w:val="24"/>
        </w:rPr>
      </w:pPr>
      <w:r w:rsidRPr="00C5018B">
        <w:rPr>
          <w:rFonts w:ascii="Calibri" w:hAnsi="Calibri" w:cs="Arial"/>
          <w:sz w:val="24"/>
        </w:rPr>
        <w:t>Wzrost liczby dłużników w grupie osób po 64. roku życia niepokojąco przyspieszył – wynika z danych Rejestru BIG InfoMonitor oraz BIK. Gdy wszystkich osób z opóźnieniami w płatnościach przybyło w I półroczu 2018 r. o 1,7 proc. (45,8 tys.), to seniorów aż o 3,5 proc. (11,5 tys.) Co niepokojące, znacząco zwiększyła się też kwota nieopłaconych przez nich zobowiązań. Przez sześć miesięcy zaległości wzrosły o prawie 9 proc. (0,6 mld zł),</w:t>
      </w:r>
      <w:r w:rsidR="0035623E">
        <w:rPr>
          <w:rFonts w:ascii="Calibri" w:hAnsi="Calibri" w:cs="Arial"/>
          <w:sz w:val="24"/>
        </w:rPr>
        <w:t xml:space="preserve"> </w:t>
      </w:r>
      <w:r w:rsidRPr="00C5018B">
        <w:rPr>
          <w:rFonts w:ascii="Calibri" w:hAnsi="Calibri" w:cs="Arial"/>
          <w:sz w:val="24"/>
        </w:rPr>
        <w:t>podczas gdy w przypadku wszystkich dłużników o 5,7 proc. (3,82 mld zł). Mowa tu o opóźnieniach wynoszących co najmniej 30 dni, na kwotę min. 200 zł wobec jednego wierzyciela.</w:t>
      </w:r>
      <w:r w:rsidR="0035623E">
        <w:rPr>
          <w:rFonts w:ascii="Calibri" w:hAnsi="Calibri" w:cs="Arial"/>
          <w:sz w:val="24"/>
        </w:rPr>
        <w:t xml:space="preserve"> </w:t>
      </w:r>
    </w:p>
    <w:p w:rsidR="00C5018B" w:rsidRPr="00C5018B" w:rsidRDefault="00C5018B" w:rsidP="00C5018B">
      <w:pPr>
        <w:spacing w:after="120"/>
        <w:jc w:val="both"/>
        <w:rPr>
          <w:rFonts w:ascii="Calibri" w:hAnsi="Calibri" w:cs="Arial"/>
          <w:i/>
          <w:sz w:val="24"/>
        </w:rPr>
      </w:pPr>
      <w:r w:rsidRPr="00C5018B">
        <w:rPr>
          <w:rFonts w:ascii="Calibri" w:hAnsi="Calibri" w:cs="Arial"/>
          <w:sz w:val="24"/>
        </w:rPr>
        <w:t xml:space="preserve">Czy to oznacza, że senior jest bardziej ryzykownym klientem? </w:t>
      </w:r>
      <w:r w:rsidRPr="00C5018B">
        <w:rPr>
          <w:rFonts w:ascii="Calibri" w:hAnsi="Calibri" w:cs="Arial"/>
          <w:i/>
          <w:sz w:val="24"/>
        </w:rPr>
        <w:t xml:space="preserve">- Niekoniecznie. W tej grupie wiekowej z płatnościami nie radzi sobie co osiemnasta osoba, podczas gdy wśród ogółu dorosłych Polaków, niesolidnym płatnikiem jest co dwunasty. Niewątpliwie jednak, jeśli już popadną w kłopoty finansowe, to trudniej już im z nich wyjść </w:t>
      </w:r>
      <w:r w:rsidRPr="00C5018B">
        <w:rPr>
          <w:rFonts w:ascii="Calibri" w:hAnsi="Calibri" w:cs="Arial"/>
          <w:sz w:val="24"/>
        </w:rPr>
        <w:t>– zwraca uwagę Sławomir Grzelczak, prezes BIG InfoMonitor.</w:t>
      </w:r>
      <w:r w:rsidRPr="00C5018B">
        <w:rPr>
          <w:rFonts w:ascii="Calibri" w:hAnsi="Calibri" w:cs="Arial"/>
          <w:i/>
          <w:sz w:val="24"/>
        </w:rPr>
        <w:t xml:space="preserve"> </w:t>
      </w:r>
    </w:p>
    <w:p w:rsidR="00C5018B" w:rsidRPr="00C5018B" w:rsidRDefault="00C5018B" w:rsidP="00C5018B">
      <w:pPr>
        <w:spacing w:after="120"/>
        <w:jc w:val="both"/>
        <w:rPr>
          <w:rFonts w:ascii="Calibri" w:hAnsi="Calibri" w:cs="Arial"/>
          <w:sz w:val="24"/>
        </w:rPr>
      </w:pPr>
      <w:r w:rsidRPr="00C5018B">
        <w:rPr>
          <w:rFonts w:ascii="Calibri" w:hAnsi="Calibri" w:cs="Arial"/>
          <w:sz w:val="24"/>
        </w:rPr>
        <w:t>Seniorzy nie dogonili też pozostałych dłużników jeśli chodzi o średni dług na osobę</w:t>
      </w:r>
      <w:r w:rsidRPr="00C5018B">
        <w:rPr>
          <w:rFonts w:ascii="Calibri" w:hAnsi="Calibri" w:cs="Arial"/>
          <w:i/>
          <w:sz w:val="24"/>
        </w:rPr>
        <w:t xml:space="preserve">. </w:t>
      </w:r>
      <w:r w:rsidRPr="00C5018B">
        <w:rPr>
          <w:rFonts w:ascii="Calibri" w:hAnsi="Calibri" w:cs="Arial"/>
          <w:sz w:val="24"/>
        </w:rPr>
        <w:t xml:space="preserve">Mają do oddania średnio 21 238 zł, a dla ogółu wynosi ona o 26 007 zł. Są oczywiście wyjątki, rekordzistka 74-latka z Podkarpacia winna jest ponad 7,8 mln zł. 69-latek z Wielkopolski ma z kolei 6 mln zł długu, a kolejny Wielkopolanin, w wieku 65 lat - 5,3 mln zł. Choć nie otwierają listy, to wśród 10 najbardziej zadłużonych seniorów jest aż trzech mieszkańców Mazowsza i dwóch woj. łódzkiego. Należy przy tym dodać, że najwięcej najstarszych Polaków z kłopotami finansowymi mieszka na Śląsku. </w:t>
      </w:r>
    </w:p>
    <w:p w:rsidR="00C5018B" w:rsidRPr="00C5018B" w:rsidRDefault="00C5018B" w:rsidP="00C5018B">
      <w:pPr>
        <w:spacing w:after="120"/>
        <w:jc w:val="both"/>
        <w:rPr>
          <w:rFonts w:ascii="Calibri" w:hAnsi="Calibri" w:cs="Arial"/>
          <w:sz w:val="24"/>
        </w:rPr>
      </w:pPr>
      <w:r w:rsidRPr="00C5018B">
        <w:rPr>
          <w:rFonts w:ascii="Calibri" w:hAnsi="Calibri" w:cs="Arial"/>
          <w:i/>
          <w:sz w:val="24"/>
        </w:rPr>
        <w:t>- Na problemy s</w:t>
      </w:r>
      <w:r w:rsidR="00E72FC6">
        <w:rPr>
          <w:rFonts w:ascii="Calibri" w:hAnsi="Calibri" w:cs="Arial"/>
          <w:i/>
          <w:sz w:val="24"/>
        </w:rPr>
        <w:t xml:space="preserve">eniorów składają się przede wszystkim </w:t>
      </w:r>
      <w:r w:rsidRPr="00C5018B">
        <w:rPr>
          <w:rFonts w:ascii="Calibri" w:hAnsi="Calibri" w:cs="Arial"/>
          <w:i/>
          <w:sz w:val="24"/>
        </w:rPr>
        <w:t xml:space="preserve">zobowiązania wobec </w:t>
      </w:r>
      <w:r w:rsidR="00E72FC6">
        <w:rPr>
          <w:rFonts w:ascii="Calibri" w:hAnsi="Calibri" w:cs="Arial"/>
          <w:i/>
          <w:sz w:val="24"/>
        </w:rPr>
        <w:t xml:space="preserve">instytucji finansowych </w:t>
      </w:r>
      <w:r w:rsidRPr="00C5018B">
        <w:rPr>
          <w:rFonts w:ascii="Calibri" w:hAnsi="Calibri" w:cs="Arial"/>
          <w:i/>
          <w:sz w:val="24"/>
        </w:rPr>
        <w:t>ba</w:t>
      </w:r>
      <w:r w:rsidR="00E72FC6">
        <w:rPr>
          <w:rFonts w:ascii="Calibri" w:hAnsi="Calibri" w:cs="Arial"/>
          <w:i/>
          <w:sz w:val="24"/>
        </w:rPr>
        <w:t xml:space="preserve">nków oraz firm pożyczkowych, pozostałe to </w:t>
      </w:r>
      <w:r w:rsidRPr="00C5018B">
        <w:rPr>
          <w:rFonts w:ascii="Calibri" w:hAnsi="Calibri" w:cs="Arial"/>
          <w:i/>
          <w:sz w:val="24"/>
        </w:rPr>
        <w:t xml:space="preserve">nieuregulowane rachunki za telefon, media czy czynsz. Łącznie 7,3 mld zł. Zaległości wszystkich Polaków widoczne w bazach BIG InfoMonitor oraz BIK, to blisko 71 mld zł </w:t>
      </w:r>
      <w:r w:rsidRPr="00C5018B">
        <w:rPr>
          <w:rFonts w:ascii="Calibri" w:hAnsi="Calibri" w:cs="Arial"/>
          <w:sz w:val="24"/>
        </w:rPr>
        <w:t>– informuje Sławomir Grzelczak, prezes BIG InfoMonitor.</w:t>
      </w:r>
    </w:p>
    <w:p w:rsidR="00C5018B" w:rsidRPr="00C5018B" w:rsidRDefault="00C5018B" w:rsidP="00C5018B">
      <w:pPr>
        <w:spacing w:after="120"/>
        <w:jc w:val="both"/>
        <w:rPr>
          <w:rFonts w:ascii="Calibri" w:hAnsi="Calibri" w:cs="Arial"/>
          <w:sz w:val="24"/>
        </w:rPr>
      </w:pPr>
      <w:r w:rsidRPr="00C5018B">
        <w:rPr>
          <w:rFonts w:ascii="Calibri" w:hAnsi="Calibri" w:cs="Arial"/>
          <w:b/>
          <w:sz w:val="24"/>
        </w:rPr>
        <w:t>Z jakich powodów osoby starsze wpadają w kłopoty finansowe?</w:t>
      </w:r>
      <w:r w:rsidRPr="00C5018B">
        <w:rPr>
          <w:rFonts w:ascii="Calibri" w:hAnsi="Calibri" w:cs="Arial"/>
          <w:sz w:val="24"/>
        </w:rPr>
        <w:t xml:space="preserve"> W wynikach badania* wykonanego dla BIG InfoMonitor przez ARC Rynek i Opinia, uwagę zwracają wydatki związane ze zdrowiem. Leki, rehabilitacja, leczenie i badania, jako pochłaniające największą część dochodów, wskazało łącznie 34 proc. ankietowanych. Wśród badanych były wyłącznie kobiety powyżej 60 roku życia i mężczyźni, którzy ukończyli już65 lat, wszyscy będący już na emeryturze. Poza czynszem i rachunkami, jako najwyższe pozycje w wydatkach wymienili oni również bieżące zakupy oraz prace remontowe w mieszkaniu lub domu</w:t>
      </w:r>
      <w:r w:rsidR="0035623E">
        <w:rPr>
          <w:rFonts w:ascii="Calibri" w:hAnsi="Calibri" w:cs="Arial"/>
          <w:sz w:val="24"/>
        </w:rPr>
        <w:t xml:space="preserve"> </w:t>
      </w:r>
      <w:r w:rsidRPr="00C5018B">
        <w:rPr>
          <w:rFonts w:ascii="Calibri" w:hAnsi="Calibri" w:cs="Arial"/>
          <w:sz w:val="24"/>
        </w:rPr>
        <w:t xml:space="preserve">(po 31 proc. odpowiedzi). </w:t>
      </w:r>
    </w:p>
    <w:p w:rsidR="00C5018B" w:rsidRDefault="00C5018B" w:rsidP="00C5018B">
      <w:pPr>
        <w:spacing w:after="120"/>
        <w:jc w:val="both"/>
        <w:rPr>
          <w:rFonts w:ascii="Calibri" w:hAnsi="Calibri" w:cs="Arial"/>
          <w:b/>
          <w:iCs/>
          <w:sz w:val="24"/>
        </w:rPr>
      </w:pPr>
      <w:r w:rsidRPr="00C5018B">
        <w:rPr>
          <w:rFonts w:ascii="Calibri" w:hAnsi="Calibri" w:cs="Arial"/>
          <w:b/>
          <w:iCs/>
          <w:sz w:val="24"/>
        </w:rPr>
        <w:lastRenderedPageBreak/>
        <w:t xml:space="preserve">Jakie wydatki, poza czynszem i rachunkami związanymi z utrzymaniem mieszkania, pochłaniają największą część dochodów? </w:t>
      </w:r>
    </w:p>
    <w:p w:rsidR="00307CC0" w:rsidRPr="00C5018B" w:rsidRDefault="00307CC0" w:rsidP="00C5018B">
      <w:pPr>
        <w:spacing w:after="120"/>
        <w:jc w:val="both"/>
        <w:rPr>
          <w:rFonts w:ascii="Calibri" w:hAnsi="Calibri" w:cs="Arial"/>
          <w:b/>
          <w:sz w:val="24"/>
        </w:rPr>
      </w:pPr>
      <w:r>
        <w:rPr>
          <w:rFonts w:ascii="Calibri" w:hAnsi="Calibri" w:cs="Arial"/>
          <w:b/>
          <w:noProof/>
          <w:sz w:val="24"/>
        </w:rPr>
        <w:drawing>
          <wp:inline distT="0" distB="0" distL="0" distR="0" wp14:anchorId="7EEBAB79">
            <wp:extent cx="5383530" cy="2529840"/>
            <wp:effectExtent l="0" t="0" r="762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3530" cy="2529840"/>
                    </a:xfrm>
                    <a:prstGeom prst="rect">
                      <a:avLst/>
                    </a:prstGeom>
                    <a:noFill/>
                  </pic:spPr>
                </pic:pic>
              </a:graphicData>
            </a:graphic>
          </wp:inline>
        </w:drawing>
      </w:r>
    </w:p>
    <w:p w:rsidR="00C5018B" w:rsidRPr="00C5018B" w:rsidRDefault="00C5018B" w:rsidP="00C5018B">
      <w:pPr>
        <w:spacing w:after="120"/>
        <w:jc w:val="both"/>
        <w:rPr>
          <w:rFonts w:ascii="Calibri" w:hAnsi="Calibri" w:cs="Arial"/>
          <w:sz w:val="24"/>
        </w:rPr>
      </w:pPr>
    </w:p>
    <w:p w:rsidR="00C5018B" w:rsidRPr="00C5018B" w:rsidRDefault="00C5018B" w:rsidP="00C5018B">
      <w:pPr>
        <w:spacing w:after="120"/>
        <w:jc w:val="both"/>
        <w:rPr>
          <w:rFonts w:ascii="Calibri" w:hAnsi="Calibri" w:cs="Arial"/>
          <w:sz w:val="24"/>
        </w:rPr>
      </w:pPr>
      <w:r w:rsidRPr="00C5018B">
        <w:rPr>
          <w:rFonts w:ascii="Calibri" w:hAnsi="Calibri" w:cs="Arial"/>
          <w:i/>
          <w:sz w:val="18"/>
          <w:szCs w:val="18"/>
        </w:rPr>
        <w:t>Źródło: BIG InfoMonitor</w:t>
      </w:r>
    </w:p>
    <w:p w:rsidR="00C5018B" w:rsidRPr="00C5018B" w:rsidRDefault="00C5018B" w:rsidP="00C5018B">
      <w:pPr>
        <w:spacing w:after="120"/>
        <w:jc w:val="both"/>
        <w:rPr>
          <w:rFonts w:ascii="Calibri" w:hAnsi="Calibri" w:cs="Arial"/>
          <w:i/>
          <w:sz w:val="24"/>
        </w:rPr>
      </w:pPr>
      <w:r w:rsidRPr="00C5018B">
        <w:rPr>
          <w:rFonts w:ascii="Calibri" w:hAnsi="Calibri" w:cs="Arial"/>
          <w:sz w:val="24"/>
        </w:rPr>
        <w:t xml:space="preserve">Problem leczenia i wynikających z tego kosztów wybija się też na pierwszy plan wśród przyczyn zadłużania się. W odpowiedziach na pytanie: </w:t>
      </w:r>
      <w:r w:rsidRPr="00C5018B">
        <w:rPr>
          <w:rFonts w:ascii="Calibri" w:hAnsi="Calibri" w:cs="Arial"/>
          <w:i/>
          <w:iCs/>
          <w:sz w:val="24"/>
        </w:rPr>
        <w:t>Na co zostały przeznaczone pieniądze z kredytu, pożyczki?</w:t>
      </w:r>
      <w:r w:rsidRPr="00C5018B">
        <w:rPr>
          <w:rFonts w:ascii="Calibri" w:hAnsi="Calibri" w:cs="Arial"/>
          <w:iCs/>
          <w:sz w:val="24"/>
        </w:rPr>
        <w:t xml:space="preserve"> leki wskazało dwie trzecie ankietowanych i są one na czele listy. Ale na tym nie koniec, bo na trzeciej i piątej pozycji pojawiło się prywatne leczenie oraz rehabilitacja – razem 34 proc. odpowiedzi. Na liście powodów skłaniających do zaciągania kredytów i pożyczek niewiele jest punktów związanych z realizacją marzeń czy hobby. Na podróże i utrzymanie samochodu pożyczało pieniądze zaledwie 9 proc. ankietowanych. Badanie pokazuje, że seniorzy są skłonni częściej zadłużyć się, aby pomóc rodzinie (14 proc.) niż by sfinansować własne przyjemności. </w:t>
      </w:r>
    </w:p>
    <w:p w:rsidR="00C5018B" w:rsidRPr="00C5018B" w:rsidRDefault="00C5018B" w:rsidP="00C5018B">
      <w:pPr>
        <w:spacing w:after="120"/>
        <w:jc w:val="both"/>
        <w:rPr>
          <w:rFonts w:ascii="Calibri" w:hAnsi="Calibri" w:cs="Arial"/>
          <w:b/>
          <w:iCs/>
          <w:sz w:val="24"/>
        </w:rPr>
      </w:pPr>
      <w:r w:rsidRPr="00C5018B">
        <w:rPr>
          <w:rFonts w:ascii="Calibri" w:hAnsi="Calibri" w:cs="Arial"/>
          <w:sz w:val="24"/>
        </w:rPr>
        <w:t xml:space="preserve"> </w:t>
      </w:r>
      <w:r w:rsidRPr="00C5018B">
        <w:rPr>
          <w:rFonts w:ascii="Calibri" w:hAnsi="Calibri" w:cs="Arial"/>
          <w:b/>
          <w:iCs/>
          <w:sz w:val="24"/>
        </w:rPr>
        <w:t>Na co zostały przeznaczone pieniądze z kredytu, pożyczki?</w:t>
      </w:r>
    </w:p>
    <w:p w:rsidR="00C5018B" w:rsidRPr="00C5018B" w:rsidRDefault="00307CC0" w:rsidP="00C5018B">
      <w:pPr>
        <w:spacing w:after="120"/>
        <w:jc w:val="both"/>
        <w:rPr>
          <w:rFonts w:ascii="Calibri" w:hAnsi="Calibri" w:cs="Arial"/>
          <w:b/>
          <w:iCs/>
          <w:sz w:val="24"/>
        </w:rPr>
      </w:pPr>
      <w:r>
        <w:rPr>
          <w:rFonts w:ascii="Calibri" w:hAnsi="Calibri" w:cs="Arial"/>
          <w:b/>
          <w:iCs/>
          <w:noProof/>
          <w:sz w:val="24"/>
        </w:rPr>
        <w:drawing>
          <wp:inline distT="0" distB="0" distL="0" distR="0" wp14:anchorId="44A69BE5">
            <wp:extent cx="5114925" cy="2615565"/>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2615565"/>
                    </a:xfrm>
                    <a:prstGeom prst="rect">
                      <a:avLst/>
                    </a:prstGeom>
                    <a:noFill/>
                  </pic:spPr>
                </pic:pic>
              </a:graphicData>
            </a:graphic>
          </wp:inline>
        </w:drawing>
      </w:r>
    </w:p>
    <w:p w:rsidR="00C5018B" w:rsidRPr="00C5018B" w:rsidRDefault="00C5018B" w:rsidP="00C5018B">
      <w:pPr>
        <w:spacing w:after="120"/>
        <w:jc w:val="both"/>
        <w:rPr>
          <w:rFonts w:ascii="Calibri" w:hAnsi="Calibri" w:cs="Arial"/>
          <w:b/>
          <w:iCs/>
          <w:sz w:val="24"/>
        </w:rPr>
      </w:pPr>
      <w:r w:rsidRPr="00C5018B">
        <w:rPr>
          <w:rFonts w:ascii="Calibri" w:hAnsi="Calibri" w:cs="Arial"/>
          <w:i/>
          <w:sz w:val="18"/>
          <w:szCs w:val="18"/>
        </w:rPr>
        <w:t>Źródło: BIG Info</w:t>
      </w:r>
      <w:bookmarkStart w:id="0" w:name="_GoBack"/>
      <w:bookmarkEnd w:id="0"/>
      <w:r w:rsidRPr="00C5018B">
        <w:rPr>
          <w:rFonts w:ascii="Calibri" w:hAnsi="Calibri" w:cs="Arial"/>
          <w:i/>
          <w:sz w:val="18"/>
          <w:szCs w:val="18"/>
        </w:rPr>
        <w:t>Monitor</w:t>
      </w:r>
    </w:p>
    <w:p w:rsidR="00C5018B" w:rsidRPr="00C5018B" w:rsidRDefault="00C5018B" w:rsidP="00C5018B">
      <w:pPr>
        <w:spacing w:after="120"/>
        <w:jc w:val="both"/>
        <w:rPr>
          <w:rFonts w:ascii="Calibri" w:hAnsi="Calibri" w:cs="Arial"/>
          <w:b/>
          <w:iCs/>
          <w:sz w:val="24"/>
        </w:rPr>
      </w:pPr>
      <w:r w:rsidRPr="00C5018B">
        <w:rPr>
          <w:rFonts w:ascii="Calibri" w:hAnsi="Calibri" w:cs="Arial"/>
          <w:sz w:val="24"/>
        </w:rPr>
        <w:t>Skromnym budżetom podporządkowane jest spędzanie wolnego czasu osób będących na emeryturze. 41 proc. najchętniej oglądają telewizję, niewiele mniej czyta książki, jedna trzecia zajmuje się działką lub ogrodem, a co czwarty spotyka się też ze znajomymi. W pierwszej piątce sposobów spędzania wolnego czasu znalazła się też opieka nad wnukami (16 proc.). Tylko 14 proc. wymieniło uprawianie sportu, co już czasami może wymagać pewnych nakładów oraz podróże (13 proc.) czy chodzenie do kina – 4 proc..</w:t>
      </w:r>
      <w:r w:rsidR="0035623E">
        <w:rPr>
          <w:rFonts w:ascii="Calibri" w:hAnsi="Calibri" w:cs="Arial"/>
          <w:sz w:val="24"/>
        </w:rPr>
        <w:t xml:space="preserve"> </w:t>
      </w:r>
    </w:p>
    <w:p w:rsidR="00C5018B" w:rsidRPr="00C5018B" w:rsidRDefault="00C5018B" w:rsidP="00C5018B">
      <w:pPr>
        <w:spacing w:after="120"/>
        <w:jc w:val="both"/>
        <w:rPr>
          <w:rFonts w:ascii="Calibri" w:hAnsi="Calibri" w:cs="Arial"/>
          <w:b/>
          <w:sz w:val="24"/>
        </w:rPr>
      </w:pPr>
      <w:r w:rsidRPr="00C5018B">
        <w:rPr>
          <w:rFonts w:ascii="Calibri" w:hAnsi="Calibri" w:cs="Arial"/>
          <w:b/>
          <w:sz w:val="24"/>
        </w:rPr>
        <w:t>Spędzanie wolnego czasu</w:t>
      </w:r>
    </w:p>
    <w:p w:rsidR="00C5018B" w:rsidRPr="00C5018B" w:rsidRDefault="00C5018B" w:rsidP="00C5018B">
      <w:pPr>
        <w:spacing w:after="120"/>
        <w:jc w:val="both"/>
        <w:rPr>
          <w:rFonts w:ascii="Calibri" w:hAnsi="Calibri" w:cs="Arial"/>
          <w:sz w:val="24"/>
        </w:rPr>
      </w:pPr>
      <w:r w:rsidRPr="00C5018B">
        <w:rPr>
          <w:rFonts w:ascii="Calibri" w:hAnsi="Calibri" w:cs="Arial"/>
          <w:noProof/>
          <w:sz w:val="24"/>
        </w:rPr>
        <w:drawing>
          <wp:inline distT="0" distB="0" distL="0" distR="0" wp14:anchorId="011D4CFB" wp14:editId="5C1EE2BB">
            <wp:extent cx="5172501" cy="2722728"/>
            <wp:effectExtent l="0" t="0" r="9525" b="20955"/>
            <wp:docPr id="3" name="Wykres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62B2A211-B010-4D88-B216-AC3595839F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18B" w:rsidRPr="00C5018B" w:rsidRDefault="00C5018B" w:rsidP="00C5018B">
      <w:pPr>
        <w:spacing w:after="120"/>
        <w:jc w:val="both"/>
        <w:rPr>
          <w:rFonts w:ascii="Calibri" w:hAnsi="Calibri" w:cs="Arial"/>
          <w:i/>
          <w:sz w:val="18"/>
          <w:szCs w:val="18"/>
        </w:rPr>
      </w:pPr>
      <w:r w:rsidRPr="00C5018B">
        <w:rPr>
          <w:rFonts w:ascii="Calibri" w:hAnsi="Calibri" w:cs="Arial"/>
          <w:i/>
          <w:sz w:val="18"/>
          <w:szCs w:val="18"/>
        </w:rPr>
        <w:t>Źródło: BIG InfoMonitor</w:t>
      </w:r>
    </w:p>
    <w:p w:rsidR="00C5018B" w:rsidRPr="00C5018B" w:rsidRDefault="00C5018B" w:rsidP="00C5018B">
      <w:pPr>
        <w:spacing w:after="120"/>
        <w:jc w:val="both"/>
        <w:rPr>
          <w:rFonts w:ascii="Calibri" w:hAnsi="Calibri" w:cs="Arial"/>
          <w:b/>
          <w:sz w:val="24"/>
        </w:rPr>
      </w:pPr>
      <w:r w:rsidRPr="00C5018B">
        <w:rPr>
          <w:rFonts w:ascii="Calibri" w:hAnsi="Calibri" w:cs="Arial"/>
          <w:b/>
          <w:sz w:val="24"/>
        </w:rPr>
        <w:t>Najwięcej seniorów z problemami mieszka na Śląsku</w:t>
      </w:r>
    </w:p>
    <w:p w:rsidR="00C5018B" w:rsidRPr="00C5018B" w:rsidRDefault="00C5018B" w:rsidP="00C5018B">
      <w:pPr>
        <w:spacing w:after="120"/>
        <w:jc w:val="both"/>
        <w:rPr>
          <w:rFonts w:ascii="Calibri" w:hAnsi="Calibri" w:cs="Arial"/>
          <w:sz w:val="24"/>
        </w:rPr>
      </w:pPr>
      <w:r w:rsidRPr="00C5018B">
        <w:rPr>
          <w:rFonts w:ascii="Calibri" w:hAnsi="Calibri" w:cs="Arial"/>
          <w:sz w:val="24"/>
        </w:rPr>
        <w:t>Tak jak w przypadku wszystkich niesolidnych dłużników bez względu na wiek, tak również wśród seniorów, najczęstszym miejsce zamieszkania jest Górny Śląsk, a następnie Mazowsze i Dolny Śląsk. Ze Śląska pochodzi prawie 55 tys. dłużników po 64 roku życia. Mają oni też największe łączne długi. Ich wartość dochodzi do 1,3 mld zł. Na Mazowszu liczba dłużników nieznacznie przekroczyła 44 tys. osób, a długiem przewyższył 1 mld zł. Trzecie jest woj. dolnośląskie, ale tu już długi ma 35 tys. osób. Najmniej niesolidnych płatników wśród emerytów zamieszkuje Podlasie - 6 181 osób. Ich przeterminowane zadłużenie wynosi niespełna 106 mln zł.</w:t>
      </w:r>
    </w:p>
    <w:p w:rsidR="00C5018B" w:rsidRPr="00C5018B" w:rsidRDefault="00C5018B" w:rsidP="00C5018B">
      <w:pPr>
        <w:spacing w:after="120"/>
        <w:jc w:val="both"/>
        <w:rPr>
          <w:rFonts w:ascii="Calibri" w:hAnsi="Calibri" w:cs="Arial"/>
          <w:sz w:val="24"/>
        </w:rPr>
      </w:pPr>
    </w:p>
    <w:tbl>
      <w:tblPr>
        <w:tblW w:w="7260" w:type="dxa"/>
        <w:tblInd w:w="-10" w:type="dxa"/>
        <w:tblCellMar>
          <w:left w:w="70" w:type="dxa"/>
          <w:right w:w="70" w:type="dxa"/>
        </w:tblCellMar>
        <w:tblLook w:val="04A0" w:firstRow="1" w:lastRow="0" w:firstColumn="1" w:lastColumn="0" w:noHBand="0" w:noVBand="1"/>
      </w:tblPr>
      <w:tblGrid>
        <w:gridCol w:w="2760"/>
        <w:gridCol w:w="1720"/>
        <w:gridCol w:w="1300"/>
        <w:gridCol w:w="1480"/>
      </w:tblGrid>
      <w:tr w:rsidR="00C5018B" w:rsidRPr="00C5018B" w:rsidTr="0088441A">
        <w:trPr>
          <w:trHeight w:val="1215"/>
        </w:trPr>
        <w:tc>
          <w:tcPr>
            <w:tcW w:w="2760" w:type="dxa"/>
            <w:tcBorders>
              <w:top w:val="single" w:sz="8" w:space="0" w:color="9BC2E6"/>
              <w:left w:val="single" w:sz="8" w:space="0" w:color="9BC2E6"/>
              <w:bottom w:val="single" w:sz="8" w:space="0" w:color="95B3D7"/>
              <w:right w:val="single" w:sz="8" w:space="0" w:color="9BC2E6"/>
            </w:tcBorders>
            <w:shd w:val="clear" w:color="000000" w:fill="4F81BD"/>
            <w:vAlign w:val="center"/>
            <w:hideMark/>
          </w:tcPr>
          <w:p w:rsidR="00C5018B" w:rsidRPr="00C5018B" w:rsidRDefault="00C5018B" w:rsidP="00C5018B">
            <w:pPr>
              <w:rPr>
                <w:rFonts w:ascii="Calibri" w:hAnsi="Calibri"/>
                <w:b/>
                <w:bCs/>
                <w:color w:val="FFFFFF"/>
                <w:sz w:val="22"/>
                <w:szCs w:val="22"/>
              </w:rPr>
            </w:pPr>
            <w:r w:rsidRPr="00C5018B">
              <w:rPr>
                <w:rFonts w:ascii="Calibri" w:hAnsi="Calibri"/>
                <w:b/>
                <w:bCs/>
                <w:color w:val="FFFFFF"/>
                <w:sz w:val="22"/>
                <w:szCs w:val="22"/>
              </w:rPr>
              <w:t>WOJEWÓDZTWO</w:t>
            </w:r>
          </w:p>
        </w:tc>
        <w:tc>
          <w:tcPr>
            <w:tcW w:w="1720" w:type="dxa"/>
            <w:tcBorders>
              <w:top w:val="single" w:sz="8" w:space="0" w:color="9BC2E6"/>
              <w:left w:val="nil"/>
              <w:bottom w:val="nil"/>
              <w:right w:val="single" w:sz="8" w:space="0" w:color="9BC2E6"/>
            </w:tcBorders>
            <w:shd w:val="clear" w:color="000000" w:fill="4F81BD"/>
            <w:vAlign w:val="center"/>
            <w:hideMark/>
          </w:tcPr>
          <w:p w:rsidR="00C5018B" w:rsidRPr="00C5018B" w:rsidRDefault="00C5018B" w:rsidP="00C5018B">
            <w:pPr>
              <w:rPr>
                <w:rFonts w:ascii="Calibri" w:hAnsi="Calibri"/>
                <w:b/>
                <w:bCs/>
                <w:color w:val="FFFFFF"/>
                <w:sz w:val="22"/>
                <w:szCs w:val="22"/>
              </w:rPr>
            </w:pPr>
            <w:r w:rsidRPr="00C5018B">
              <w:rPr>
                <w:rFonts w:ascii="Calibri" w:hAnsi="Calibri"/>
                <w:b/>
                <w:bCs/>
                <w:color w:val="FFFFFF"/>
                <w:sz w:val="22"/>
                <w:szCs w:val="22"/>
              </w:rPr>
              <w:t>KWOTA ZALEGŁOŚCI W MLN ZŁ</w:t>
            </w:r>
          </w:p>
        </w:tc>
        <w:tc>
          <w:tcPr>
            <w:tcW w:w="1300" w:type="dxa"/>
            <w:tcBorders>
              <w:top w:val="single" w:sz="8" w:space="0" w:color="9BC2E6"/>
              <w:left w:val="nil"/>
              <w:bottom w:val="single" w:sz="8" w:space="0" w:color="95B3D7"/>
              <w:right w:val="single" w:sz="8" w:space="0" w:color="9BC2E6"/>
            </w:tcBorders>
            <w:shd w:val="clear" w:color="000000" w:fill="4F81BD"/>
            <w:vAlign w:val="center"/>
            <w:hideMark/>
          </w:tcPr>
          <w:p w:rsidR="00C5018B" w:rsidRPr="00C5018B" w:rsidRDefault="00C5018B" w:rsidP="00C5018B">
            <w:pPr>
              <w:rPr>
                <w:rFonts w:ascii="Calibri" w:hAnsi="Calibri"/>
                <w:b/>
                <w:bCs/>
                <w:color w:val="FFFFFF"/>
                <w:sz w:val="22"/>
                <w:szCs w:val="22"/>
              </w:rPr>
            </w:pPr>
            <w:r w:rsidRPr="00C5018B">
              <w:rPr>
                <w:rFonts w:ascii="Calibri" w:hAnsi="Calibri"/>
                <w:b/>
                <w:bCs/>
                <w:color w:val="FFFFFF"/>
                <w:sz w:val="22"/>
                <w:szCs w:val="22"/>
              </w:rPr>
              <w:t>LICZBA DŁUŻNIKÓW (65+)</w:t>
            </w:r>
          </w:p>
        </w:tc>
        <w:tc>
          <w:tcPr>
            <w:tcW w:w="1480" w:type="dxa"/>
            <w:tcBorders>
              <w:top w:val="single" w:sz="8" w:space="0" w:color="9BC2E6"/>
              <w:left w:val="nil"/>
              <w:bottom w:val="single" w:sz="8" w:space="0" w:color="95B3D7"/>
              <w:right w:val="single" w:sz="8" w:space="0" w:color="9BC2E6"/>
            </w:tcBorders>
            <w:shd w:val="clear" w:color="000000" w:fill="4F81BD"/>
            <w:vAlign w:val="center"/>
            <w:hideMark/>
          </w:tcPr>
          <w:p w:rsidR="00C5018B" w:rsidRPr="00C5018B" w:rsidRDefault="00C5018B" w:rsidP="00C5018B">
            <w:pPr>
              <w:rPr>
                <w:rFonts w:ascii="Calibri" w:hAnsi="Calibri"/>
                <w:b/>
                <w:bCs/>
                <w:color w:val="FFFFFF"/>
                <w:sz w:val="22"/>
                <w:szCs w:val="22"/>
              </w:rPr>
            </w:pPr>
            <w:r w:rsidRPr="00C5018B">
              <w:rPr>
                <w:rFonts w:ascii="Calibri" w:hAnsi="Calibri"/>
                <w:b/>
                <w:bCs/>
                <w:color w:val="FFFFFF"/>
                <w:sz w:val="22"/>
                <w:szCs w:val="22"/>
              </w:rPr>
              <w:t>ŚREDNIA KWOTA ZALEGŁOŚCI</w:t>
            </w:r>
          </w:p>
        </w:tc>
      </w:tr>
      <w:tr w:rsidR="00C5018B" w:rsidRPr="00C5018B" w:rsidTr="0088441A">
        <w:trPr>
          <w:trHeight w:val="315"/>
        </w:trPr>
        <w:tc>
          <w:tcPr>
            <w:tcW w:w="2760" w:type="dxa"/>
            <w:tcBorders>
              <w:top w:val="nil"/>
              <w:left w:val="single" w:sz="8" w:space="0" w:color="9BC2E6"/>
              <w:bottom w:val="nil"/>
              <w:right w:val="single" w:sz="8" w:space="0" w:color="9BC2E6"/>
            </w:tcBorders>
            <w:shd w:val="clear" w:color="auto" w:fill="auto"/>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Śląskie</w:t>
            </w:r>
          </w:p>
        </w:tc>
        <w:tc>
          <w:tcPr>
            <w:tcW w:w="1720" w:type="dxa"/>
            <w:tcBorders>
              <w:top w:val="single" w:sz="8" w:space="0" w:color="9BC2E6"/>
              <w:left w:val="nil"/>
              <w:bottom w:val="nil"/>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1 298,8</w:t>
            </w:r>
          </w:p>
        </w:tc>
        <w:tc>
          <w:tcPr>
            <w:tcW w:w="130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54 657</w:t>
            </w:r>
          </w:p>
        </w:tc>
        <w:tc>
          <w:tcPr>
            <w:tcW w:w="148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23 764</w:t>
            </w:r>
          </w:p>
        </w:tc>
      </w:tr>
      <w:tr w:rsidR="00C5018B" w:rsidRPr="00C5018B" w:rsidTr="0088441A">
        <w:trPr>
          <w:trHeight w:val="315"/>
        </w:trPr>
        <w:tc>
          <w:tcPr>
            <w:tcW w:w="2760" w:type="dxa"/>
            <w:tcBorders>
              <w:top w:val="single" w:sz="8" w:space="0" w:color="9BC2E6"/>
              <w:left w:val="single" w:sz="8" w:space="0" w:color="9BC2E6"/>
              <w:bottom w:val="single" w:sz="8" w:space="0" w:color="95B3D7"/>
              <w:right w:val="single" w:sz="8" w:space="0" w:color="9BC2E6"/>
            </w:tcBorders>
            <w:shd w:val="clear" w:color="000000" w:fill="DCE6F1"/>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Mazowieckie</w:t>
            </w:r>
          </w:p>
        </w:tc>
        <w:tc>
          <w:tcPr>
            <w:tcW w:w="1720" w:type="dxa"/>
            <w:tcBorders>
              <w:top w:val="single" w:sz="8" w:space="0" w:color="9BC2E6"/>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1 183,0</w:t>
            </w:r>
          </w:p>
        </w:tc>
        <w:tc>
          <w:tcPr>
            <w:tcW w:w="130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44 106</w:t>
            </w:r>
          </w:p>
        </w:tc>
        <w:tc>
          <w:tcPr>
            <w:tcW w:w="148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26 822</w:t>
            </w:r>
          </w:p>
        </w:tc>
      </w:tr>
      <w:tr w:rsidR="00C5018B" w:rsidRPr="00C5018B" w:rsidTr="0088441A">
        <w:trPr>
          <w:trHeight w:val="315"/>
        </w:trPr>
        <w:tc>
          <w:tcPr>
            <w:tcW w:w="2760" w:type="dxa"/>
            <w:tcBorders>
              <w:top w:val="nil"/>
              <w:left w:val="single" w:sz="8" w:space="0" w:color="9BC2E6"/>
              <w:bottom w:val="nil"/>
              <w:right w:val="single" w:sz="8" w:space="0" w:color="9BC2E6"/>
            </w:tcBorders>
            <w:shd w:val="clear" w:color="auto" w:fill="auto"/>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Dolnośląskie</w:t>
            </w:r>
          </w:p>
        </w:tc>
        <w:tc>
          <w:tcPr>
            <w:tcW w:w="1720" w:type="dxa"/>
            <w:tcBorders>
              <w:top w:val="single" w:sz="8" w:space="0" w:color="9BC2E6"/>
              <w:left w:val="nil"/>
              <w:bottom w:val="nil"/>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687,4</w:t>
            </w:r>
          </w:p>
        </w:tc>
        <w:tc>
          <w:tcPr>
            <w:tcW w:w="130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35 202</w:t>
            </w:r>
          </w:p>
        </w:tc>
        <w:tc>
          <w:tcPr>
            <w:tcW w:w="148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19 527</w:t>
            </w:r>
          </w:p>
        </w:tc>
      </w:tr>
      <w:tr w:rsidR="00C5018B" w:rsidRPr="00C5018B" w:rsidTr="0088441A">
        <w:trPr>
          <w:trHeight w:val="315"/>
        </w:trPr>
        <w:tc>
          <w:tcPr>
            <w:tcW w:w="2760" w:type="dxa"/>
            <w:tcBorders>
              <w:top w:val="single" w:sz="8" w:space="0" w:color="9BC2E6"/>
              <w:left w:val="single" w:sz="8" w:space="0" w:color="9BC2E6"/>
              <w:bottom w:val="single" w:sz="8" w:space="0" w:color="95B3D7"/>
              <w:right w:val="single" w:sz="8" w:space="0" w:color="9BC2E6"/>
            </w:tcBorders>
            <w:shd w:val="clear" w:color="000000" w:fill="DCE6F1"/>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Wielkopolskie</w:t>
            </w:r>
          </w:p>
        </w:tc>
        <w:tc>
          <w:tcPr>
            <w:tcW w:w="1720" w:type="dxa"/>
            <w:tcBorders>
              <w:top w:val="single" w:sz="8" w:space="0" w:color="9BC2E6"/>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641,5</w:t>
            </w:r>
          </w:p>
        </w:tc>
        <w:tc>
          <w:tcPr>
            <w:tcW w:w="130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30 408</w:t>
            </w:r>
          </w:p>
        </w:tc>
        <w:tc>
          <w:tcPr>
            <w:tcW w:w="148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21 097</w:t>
            </w:r>
          </w:p>
        </w:tc>
      </w:tr>
      <w:tr w:rsidR="00C5018B" w:rsidRPr="00C5018B" w:rsidTr="0088441A">
        <w:trPr>
          <w:trHeight w:val="315"/>
        </w:trPr>
        <w:tc>
          <w:tcPr>
            <w:tcW w:w="2760" w:type="dxa"/>
            <w:tcBorders>
              <w:top w:val="nil"/>
              <w:left w:val="single" w:sz="8" w:space="0" w:color="9BC2E6"/>
              <w:bottom w:val="nil"/>
              <w:right w:val="single" w:sz="8" w:space="0" w:color="9BC2E6"/>
            </w:tcBorders>
            <w:shd w:val="clear" w:color="auto" w:fill="auto"/>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Łódzkie</w:t>
            </w:r>
          </w:p>
        </w:tc>
        <w:tc>
          <w:tcPr>
            <w:tcW w:w="1720" w:type="dxa"/>
            <w:tcBorders>
              <w:top w:val="single" w:sz="8" w:space="0" w:color="9BC2E6"/>
              <w:left w:val="nil"/>
              <w:bottom w:val="nil"/>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552,9</w:t>
            </w:r>
          </w:p>
        </w:tc>
        <w:tc>
          <w:tcPr>
            <w:tcW w:w="130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25 712</w:t>
            </w:r>
          </w:p>
        </w:tc>
        <w:tc>
          <w:tcPr>
            <w:tcW w:w="148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21 504</w:t>
            </w:r>
          </w:p>
        </w:tc>
      </w:tr>
      <w:tr w:rsidR="00C5018B" w:rsidRPr="00C5018B" w:rsidTr="0088441A">
        <w:trPr>
          <w:trHeight w:val="315"/>
        </w:trPr>
        <w:tc>
          <w:tcPr>
            <w:tcW w:w="2760" w:type="dxa"/>
            <w:tcBorders>
              <w:top w:val="single" w:sz="8" w:space="0" w:color="9BC2E6"/>
              <w:left w:val="single" w:sz="8" w:space="0" w:color="9BC2E6"/>
              <w:bottom w:val="single" w:sz="8" w:space="0" w:color="95B3D7"/>
              <w:right w:val="single" w:sz="8" w:space="0" w:color="9BC2E6"/>
            </w:tcBorders>
            <w:shd w:val="clear" w:color="000000" w:fill="DCE6F1"/>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Kujawsko-Pomorskie</w:t>
            </w:r>
          </w:p>
        </w:tc>
        <w:tc>
          <w:tcPr>
            <w:tcW w:w="1720" w:type="dxa"/>
            <w:tcBorders>
              <w:top w:val="single" w:sz="8" w:space="0" w:color="9BC2E6"/>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448,4</w:t>
            </w:r>
          </w:p>
        </w:tc>
        <w:tc>
          <w:tcPr>
            <w:tcW w:w="130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23 356</w:t>
            </w:r>
          </w:p>
        </w:tc>
        <w:tc>
          <w:tcPr>
            <w:tcW w:w="148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19 200</w:t>
            </w:r>
          </w:p>
        </w:tc>
      </w:tr>
      <w:tr w:rsidR="00C5018B" w:rsidRPr="00C5018B" w:rsidTr="0088441A">
        <w:trPr>
          <w:trHeight w:val="315"/>
        </w:trPr>
        <w:tc>
          <w:tcPr>
            <w:tcW w:w="2760" w:type="dxa"/>
            <w:tcBorders>
              <w:top w:val="nil"/>
              <w:left w:val="single" w:sz="8" w:space="0" w:color="9BC2E6"/>
              <w:bottom w:val="nil"/>
              <w:right w:val="single" w:sz="8" w:space="0" w:color="9BC2E6"/>
            </w:tcBorders>
            <w:shd w:val="clear" w:color="auto" w:fill="auto"/>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Pomorskie</w:t>
            </w:r>
          </w:p>
        </w:tc>
        <w:tc>
          <w:tcPr>
            <w:tcW w:w="1720" w:type="dxa"/>
            <w:tcBorders>
              <w:top w:val="single" w:sz="8" w:space="0" w:color="9BC2E6"/>
              <w:left w:val="nil"/>
              <w:bottom w:val="nil"/>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459,8</w:t>
            </w:r>
          </w:p>
        </w:tc>
        <w:tc>
          <w:tcPr>
            <w:tcW w:w="130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21 803</w:t>
            </w:r>
          </w:p>
        </w:tc>
        <w:tc>
          <w:tcPr>
            <w:tcW w:w="148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21 090</w:t>
            </w:r>
          </w:p>
        </w:tc>
      </w:tr>
      <w:tr w:rsidR="00C5018B" w:rsidRPr="00C5018B" w:rsidTr="0088441A">
        <w:trPr>
          <w:trHeight w:val="315"/>
        </w:trPr>
        <w:tc>
          <w:tcPr>
            <w:tcW w:w="2760" w:type="dxa"/>
            <w:tcBorders>
              <w:top w:val="single" w:sz="8" w:space="0" w:color="9BC2E6"/>
              <w:left w:val="single" w:sz="8" w:space="0" w:color="9BC2E6"/>
              <w:bottom w:val="single" w:sz="8" w:space="0" w:color="95B3D7"/>
              <w:right w:val="single" w:sz="8" w:space="0" w:color="9BC2E6"/>
            </w:tcBorders>
            <w:shd w:val="clear" w:color="000000" w:fill="DCE6F1"/>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Małopolskie</w:t>
            </w:r>
          </w:p>
        </w:tc>
        <w:tc>
          <w:tcPr>
            <w:tcW w:w="1720" w:type="dxa"/>
            <w:tcBorders>
              <w:top w:val="single" w:sz="8" w:space="0" w:color="9BC2E6"/>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438,0</w:t>
            </w:r>
          </w:p>
        </w:tc>
        <w:tc>
          <w:tcPr>
            <w:tcW w:w="130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20 285</w:t>
            </w:r>
          </w:p>
        </w:tc>
        <w:tc>
          <w:tcPr>
            <w:tcW w:w="148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21 592</w:t>
            </w:r>
          </w:p>
        </w:tc>
      </w:tr>
      <w:tr w:rsidR="00C5018B" w:rsidRPr="00C5018B" w:rsidTr="0088441A">
        <w:trPr>
          <w:trHeight w:val="315"/>
        </w:trPr>
        <w:tc>
          <w:tcPr>
            <w:tcW w:w="2760" w:type="dxa"/>
            <w:tcBorders>
              <w:top w:val="nil"/>
              <w:left w:val="single" w:sz="8" w:space="0" w:color="9BC2E6"/>
              <w:bottom w:val="nil"/>
              <w:right w:val="single" w:sz="8" w:space="0" w:color="9BC2E6"/>
            </w:tcBorders>
            <w:shd w:val="clear" w:color="auto" w:fill="auto"/>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Zachodniopomorskie</w:t>
            </w:r>
          </w:p>
        </w:tc>
        <w:tc>
          <w:tcPr>
            <w:tcW w:w="1720" w:type="dxa"/>
            <w:tcBorders>
              <w:top w:val="single" w:sz="8" w:space="0" w:color="9BC2E6"/>
              <w:left w:val="nil"/>
              <w:bottom w:val="nil"/>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377,0</w:t>
            </w:r>
          </w:p>
        </w:tc>
        <w:tc>
          <w:tcPr>
            <w:tcW w:w="130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19 119</w:t>
            </w:r>
          </w:p>
        </w:tc>
        <w:tc>
          <w:tcPr>
            <w:tcW w:w="148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19 719</w:t>
            </w:r>
          </w:p>
        </w:tc>
      </w:tr>
      <w:tr w:rsidR="00C5018B" w:rsidRPr="00C5018B" w:rsidTr="0088441A">
        <w:trPr>
          <w:trHeight w:val="315"/>
        </w:trPr>
        <w:tc>
          <w:tcPr>
            <w:tcW w:w="2760" w:type="dxa"/>
            <w:tcBorders>
              <w:top w:val="single" w:sz="8" w:space="0" w:color="9BC2E6"/>
              <w:left w:val="single" w:sz="8" w:space="0" w:color="9BC2E6"/>
              <w:bottom w:val="single" w:sz="8" w:space="0" w:color="95B3D7"/>
              <w:right w:val="single" w:sz="8" w:space="0" w:color="9BC2E6"/>
            </w:tcBorders>
            <w:shd w:val="clear" w:color="000000" w:fill="DCE6F1"/>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Lubelskie</w:t>
            </w:r>
          </w:p>
        </w:tc>
        <w:tc>
          <w:tcPr>
            <w:tcW w:w="1720" w:type="dxa"/>
            <w:tcBorders>
              <w:top w:val="single" w:sz="8" w:space="0" w:color="9BC2E6"/>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251,3</w:t>
            </w:r>
          </w:p>
        </w:tc>
        <w:tc>
          <w:tcPr>
            <w:tcW w:w="130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14 336</w:t>
            </w:r>
          </w:p>
        </w:tc>
        <w:tc>
          <w:tcPr>
            <w:tcW w:w="148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17 532</w:t>
            </w:r>
          </w:p>
        </w:tc>
      </w:tr>
      <w:tr w:rsidR="00C5018B" w:rsidRPr="00C5018B" w:rsidTr="0088441A">
        <w:trPr>
          <w:trHeight w:val="315"/>
        </w:trPr>
        <w:tc>
          <w:tcPr>
            <w:tcW w:w="2760" w:type="dxa"/>
            <w:tcBorders>
              <w:top w:val="nil"/>
              <w:left w:val="single" w:sz="8" w:space="0" w:color="9BC2E6"/>
              <w:bottom w:val="nil"/>
              <w:right w:val="single" w:sz="8" w:space="0" w:color="9BC2E6"/>
            </w:tcBorders>
            <w:shd w:val="clear" w:color="auto" w:fill="auto"/>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Warmińsko-Mazurskie</w:t>
            </w:r>
          </w:p>
        </w:tc>
        <w:tc>
          <w:tcPr>
            <w:tcW w:w="1720" w:type="dxa"/>
            <w:tcBorders>
              <w:top w:val="single" w:sz="8" w:space="0" w:color="9BC2E6"/>
              <w:left w:val="nil"/>
              <w:bottom w:val="nil"/>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198,6</w:t>
            </w:r>
          </w:p>
        </w:tc>
        <w:tc>
          <w:tcPr>
            <w:tcW w:w="130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12 284</w:t>
            </w:r>
          </w:p>
        </w:tc>
        <w:tc>
          <w:tcPr>
            <w:tcW w:w="148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16 170</w:t>
            </w:r>
          </w:p>
        </w:tc>
      </w:tr>
      <w:tr w:rsidR="00C5018B" w:rsidRPr="00C5018B" w:rsidTr="0088441A">
        <w:trPr>
          <w:trHeight w:val="315"/>
        </w:trPr>
        <w:tc>
          <w:tcPr>
            <w:tcW w:w="2760" w:type="dxa"/>
            <w:tcBorders>
              <w:top w:val="single" w:sz="8" w:space="0" w:color="9BC2E6"/>
              <w:left w:val="single" w:sz="8" w:space="0" w:color="9BC2E6"/>
              <w:bottom w:val="single" w:sz="8" w:space="0" w:color="95B3D7"/>
              <w:right w:val="single" w:sz="8" w:space="0" w:color="9BC2E6"/>
            </w:tcBorders>
            <w:shd w:val="clear" w:color="000000" w:fill="DCE6F1"/>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Lubuskie</w:t>
            </w:r>
          </w:p>
        </w:tc>
        <w:tc>
          <w:tcPr>
            <w:tcW w:w="1720" w:type="dxa"/>
            <w:tcBorders>
              <w:top w:val="single" w:sz="8" w:space="0" w:color="9BC2E6"/>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187,6</w:t>
            </w:r>
          </w:p>
        </w:tc>
        <w:tc>
          <w:tcPr>
            <w:tcW w:w="130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10 755</w:t>
            </w:r>
          </w:p>
        </w:tc>
        <w:tc>
          <w:tcPr>
            <w:tcW w:w="148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17 444</w:t>
            </w:r>
          </w:p>
        </w:tc>
      </w:tr>
      <w:tr w:rsidR="00C5018B" w:rsidRPr="00C5018B" w:rsidTr="0088441A">
        <w:trPr>
          <w:trHeight w:val="315"/>
        </w:trPr>
        <w:tc>
          <w:tcPr>
            <w:tcW w:w="2760" w:type="dxa"/>
            <w:tcBorders>
              <w:top w:val="nil"/>
              <w:left w:val="single" w:sz="8" w:space="0" w:color="9BC2E6"/>
              <w:bottom w:val="nil"/>
              <w:right w:val="single" w:sz="8" w:space="0" w:color="9BC2E6"/>
            </w:tcBorders>
            <w:shd w:val="clear" w:color="auto" w:fill="auto"/>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Podkarpackie</w:t>
            </w:r>
          </w:p>
        </w:tc>
        <w:tc>
          <w:tcPr>
            <w:tcW w:w="1720" w:type="dxa"/>
            <w:tcBorders>
              <w:top w:val="single" w:sz="8" w:space="0" w:color="9BC2E6"/>
              <w:left w:val="nil"/>
              <w:bottom w:val="nil"/>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179,2</w:t>
            </w:r>
          </w:p>
        </w:tc>
        <w:tc>
          <w:tcPr>
            <w:tcW w:w="130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9 415</w:t>
            </w:r>
          </w:p>
        </w:tc>
        <w:tc>
          <w:tcPr>
            <w:tcW w:w="148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19 029</w:t>
            </w:r>
          </w:p>
        </w:tc>
      </w:tr>
      <w:tr w:rsidR="00C5018B" w:rsidRPr="00C5018B" w:rsidTr="0088441A">
        <w:trPr>
          <w:trHeight w:val="315"/>
        </w:trPr>
        <w:tc>
          <w:tcPr>
            <w:tcW w:w="2760" w:type="dxa"/>
            <w:tcBorders>
              <w:top w:val="single" w:sz="8" w:space="0" w:color="9BC2E6"/>
              <w:left w:val="single" w:sz="8" w:space="0" w:color="9BC2E6"/>
              <w:bottom w:val="single" w:sz="8" w:space="0" w:color="95B3D7"/>
              <w:right w:val="single" w:sz="8" w:space="0" w:color="9BC2E6"/>
            </w:tcBorders>
            <w:shd w:val="clear" w:color="000000" w:fill="DCE6F1"/>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Świętokrzyskie</w:t>
            </w:r>
          </w:p>
        </w:tc>
        <w:tc>
          <w:tcPr>
            <w:tcW w:w="1720" w:type="dxa"/>
            <w:tcBorders>
              <w:top w:val="single" w:sz="8" w:space="0" w:color="9BC2E6"/>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160,7</w:t>
            </w:r>
          </w:p>
        </w:tc>
        <w:tc>
          <w:tcPr>
            <w:tcW w:w="130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9 262</w:t>
            </w:r>
          </w:p>
        </w:tc>
        <w:tc>
          <w:tcPr>
            <w:tcW w:w="148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17 346</w:t>
            </w:r>
          </w:p>
        </w:tc>
      </w:tr>
      <w:tr w:rsidR="00C5018B" w:rsidRPr="00C5018B" w:rsidTr="0088441A">
        <w:trPr>
          <w:trHeight w:val="315"/>
        </w:trPr>
        <w:tc>
          <w:tcPr>
            <w:tcW w:w="2760" w:type="dxa"/>
            <w:tcBorders>
              <w:top w:val="nil"/>
              <w:left w:val="single" w:sz="8" w:space="0" w:color="9BC2E6"/>
              <w:bottom w:val="nil"/>
              <w:right w:val="single" w:sz="8" w:space="0" w:color="9BC2E6"/>
            </w:tcBorders>
            <w:shd w:val="clear" w:color="auto" w:fill="auto"/>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Opolskie</w:t>
            </w:r>
          </w:p>
        </w:tc>
        <w:tc>
          <w:tcPr>
            <w:tcW w:w="1720" w:type="dxa"/>
            <w:tcBorders>
              <w:top w:val="single" w:sz="8" w:space="0" w:color="9BC2E6"/>
              <w:left w:val="nil"/>
              <w:bottom w:val="nil"/>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159,2</w:t>
            </w:r>
          </w:p>
        </w:tc>
        <w:tc>
          <w:tcPr>
            <w:tcW w:w="130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8 221</w:t>
            </w:r>
          </w:p>
        </w:tc>
        <w:tc>
          <w:tcPr>
            <w:tcW w:w="1480" w:type="dxa"/>
            <w:tcBorders>
              <w:top w:val="nil"/>
              <w:left w:val="nil"/>
              <w:bottom w:val="single" w:sz="8" w:space="0" w:color="95B3D7"/>
              <w:right w:val="single" w:sz="8" w:space="0" w:color="9BC2E6"/>
            </w:tcBorders>
            <w:shd w:val="clear" w:color="auto" w:fill="auto"/>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19 370</w:t>
            </w:r>
          </w:p>
        </w:tc>
      </w:tr>
      <w:tr w:rsidR="00C5018B" w:rsidRPr="00C5018B" w:rsidTr="0088441A">
        <w:trPr>
          <w:trHeight w:val="315"/>
        </w:trPr>
        <w:tc>
          <w:tcPr>
            <w:tcW w:w="2760" w:type="dxa"/>
            <w:tcBorders>
              <w:top w:val="single" w:sz="8" w:space="0" w:color="9BC2E6"/>
              <w:left w:val="single" w:sz="8" w:space="0" w:color="9BC2E6"/>
              <w:bottom w:val="single" w:sz="8" w:space="0" w:color="95B3D7"/>
              <w:right w:val="single" w:sz="8" w:space="0" w:color="9BC2E6"/>
            </w:tcBorders>
            <w:shd w:val="clear" w:color="000000" w:fill="DCE6F1"/>
            <w:noWrap/>
            <w:vAlign w:val="center"/>
            <w:hideMark/>
          </w:tcPr>
          <w:p w:rsidR="00C5018B" w:rsidRPr="00C5018B" w:rsidRDefault="00C5018B" w:rsidP="00C5018B">
            <w:pPr>
              <w:rPr>
                <w:rFonts w:ascii="Calibri" w:hAnsi="Calibri"/>
                <w:color w:val="000000"/>
                <w:sz w:val="22"/>
                <w:szCs w:val="22"/>
              </w:rPr>
            </w:pPr>
            <w:r w:rsidRPr="00C5018B">
              <w:rPr>
                <w:rFonts w:ascii="Calibri" w:hAnsi="Calibri"/>
                <w:color w:val="000000"/>
                <w:sz w:val="22"/>
                <w:szCs w:val="22"/>
              </w:rPr>
              <w:t>Podlaskie</w:t>
            </w:r>
          </w:p>
        </w:tc>
        <w:tc>
          <w:tcPr>
            <w:tcW w:w="1720" w:type="dxa"/>
            <w:tcBorders>
              <w:top w:val="single" w:sz="8" w:space="0" w:color="9BC2E6"/>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105,7</w:t>
            </w:r>
          </w:p>
        </w:tc>
        <w:tc>
          <w:tcPr>
            <w:tcW w:w="130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6 181</w:t>
            </w:r>
          </w:p>
        </w:tc>
        <w:tc>
          <w:tcPr>
            <w:tcW w:w="1480" w:type="dxa"/>
            <w:tcBorders>
              <w:top w:val="nil"/>
              <w:left w:val="nil"/>
              <w:bottom w:val="single" w:sz="8" w:space="0" w:color="95B3D7"/>
              <w:right w:val="single" w:sz="8" w:space="0" w:color="9BC2E6"/>
            </w:tcBorders>
            <w:shd w:val="clear" w:color="000000" w:fill="DCE6F1"/>
            <w:noWrap/>
            <w:vAlign w:val="center"/>
            <w:hideMark/>
          </w:tcPr>
          <w:p w:rsidR="00C5018B" w:rsidRPr="00C5018B" w:rsidRDefault="00C5018B" w:rsidP="00C5018B">
            <w:pPr>
              <w:jc w:val="right"/>
              <w:rPr>
                <w:rFonts w:ascii="Calibri" w:hAnsi="Calibri"/>
                <w:color w:val="000000"/>
                <w:sz w:val="22"/>
                <w:szCs w:val="22"/>
              </w:rPr>
            </w:pPr>
            <w:r w:rsidRPr="00C5018B">
              <w:rPr>
                <w:rFonts w:ascii="Calibri" w:hAnsi="Calibri"/>
                <w:color w:val="000000"/>
                <w:sz w:val="22"/>
                <w:szCs w:val="22"/>
              </w:rPr>
              <w:t>17 102</w:t>
            </w:r>
          </w:p>
        </w:tc>
      </w:tr>
    </w:tbl>
    <w:p w:rsidR="00C5018B" w:rsidRPr="00C5018B" w:rsidRDefault="00C5018B" w:rsidP="00C5018B">
      <w:pPr>
        <w:spacing w:after="120"/>
        <w:jc w:val="both"/>
        <w:rPr>
          <w:rFonts w:ascii="Calibri" w:hAnsi="Calibri" w:cs="Arial"/>
          <w:i/>
          <w:sz w:val="18"/>
          <w:szCs w:val="18"/>
        </w:rPr>
      </w:pPr>
      <w:r w:rsidRPr="00C5018B">
        <w:rPr>
          <w:rFonts w:ascii="Calibri" w:hAnsi="Calibri" w:cs="Arial"/>
          <w:i/>
          <w:sz w:val="18"/>
          <w:szCs w:val="18"/>
        </w:rPr>
        <w:t>Źródło: BIG InfoMonitor i BIK</w:t>
      </w:r>
    </w:p>
    <w:p w:rsidR="00C5018B" w:rsidRPr="00C5018B" w:rsidRDefault="00C5018B" w:rsidP="00C5018B">
      <w:pPr>
        <w:spacing w:after="120"/>
        <w:jc w:val="both"/>
        <w:rPr>
          <w:rFonts w:ascii="Calibri" w:hAnsi="Calibri" w:cs="Arial"/>
          <w:i/>
          <w:sz w:val="18"/>
          <w:szCs w:val="18"/>
        </w:rPr>
      </w:pPr>
    </w:p>
    <w:p w:rsidR="00C5018B" w:rsidRPr="00C5018B" w:rsidRDefault="00C5018B" w:rsidP="00C5018B">
      <w:pPr>
        <w:jc w:val="both"/>
        <w:rPr>
          <w:rFonts w:ascii="Calibri" w:hAnsi="Calibri" w:cs="Arial"/>
          <w:i/>
          <w:sz w:val="18"/>
          <w:szCs w:val="18"/>
        </w:rPr>
      </w:pPr>
      <w:r w:rsidRPr="00C5018B">
        <w:rPr>
          <w:rFonts w:ascii="Calibri" w:hAnsi="Calibri" w:cs="Arial"/>
          <w:i/>
          <w:sz w:val="18"/>
          <w:szCs w:val="18"/>
        </w:rPr>
        <w:t xml:space="preserve">*Badanie zostało wykonane przez Instytut ARC Rynek i Opinia na zlecenie BIG InfoMonitor, w listopadzie 2017, metodą wywiadów telefonicznych (CATI), na próbie 502 osób przebywających na emeryturze w wieku 60+ lat (kobiety) oraz 65+ lat (mężczyźni). Próba była reprezentatywna dla populacji kobiet i mężczyzn w przyjętych przedziałach wiekowych. Ponad połowę 502 osobowej próby stanowiły kobiety i mężczyźni między 65 a 74 rokiem życia. 22 proc. badanych przebywało na emeryturze nie dłużej niż 5 lat, kolejne 22 proc. między 6 a 10 lat, 17 proc. od 11 do 15 lat, a niemal 40 proc. badanych przeszło na emeryturę 16 lat temu lub dawniej. </w:t>
      </w:r>
    </w:p>
    <w:p w:rsidR="00C5018B" w:rsidRDefault="00C5018B" w:rsidP="00D46943">
      <w:pPr>
        <w:spacing w:after="120"/>
        <w:jc w:val="both"/>
        <w:rPr>
          <w:rFonts w:cs="Arial"/>
          <w:b/>
          <w:sz w:val="28"/>
          <w:szCs w:val="28"/>
        </w:rPr>
      </w:pPr>
    </w:p>
    <w:p w:rsidR="00F42E2D" w:rsidRPr="00CA6058" w:rsidRDefault="00F42E2D" w:rsidP="00F42E2D">
      <w:pPr>
        <w:spacing w:before="120"/>
        <w:jc w:val="both"/>
        <w:rPr>
          <w:bCs/>
          <w:color w:val="595959" w:themeColor="text1" w:themeTint="A6"/>
          <w:sz w:val="18"/>
          <w:szCs w:val="18"/>
        </w:rPr>
      </w:pPr>
      <w:r w:rsidRPr="00CA6058">
        <w:rPr>
          <w:b/>
          <w:bCs/>
          <w:color w:val="595959" w:themeColor="text1" w:themeTint="A6"/>
          <w:sz w:val="18"/>
          <w:szCs w:val="18"/>
        </w:rPr>
        <w:t xml:space="preserve">Biuro Informacji Gospodarczej InfoMonitor </w:t>
      </w:r>
      <w:r w:rsidRPr="00CA6058">
        <w:rPr>
          <w:bCs/>
          <w:color w:val="595959" w:themeColor="text1" w:themeTint="A6"/>
          <w:sz w:val="18"/>
          <w:szCs w:val="18"/>
        </w:rPr>
        <w:t>(BIG InfoMonitor) prowadzi Rejestr Dłużników BIG. Działając w oparciu o Ustawę o udostępnianiu informacji gospodarczych i wymianie danych gospodarczych przyjmuje, przechowuje i udostępnia informacje gospodarcze o przeterminowanym zadłużeniu osób i firm. BIG InfoMonitor umożliwia dostęp do baz: Biura Informacji Kredytowej i Związku Banków Polskich, dzięki czemu stanowi platformę wymiany informacji pomiędzy sektorem bankowym i pozostałymi sektorami gospodarki. Oferuje również sektorowi bankowemu i przedsiębiorcom narzędzia do weryfikowania wiarygodności płatniczej klientów i kontrahentów oraz wspiera ich w odzyskiwaniu zaległych należności. BIG InfoMonitor jest spółką zależną sektora bankowego - poprzez Biuro Informacji Kredytowej – swojego głównego akcjonariusza.</w:t>
      </w:r>
    </w:p>
    <w:p w:rsidR="00F42E2D" w:rsidRPr="00CA6058" w:rsidRDefault="00F42E2D" w:rsidP="00F42E2D">
      <w:pPr>
        <w:spacing w:after="120"/>
        <w:ind w:left="1423"/>
        <w:contextualSpacing/>
        <w:jc w:val="both"/>
      </w:pPr>
    </w:p>
    <w:p w:rsidR="00F42E2D" w:rsidRDefault="00F42E2D" w:rsidP="00F42E2D">
      <w:pPr>
        <w:spacing w:after="60"/>
        <w:jc w:val="both"/>
        <w:rPr>
          <w:rFonts w:cs="Arial"/>
          <w:b/>
          <w:color w:val="595959" w:themeColor="text1" w:themeTint="A6"/>
          <w:sz w:val="18"/>
          <w:szCs w:val="18"/>
        </w:rPr>
      </w:pPr>
      <w:r w:rsidRPr="00F303A7">
        <w:rPr>
          <w:rFonts w:cs="Arial"/>
          <w:b/>
          <w:color w:val="595959" w:themeColor="text1" w:themeTint="A6"/>
          <w:sz w:val="18"/>
          <w:szCs w:val="18"/>
        </w:rPr>
        <w:t>Kontakt dla prasy:</w:t>
      </w:r>
    </w:p>
    <w:p w:rsidR="00F42E2D" w:rsidRPr="00F303A7" w:rsidRDefault="00F42E2D" w:rsidP="00F42E2D">
      <w:pPr>
        <w:spacing w:after="60"/>
        <w:jc w:val="both"/>
        <w:rPr>
          <w:rFonts w:cs="Arial"/>
          <w:b/>
          <w:color w:val="595959" w:themeColor="text1" w:themeTint="A6"/>
          <w:sz w:val="18"/>
          <w:szCs w:val="18"/>
        </w:rPr>
      </w:pPr>
    </w:p>
    <w:tbl>
      <w:tblPr>
        <w:tblW w:w="0" w:type="auto"/>
        <w:tblLook w:val="04A0" w:firstRow="1" w:lastRow="0" w:firstColumn="1" w:lastColumn="0" w:noHBand="0" w:noVBand="1"/>
      </w:tblPr>
      <w:tblGrid>
        <w:gridCol w:w="4606"/>
        <w:gridCol w:w="4606"/>
      </w:tblGrid>
      <w:tr w:rsidR="00F42E2D" w:rsidRPr="00DB3167" w:rsidTr="00EB3A8A">
        <w:tc>
          <w:tcPr>
            <w:tcW w:w="4606" w:type="dxa"/>
            <w:hideMark/>
          </w:tcPr>
          <w:p w:rsidR="00F42E2D" w:rsidRPr="00F303A7" w:rsidRDefault="00F42E2D" w:rsidP="00F42E2D">
            <w:pPr>
              <w:ind w:left="-108"/>
              <w:jc w:val="both"/>
              <w:rPr>
                <w:rFonts w:cs="Arial"/>
                <w:b/>
                <w:color w:val="595959" w:themeColor="text1" w:themeTint="A6"/>
                <w:sz w:val="18"/>
                <w:szCs w:val="18"/>
              </w:rPr>
            </w:pPr>
            <w:r w:rsidRPr="00F303A7">
              <w:rPr>
                <w:rFonts w:cs="Arial"/>
                <w:b/>
                <w:color w:val="595959" w:themeColor="text1" w:themeTint="A6"/>
                <w:sz w:val="18"/>
                <w:szCs w:val="18"/>
              </w:rPr>
              <w:t>Halina Kochalska</w:t>
            </w:r>
          </w:p>
          <w:p w:rsidR="00F42E2D" w:rsidRPr="00F303A7" w:rsidRDefault="00F42E2D" w:rsidP="00F42E2D">
            <w:pPr>
              <w:ind w:left="-108"/>
              <w:jc w:val="both"/>
              <w:rPr>
                <w:rFonts w:cs="Arial"/>
                <w:color w:val="595959" w:themeColor="text1" w:themeTint="A6"/>
                <w:sz w:val="18"/>
                <w:szCs w:val="18"/>
              </w:rPr>
            </w:pPr>
            <w:r w:rsidRPr="00F303A7">
              <w:rPr>
                <w:rFonts w:cs="Arial"/>
                <w:color w:val="595959" w:themeColor="text1" w:themeTint="A6"/>
                <w:sz w:val="18"/>
                <w:szCs w:val="18"/>
              </w:rPr>
              <w:t>Rzecznik Prasowy</w:t>
            </w:r>
          </w:p>
          <w:p w:rsidR="00F42E2D" w:rsidRPr="00F303A7" w:rsidRDefault="00F42E2D" w:rsidP="00F42E2D">
            <w:pPr>
              <w:ind w:left="-108"/>
              <w:jc w:val="both"/>
              <w:rPr>
                <w:rFonts w:cs="Arial"/>
                <w:color w:val="595959" w:themeColor="text1" w:themeTint="A6"/>
                <w:sz w:val="18"/>
                <w:szCs w:val="18"/>
              </w:rPr>
            </w:pPr>
            <w:r w:rsidRPr="00F303A7">
              <w:rPr>
                <w:rFonts w:cs="Arial"/>
                <w:color w:val="595959" w:themeColor="text1" w:themeTint="A6"/>
                <w:sz w:val="18"/>
                <w:szCs w:val="18"/>
              </w:rPr>
              <w:t>tel.: +48 22 486 56 16</w:t>
            </w:r>
          </w:p>
          <w:p w:rsidR="00F42E2D" w:rsidRPr="00F303A7" w:rsidRDefault="00F42E2D" w:rsidP="00F42E2D">
            <w:pPr>
              <w:ind w:left="-108"/>
              <w:jc w:val="both"/>
              <w:rPr>
                <w:rFonts w:cs="Arial"/>
                <w:color w:val="595959" w:themeColor="text1" w:themeTint="A6"/>
                <w:sz w:val="18"/>
                <w:szCs w:val="18"/>
              </w:rPr>
            </w:pPr>
            <w:r w:rsidRPr="00F303A7">
              <w:rPr>
                <w:rFonts w:cs="Arial"/>
                <w:color w:val="595959" w:themeColor="text1" w:themeTint="A6"/>
                <w:sz w:val="18"/>
                <w:szCs w:val="18"/>
              </w:rPr>
              <w:t>kom.: + 48 602 601 010</w:t>
            </w:r>
          </w:p>
          <w:p w:rsidR="00F42E2D" w:rsidRPr="00F303A7" w:rsidRDefault="004F60DF" w:rsidP="00F42E2D">
            <w:pPr>
              <w:ind w:left="-108"/>
              <w:jc w:val="both"/>
              <w:rPr>
                <w:rFonts w:cs="Arial"/>
                <w:color w:val="595959" w:themeColor="text1" w:themeTint="A6"/>
                <w:sz w:val="18"/>
                <w:szCs w:val="18"/>
              </w:rPr>
            </w:pPr>
            <w:hyperlink r:id="rId11" w:history="1">
              <w:r w:rsidR="00F42E2D" w:rsidRPr="00F303A7">
                <w:rPr>
                  <w:color w:val="595959" w:themeColor="text1" w:themeTint="A6"/>
                  <w:sz w:val="18"/>
                  <w:szCs w:val="18"/>
                </w:rPr>
                <w:t>Halina.Kochalska@big.pl</w:t>
              </w:r>
            </w:hyperlink>
          </w:p>
        </w:tc>
        <w:tc>
          <w:tcPr>
            <w:tcW w:w="4606" w:type="dxa"/>
            <w:hideMark/>
          </w:tcPr>
          <w:p w:rsidR="00F42E2D" w:rsidRPr="00F303A7" w:rsidRDefault="00F42E2D" w:rsidP="00F42E2D">
            <w:pPr>
              <w:jc w:val="both"/>
              <w:rPr>
                <w:rFonts w:cs="Arial"/>
                <w:b/>
                <w:color w:val="595959" w:themeColor="text1" w:themeTint="A6"/>
                <w:sz w:val="18"/>
                <w:szCs w:val="18"/>
              </w:rPr>
            </w:pPr>
            <w:r w:rsidRPr="00F303A7">
              <w:rPr>
                <w:rFonts w:cs="Arial"/>
                <w:b/>
                <w:color w:val="595959" w:themeColor="text1" w:themeTint="A6"/>
                <w:sz w:val="18"/>
                <w:szCs w:val="18"/>
              </w:rPr>
              <w:t>Diana Borowiecka</w:t>
            </w:r>
          </w:p>
          <w:p w:rsidR="00F42E2D" w:rsidRPr="00F303A7" w:rsidRDefault="00F42E2D" w:rsidP="00F42E2D">
            <w:pPr>
              <w:jc w:val="both"/>
              <w:rPr>
                <w:rFonts w:cs="Arial"/>
                <w:color w:val="595959" w:themeColor="text1" w:themeTint="A6"/>
                <w:sz w:val="18"/>
                <w:szCs w:val="18"/>
              </w:rPr>
            </w:pPr>
            <w:r w:rsidRPr="00F303A7">
              <w:rPr>
                <w:rFonts w:cs="Arial"/>
                <w:color w:val="595959" w:themeColor="text1" w:themeTint="A6"/>
                <w:sz w:val="18"/>
                <w:szCs w:val="18"/>
              </w:rPr>
              <w:t>Biuro PR i Komunikacji</w:t>
            </w:r>
          </w:p>
          <w:p w:rsidR="00F42E2D" w:rsidRPr="00C95B8F" w:rsidRDefault="00F42E2D" w:rsidP="00F42E2D">
            <w:pPr>
              <w:jc w:val="both"/>
              <w:rPr>
                <w:rFonts w:cs="Arial"/>
                <w:color w:val="595959" w:themeColor="text1" w:themeTint="A6"/>
                <w:sz w:val="18"/>
                <w:szCs w:val="18"/>
                <w:lang w:val="de-DE"/>
              </w:rPr>
            </w:pPr>
            <w:r w:rsidRPr="00C95B8F">
              <w:rPr>
                <w:rFonts w:cs="Arial"/>
                <w:color w:val="595959" w:themeColor="text1" w:themeTint="A6"/>
                <w:sz w:val="18"/>
                <w:szCs w:val="18"/>
                <w:lang w:val="de-DE"/>
              </w:rPr>
              <w:t>tel.: +48 22 486 56 46</w:t>
            </w:r>
          </w:p>
          <w:p w:rsidR="00F42E2D" w:rsidRPr="00C95B8F" w:rsidRDefault="00F42E2D" w:rsidP="00F42E2D">
            <w:pPr>
              <w:jc w:val="both"/>
              <w:rPr>
                <w:rFonts w:cs="Arial"/>
                <w:color w:val="595959" w:themeColor="text1" w:themeTint="A6"/>
                <w:sz w:val="18"/>
                <w:szCs w:val="18"/>
                <w:lang w:val="de-DE"/>
              </w:rPr>
            </w:pPr>
            <w:r w:rsidRPr="00C95B8F">
              <w:rPr>
                <w:rFonts w:cs="Arial"/>
                <w:color w:val="595959" w:themeColor="text1" w:themeTint="A6"/>
                <w:sz w:val="18"/>
                <w:szCs w:val="18"/>
                <w:lang w:val="de-DE"/>
              </w:rPr>
              <w:t>kom.: + 48 607 146 583</w:t>
            </w:r>
          </w:p>
          <w:p w:rsidR="00F42E2D" w:rsidRPr="00C95B8F" w:rsidRDefault="004F60DF" w:rsidP="00F42E2D">
            <w:pPr>
              <w:jc w:val="both"/>
              <w:rPr>
                <w:rFonts w:cs="Arial"/>
                <w:color w:val="595959" w:themeColor="text1" w:themeTint="A6"/>
                <w:sz w:val="18"/>
                <w:szCs w:val="18"/>
                <w:lang w:val="de-DE"/>
              </w:rPr>
            </w:pPr>
            <w:hyperlink r:id="rId12" w:history="1">
              <w:r w:rsidR="00F42E2D" w:rsidRPr="00C95B8F">
                <w:rPr>
                  <w:color w:val="595959" w:themeColor="text1" w:themeTint="A6"/>
                  <w:sz w:val="18"/>
                  <w:szCs w:val="18"/>
                  <w:lang w:val="de-DE"/>
                </w:rPr>
                <w:t>Diana.Borowiecka@big.pl</w:t>
              </w:r>
            </w:hyperlink>
            <w:r w:rsidR="00F42E2D" w:rsidRPr="00C95B8F">
              <w:rPr>
                <w:rFonts w:cs="Arial"/>
                <w:color w:val="595959" w:themeColor="text1" w:themeTint="A6"/>
                <w:sz w:val="18"/>
                <w:szCs w:val="18"/>
                <w:lang w:val="de-DE"/>
              </w:rPr>
              <w:t xml:space="preserve"> </w:t>
            </w:r>
          </w:p>
        </w:tc>
      </w:tr>
    </w:tbl>
    <w:p w:rsidR="00F42E2D" w:rsidRPr="00C95B8F" w:rsidRDefault="00F42E2D" w:rsidP="00F42E2D">
      <w:pPr>
        <w:jc w:val="both"/>
        <w:rPr>
          <w:lang w:val="de-DE"/>
        </w:rPr>
      </w:pPr>
    </w:p>
    <w:p w:rsidR="00517C2D" w:rsidRDefault="004F60DF" w:rsidP="00F42E2D">
      <w:pPr>
        <w:jc w:val="both"/>
      </w:pPr>
    </w:p>
    <w:sectPr w:rsidR="00517C2D" w:rsidSect="003E4F9A">
      <w:headerReference w:type="default" r:id="rId13"/>
      <w:footerReference w:type="even" r:id="rId14"/>
      <w:footerReference w:type="default" r:id="rId15"/>
      <w:headerReference w:type="first" r:id="rId16"/>
      <w:pgSz w:w="11906" w:h="16838" w:code="9"/>
      <w:pgMar w:top="2180" w:right="1417" w:bottom="1417" w:left="1417"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DF" w:rsidRDefault="004F60DF" w:rsidP="00F42E2D">
      <w:r>
        <w:separator/>
      </w:r>
    </w:p>
  </w:endnote>
  <w:endnote w:type="continuationSeparator" w:id="0">
    <w:p w:rsidR="004F60DF" w:rsidRDefault="004F60DF" w:rsidP="00F4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6" w:rsidRDefault="004105A7" w:rsidP="00314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3A26" w:rsidRDefault="004F60DF" w:rsidP="00DB3A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26" w:rsidRDefault="004105A7" w:rsidP="00314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07CC0">
      <w:rPr>
        <w:rStyle w:val="Numerstrony"/>
        <w:noProof/>
      </w:rPr>
      <w:t>2</w:t>
    </w:r>
    <w:r>
      <w:rPr>
        <w:rStyle w:val="Numerstrony"/>
      </w:rPr>
      <w:fldChar w:fldCharType="end"/>
    </w:r>
  </w:p>
  <w:p w:rsidR="00C44FC5" w:rsidRPr="00D94BC7" w:rsidRDefault="004F60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DF" w:rsidRDefault="004F60DF" w:rsidP="00F42E2D">
      <w:r>
        <w:separator/>
      </w:r>
    </w:p>
  </w:footnote>
  <w:footnote w:type="continuationSeparator" w:id="0">
    <w:p w:rsidR="004F60DF" w:rsidRDefault="004F60DF" w:rsidP="00F4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25" w:rsidRDefault="004105A7" w:rsidP="003F47E5">
    <w:pPr>
      <w:pStyle w:val="Nagwek"/>
    </w:pPr>
    <w:r>
      <w:rPr>
        <w:noProof/>
      </w:rPr>
      <w:drawing>
        <wp:anchor distT="0" distB="0" distL="114300" distR="114300" simplePos="0" relativeHeight="251660288" behindDoc="0" locked="0" layoutInCell="1" allowOverlap="1" wp14:anchorId="2B27E648" wp14:editId="34BA179F">
          <wp:simplePos x="0" y="0"/>
          <wp:positionH relativeFrom="column">
            <wp:posOffset>4500245</wp:posOffset>
          </wp:positionH>
          <wp:positionV relativeFrom="paragraph">
            <wp:posOffset>274081</wp:posOffset>
          </wp:positionV>
          <wp:extent cx="1144905" cy="486410"/>
          <wp:effectExtent l="0" t="0" r="0" b="8890"/>
          <wp:wrapSquare wrapText="bothSides"/>
          <wp:docPr id="64" name="Obraz 64" descr="LogoBIG_pr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IG_pr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4864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C5" w:rsidRDefault="004105A7">
    <w:pPr>
      <w:pStyle w:val="Nagwek"/>
    </w:pPr>
    <w:r>
      <w:rPr>
        <w:noProof/>
      </w:rPr>
      <w:drawing>
        <wp:anchor distT="0" distB="0" distL="114300" distR="114300" simplePos="0" relativeHeight="251659264" behindDoc="0" locked="0" layoutInCell="1" allowOverlap="1" wp14:anchorId="622902D4" wp14:editId="5A5E7793">
          <wp:simplePos x="0" y="0"/>
          <wp:positionH relativeFrom="column">
            <wp:posOffset>4194175</wp:posOffset>
          </wp:positionH>
          <wp:positionV relativeFrom="paragraph">
            <wp:posOffset>35428</wp:posOffset>
          </wp:positionV>
          <wp:extent cx="1522730" cy="647065"/>
          <wp:effectExtent l="0" t="0" r="1270" b="635"/>
          <wp:wrapSquare wrapText="bothSides"/>
          <wp:docPr id="65" name="Obraz 65" descr="LogoBIG_pr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IG_pr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47065"/>
                  </a:xfrm>
                  <a:prstGeom prst="rect">
                    <a:avLst/>
                  </a:prstGeom>
                  <a:noFill/>
                </pic:spPr>
              </pic:pic>
            </a:graphicData>
          </a:graphic>
          <wp14:sizeRelH relativeFrom="page">
            <wp14:pctWidth>0</wp14:pctWidth>
          </wp14:sizeRelH>
          <wp14:sizeRelV relativeFrom="page">
            <wp14:pctHeight>0</wp14:pctHeight>
          </wp14:sizeRelV>
        </wp:anchor>
      </w:drawing>
    </w:r>
  </w:p>
  <w:p w:rsidR="00926ACD" w:rsidRDefault="004F60DF">
    <w:pPr>
      <w:pStyle w:val="Nagwek"/>
    </w:pPr>
  </w:p>
  <w:p w:rsidR="006E7F0C" w:rsidRDefault="004F60DF">
    <w:pPr>
      <w:pStyle w:val="Nagwek"/>
    </w:pPr>
  </w:p>
  <w:p w:rsidR="00085155" w:rsidRPr="00695EB6" w:rsidRDefault="004105A7">
    <w:pPr>
      <w:pStyle w:val="Nagwek"/>
      <w:rPr>
        <w:b/>
        <w:sz w:val="24"/>
      </w:rPr>
    </w:pPr>
    <w:r w:rsidRPr="00695EB6">
      <w:rPr>
        <w:b/>
        <w:sz w:val="24"/>
      </w:rPr>
      <w:t>Informacja prasowa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2D"/>
    <w:rsid w:val="00001269"/>
    <w:rsid w:val="00004785"/>
    <w:rsid w:val="00005A2A"/>
    <w:rsid w:val="000109F6"/>
    <w:rsid w:val="00013607"/>
    <w:rsid w:val="00016A1D"/>
    <w:rsid w:val="000254BE"/>
    <w:rsid w:val="00053E6A"/>
    <w:rsid w:val="000559C5"/>
    <w:rsid w:val="000618CE"/>
    <w:rsid w:val="000654C6"/>
    <w:rsid w:val="00066E76"/>
    <w:rsid w:val="00072093"/>
    <w:rsid w:val="0007685E"/>
    <w:rsid w:val="000770F8"/>
    <w:rsid w:val="00094E2E"/>
    <w:rsid w:val="00096223"/>
    <w:rsid w:val="0009714F"/>
    <w:rsid w:val="000A20A4"/>
    <w:rsid w:val="000A40D8"/>
    <w:rsid w:val="000A7A8F"/>
    <w:rsid w:val="000B06CB"/>
    <w:rsid w:val="000B396F"/>
    <w:rsid w:val="000B3FAC"/>
    <w:rsid w:val="000C16D7"/>
    <w:rsid w:val="000C4102"/>
    <w:rsid w:val="000D6721"/>
    <w:rsid w:val="000D6A94"/>
    <w:rsid w:val="000E381F"/>
    <w:rsid w:val="000E7F5B"/>
    <w:rsid w:val="001021CE"/>
    <w:rsid w:val="00115E62"/>
    <w:rsid w:val="0011796F"/>
    <w:rsid w:val="00120225"/>
    <w:rsid w:val="001204AF"/>
    <w:rsid w:val="00122258"/>
    <w:rsid w:val="001240C9"/>
    <w:rsid w:val="001326D4"/>
    <w:rsid w:val="00133140"/>
    <w:rsid w:val="00136F24"/>
    <w:rsid w:val="00137D74"/>
    <w:rsid w:val="0014073C"/>
    <w:rsid w:val="00142435"/>
    <w:rsid w:val="00144EE5"/>
    <w:rsid w:val="001463EA"/>
    <w:rsid w:val="00156738"/>
    <w:rsid w:val="001568A1"/>
    <w:rsid w:val="00161942"/>
    <w:rsid w:val="00170833"/>
    <w:rsid w:val="001711E7"/>
    <w:rsid w:val="00174061"/>
    <w:rsid w:val="00181112"/>
    <w:rsid w:val="001841DA"/>
    <w:rsid w:val="00184A3D"/>
    <w:rsid w:val="00191D91"/>
    <w:rsid w:val="00192BCD"/>
    <w:rsid w:val="00197B7F"/>
    <w:rsid w:val="001A68CE"/>
    <w:rsid w:val="001B549E"/>
    <w:rsid w:val="001B715B"/>
    <w:rsid w:val="001C37EB"/>
    <w:rsid w:val="001C63AA"/>
    <w:rsid w:val="001C70F2"/>
    <w:rsid w:val="001D1B69"/>
    <w:rsid w:val="001D1EA4"/>
    <w:rsid w:val="001D2C5C"/>
    <w:rsid w:val="001D361E"/>
    <w:rsid w:val="001D7AD2"/>
    <w:rsid w:val="001E26EA"/>
    <w:rsid w:val="00210710"/>
    <w:rsid w:val="00214BDD"/>
    <w:rsid w:val="00220885"/>
    <w:rsid w:val="00220CA5"/>
    <w:rsid w:val="002232E3"/>
    <w:rsid w:val="00230819"/>
    <w:rsid w:val="00237EE3"/>
    <w:rsid w:val="00244599"/>
    <w:rsid w:val="002459C4"/>
    <w:rsid w:val="00247350"/>
    <w:rsid w:val="00253227"/>
    <w:rsid w:val="002763AB"/>
    <w:rsid w:val="00280A75"/>
    <w:rsid w:val="002810EF"/>
    <w:rsid w:val="00283000"/>
    <w:rsid w:val="00290B96"/>
    <w:rsid w:val="002A0013"/>
    <w:rsid w:val="002B5149"/>
    <w:rsid w:val="002C3CF5"/>
    <w:rsid w:val="002C3E82"/>
    <w:rsid w:val="002D414D"/>
    <w:rsid w:val="002E09A6"/>
    <w:rsid w:val="002E33F2"/>
    <w:rsid w:val="002E6ECF"/>
    <w:rsid w:val="002F0E7A"/>
    <w:rsid w:val="002F1436"/>
    <w:rsid w:val="002F31E6"/>
    <w:rsid w:val="002F61A9"/>
    <w:rsid w:val="003047DD"/>
    <w:rsid w:val="00304E9F"/>
    <w:rsid w:val="00305F86"/>
    <w:rsid w:val="00307CC0"/>
    <w:rsid w:val="00307FFE"/>
    <w:rsid w:val="003105FE"/>
    <w:rsid w:val="00320023"/>
    <w:rsid w:val="00321BD5"/>
    <w:rsid w:val="00321C0E"/>
    <w:rsid w:val="003343E6"/>
    <w:rsid w:val="003403CE"/>
    <w:rsid w:val="00341F99"/>
    <w:rsid w:val="00345056"/>
    <w:rsid w:val="00345967"/>
    <w:rsid w:val="00345E5F"/>
    <w:rsid w:val="0035623E"/>
    <w:rsid w:val="00384F17"/>
    <w:rsid w:val="0039406C"/>
    <w:rsid w:val="003A07F5"/>
    <w:rsid w:val="003A0992"/>
    <w:rsid w:val="003A109E"/>
    <w:rsid w:val="003A2014"/>
    <w:rsid w:val="003A24DA"/>
    <w:rsid w:val="003A389B"/>
    <w:rsid w:val="003A3B7C"/>
    <w:rsid w:val="003A5EFF"/>
    <w:rsid w:val="003B32E1"/>
    <w:rsid w:val="003B4479"/>
    <w:rsid w:val="003D4C82"/>
    <w:rsid w:val="003D4C8C"/>
    <w:rsid w:val="003E068F"/>
    <w:rsid w:val="003E3C8A"/>
    <w:rsid w:val="003F0605"/>
    <w:rsid w:val="003F5AC9"/>
    <w:rsid w:val="00405AD5"/>
    <w:rsid w:val="004105A7"/>
    <w:rsid w:val="00414D98"/>
    <w:rsid w:val="00420AE0"/>
    <w:rsid w:val="004214B4"/>
    <w:rsid w:val="00421DCA"/>
    <w:rsid w:val="00430F1D"/>
    <w:rsid w:val="00431D59"/>
    <w:rsid w:val="004562B3"/>
    <w:rsid w:val="00457BC7"/>
    <w:rsid w:val="00462A31"/>
    <w:rsid w:val="00463EAA"/>
    <w:rsid w:val="00466157"/>
    <w:rsid w:val="004671A4"/>
    <w:rsid w:val="0047071A"/>
    <w:rsid w:val="004718FF"/>
    <w:rsid w:val="00475569"/>
    <w:rsid w:val="00475623"/>
    <w:rsid w:val="00475EA5"/>
    <w:rsid w:val="00476304"/>
    <w:rsid w:val="00486042"/>
    <w:rsid w:val="004866A5"/>
    <w:rsid w:val="00486787"/>
    <w:rsid w:val="004937B7"/>
    <w:rsid w:val="004A33D5"/>
    <w:rsid w:val="004A7B0D"/>
    <w:rsid w:val="004C0351"/>
    <w:rsid w:val="004C5405"/>
    <w:rsid w:val="004D6799"/>
    <w:rsid w:val="004D69BC"/>
    <w:rsid w:val="004F3AA2"/>
    <w:rsid w:val="004F60DF"/>
    <w:rsid w:val="00504557"/>
    <w:rsid w:val="00533841"/>
    <w:rsid w:val="00546E0D"/>
    <w:rsid w:val="005536D2"/>
    <w:rsid w:val="00556BA5"/>
    <w:rsid w:val="00572CD9"/>
    <w:rsid w:val="00577C33"/>
    <w:rsid w:val="005A0BB8"/>
    <w:rsid w:val="005A3BE5"/>
    <w:rsid w:val="005A70AB"/>
    <w:rsid w:val="005B1993"/>
    <w:rsid w:val="005B3465"/>
    <w:rsid w:val="005B53D7"/>
    <w:rsid w:val="005B54A9"/>
    <w:rsid w:val="005B7A7D"/>
    <w:rsid w:val="005C503E"/>
    <w:rsid w:val="005C7C98"/>
    <w:rsid w:val="005D493C"/>
    <w:rsid w:val="005E171E"/>
    <w:rsid w:val="005E547E"/>
    <w:rsid w:val="005E5963"/>
    <w:rsid w:val="00600659"/>
    <w:rsid w:val="0060110D"/>
    <w:rsid w:val="006047CC"/>
    <w:rsid w:val="00605CD6"/>
    <w:rsid w:val="00607410"/>
    <w:rsid w:val="00607A18"/>
    <w:rsid w:val="00613257"/>
    <w:rsid w:val="006136A9"/>
    <w:rsid w:val="006231EC"/>
    <w:rsid w:val="00623328"/>
    <w:rsid w:val="00626748"/>
    <w:rsid w:val="00630E5C"/>
    <w:rsid w:val="00631283"/>
    <w:rsid w:val="00633E24"/>
    <w:rsid w:val="00634D2A"/>
    <w:rsid w:val="00635600"/>
    <w:rsid w:val="00636C61"/>
    <w:rsid w:val="0064027F"/>
    <w:rsid w:val="006451F5"/>
    <w:rsid w:val="00651D7B"/>
    <w:rsid w:val="00654DFD"/>
    <w:rsid w:val="006677C8"/>
    <w:rsid w:val="00696302"/>
    <w:rsid w:val="006A1127"/>
    <w:rsid w:val="006A1F66"/>
    <w:rsid w:val="006B13C8"/>
    <w:rsid w:val="006C63A6"/>
    <w:rsid w:val="006E4064"/>
    <w:rsid w:val="006E6A1B"/>
    <w:rsid w:val="006F0192"/>
    <w:rsid w:val="006F6492"/>
    <w:rsid w:val="00705094"/>
    <w:rsid w:val="00713D79"/>
    <w:rsid w:val="00714734"/>
    <w:rsid w:val="0071785C"/>
    <w:rsid w:val="00723848"/>
    <w:rsid w:val="00725696"/>
    <w:rsid w:val="00726F42"/>
    <w:rsid w:val="00727AEF"/>
    <w:rsid w:val="00732F31"/>
    <w:rsid w:val="00733639"/>
    <w:rsid w:val="00735026"/>
    <w:rsid w:val="00740BC7"/>
    <w:rsid w:val="00741206"/>
    <w:rsid w:val="007413A2"/>
    <w:rsid w:val="007431F8"/>
    <w:rsid w:val="00750A8E"/>
    <w:rsid w:val="00753B3B"/>
    <w:rsid w:val="007561E2"/>
    <w:rsid w:val="00762EC7"/>
    <w:rsid w:val="00766805"/>
    <w:rsid w:val="00766B54"/>
    <w:rsid w:val="0078371B"/>
    <w:rsid w:val="00791B92"/>
    <w:rsid w:val="00793240"/>
    <w:rsid w:val="007A5954"/>
    <w:rsid w:val="007B4CD2"/>
    <w:rsid w:val="007B68EF"/>
    <w:rsid w:val="007B793E"/>
    <w:rsid w:val="007C07C2"/>
    <w:rsid w:val="007C569A"/>
    <w:rsid w:val="007D1336"/>
    <w:rsid w:val="007D3D7A"/>
    <w:rsid w:val="007D603E"/>
    <w:rsid w:val="007D684B"/>
    <w:rsid w:val="007D6DF0"/>
    <w:rsid w:val="007E0CE0"/>
    <w:rsid w:val="007E1087"/>
    <w:rsid w:val="007E316A"/>
    <w:rsid w:val="007E48F2"/>
    <w:rsid w:val="007F086D"/>
    <w:rsid w:val="007F2E0D"/>
    <w:rsid w:val="007F4AA4"/>
    <w:rsid w:val="007F6CF6"/>
    <w:rsid w:val="0080219D"/>
    <w:rsid w:val="0081472B"/>
    <w:rsid w:val="00816248"/>
    <w:rsid w:val="00816783"/>
    <w:rsid w:val="00816E24"/>
    <w:rsid w:val="00831662"/>
    <w:rsid w:val="00834A03"/>
    <w:rsid w:val="00842A11"/>
    <w:rsid w:val="008505E4"/>
    <w:rsid w:val="00852FA9"/>
    <w:rsid w:val="008568A0"/>
    <w:rsid w:val="0085712B"/>
    <w:rsid w:val="00857A67"/>
    <w:rsid w:val="00865B0D"/>
    <w:rsid w:val="00880DF4"/>
    <w:rsid w:val="00884A6E"/>
    <w:rsid w:val="008957DE"/>
    <w:rsid w:val="008A234C"/>
    <w:rsid w:val="008A6127"/>
    <w:rsid w:val="008C0809"/>
    <w:rsid w:val="008C3A3B"/>
    <w:rsid w:val="008C72AE"/>
    <w:rsid w:val="008D0120"/>
    <w:rsid w:val="008D31E0"/>
    <w:rsid w:val="008D4E56"/>
    <w:rsid w:val="008D64F3"/>
    <w:rsid w:val="008E2FFC"/>
    <w:rsid w:val="008F359B"/>
    <w:rsid w:val="009057FC"/>
    <w:rsid w:val="00910A58"/>
    <w:rsid w:val="009161FD"/>
    <w:rsid w:val="00916A96"/>
    <w:rsid w:val="00916D59"/>
    <w:rsid w:val="00921607"/>
    <w:rsid w:val="00925F33"/>
    <w:rsid w:val="00935BCE"/>
    <w:rsid w:val="00937577"/>
    <w:rsid w:val="00937D10"/>
    <w:rsid w:val="009400F9"/>
    <w:rsid w:val="00942660"/>
    <w:rsid w:val="00951C54"/>
    <w:rsid w:val="00952182"/>
    <w:rsid w:val="009525C1"/>
    <w:rsid w:val="009618C8"/>
    <w:rsid w:val="00961EB5"/>
    <w:rsid w:val="00967F7D"/>
    <w:rsid w:val="009850FF"/>
    <w:rsid w:val="0099384C"/>
    <w:rsid w:val="009946BC"/>
    <w:rsid w:val="0099767F"/>
    <w:rsid w:val="009A088B"/>
    <w:rsid w:val="009A1E64"/>
    <w:rsid w:val="009B798A"/>
    <w:rsid w:val="009B7E61"/>
    <w:rsid w:val="009C22C0"/>
    <w:rsid w:val="009C45CC"/>
    <w:rsid w:val="009C48BC"/>
    <w:rsid w:val="009C6D46"/>
    <w:rsid w:val="009D2E06"/>
    <w:rsid w:val="009D5132"/>
    <w:rsid w:val="009D6CD8"/>
    <w:rsid w:val="009E66B1"/>
    <w:rsid w:val="009F1AD2"/>
    <w:rsid w:val="009F2B8D"/>
    <w:rsid w:val="009F32C5"/>
    <w:rsid w:val="009F7CE4"/>
    <w:rsid w:val="00A03CB3"/>
    <w:rsid w:val="00A071D7"/>
    <w:rsid w:val="00A1184E"/>
    <w:rsid w:val="00A22DEE"/>
    <w:rsid w:val="00A22F9B"/>
    <w:rsid w:val="00A2740C"/>
    <w:rsid w:val="00A32576"/>
    <w:rsid w:val="00A35A7B"/>
    <w:rsid w:val="00A37316"/>
    <w:rsid w:val="00A521C5"/>
    <w:rsid w:val="00A52D74"/>
    <w:rsid w:val="00A64CB8"/>
    <w:rsid w:val="00A72FA9"/>
    <w:rsid w:val="00A8759A"/>
    <w:rsid w:val="00A95E49"/>
    <w:rsid w:val="00A9639F"/>
    <w:rsid w:val="00AA5CD1"/>
    <w:rsid w:val="00AB6440"/>
    <w:rsid w:val="00AC11B0"/>
    <w:rsid w:val="00AC7B71"/>
    <w:rsid w:val="00AD5FD8"/>
    <w:rsid w:val="00AD64AA"/>
    <w:rsid w:val="00AE54EF"/>
    <w:rsid w:val="00B14A46"/>
    <w:rsid w:val="00B25E23"/>
    <w:rsid w:val="00B30B0C"/>
    <w:rsid w:val="00B373FD"/>
    <w:rsid w:val="00B40AE9"/>
    <w:rsid w:val="00B40E42"/>
    <w:rsid w:val="00B45B83"/>
    <w:rsid w:val="00B476EA"/>
    <w:rsid w:val="00B5233C"/>
    <w:rsid w:val="00B54BDD"/>
    <w:rsid w:val="00B55CC8"/>
    <w:rsid w:val="00B57B41"/>
    <w:rsid w:val="00B60085"/>
    <w:rsid w:val="00B70856"/>
    <w:rsid w:val="00B71FDE"/>
    <w:rsid w:val="00B72EFD"/>
    <w:rsid w:val="00B7394B"/>
    <w:rsid w:val="00B75B38"/>
    <w:rsid w:val="00B8219B"/>
    <w:rsid w:val="00B83BE1"/>
    <w:rsid w:val="00B84CCD"/>
    <w:rsid w:val="00B91E2F"/>
    <w:rsid w:val="00B97B3B"/>
    <w:rsid w:val="00BA685B"/>
    <w:rsid w:val="00BA7663"/>
    <w:rsid w:val="00BC52A2"/>
    <w:rsid w:val="00BC71D0"/>
    <w:rsid w:val="00BE1F03"/>
    <w:rsid w:val="00BE259C"/>
    <w:rsid w:val="00BE2C0E"/>
    <w:rsid w:val="00BE5B94"/>
    <w:rsid w:val="00BF02B0"/>
    <w:rsid w:val="00C00086"/>
    <w:rsid w:val="00C00330"/>
    <w:rsid w:val="00C20E1A"/>
    <w:rsid w:val="00C23C97"/>
    <w:rsid w:val="00C5018B"/>
    <w:rsid w:val="00C54011"/>
    <w:rsid w:val="00C612C8"/>
    <w:rsid w:val="00C75F44"/>
    <w:rsid w:val="00C80336"/>
    <w:rsid w:val="00C863A1"/>
    <w:rsid w:val="00C86DE8"/>
    <w:rsid w:val="00CA1A0F"/>
    <w:rsid w:val="00CA263E"/>
    <w:rsid w:val="00CA29C9"/>
    <w:rsid w:val="00CA3D5D"/>
    <w:rsid w:val="00CA52BB"/>
    <w:rsid w:val="00CB27C5"/>
    <w:rsid w:val="00CC04C1"/>
    <w:rsid w:val="00CC21DF"/>
    <w:rsid w:val="00CC7656"/>
    <w:rsid w:val="00CC7700"/>
    <w:rsid w:val="00CD04A4"/>
    <w:rsid w:val="00CD115B"/>
    <w:rsid w:val="00CD207D"/>
    <w:rsid w:val="00CD65C2"/>
    <w:rsid w:val="00CE5B64"/>
    <w:rsid w:val="00CF2667"/>
    <w:rsid w:val="00CF28F9"/>
    <w:rsid w:val="00CF35A2"/>
    <w:rsid w:val="00CF5A8C"/>
    <w:rsid w:val="00D03626"/>
    <w:rsid w:val="00D065E3"/>
    <w:rsid w:val="00D14314"/>
    <w:rsid w:val="00D169AB"/>
    <w:rsid w:val="00D233B5"/>
    <w:rsid w:val="00D31EE8"/>
    <w:rsid w:val="00D35C09"/>
    <w:rsid w:val="00D42DAB"/>
    <w:rsid w:val="00D45B58"/>
    <w:rsid w:val="00D46943"/>
    <w:rsid w:val="00D47510"/>
    <w:rsid w:val="00D50DB2"/>
    <w:rsid w:val="00D723F7"/>
    <w:rsid w:val="00D73529"/>
    <w:rsid w:val="00D85973"/>
    <w:rsid w:val="00D86114"/>
    <w:rsid w:val="00D92817"/>
    <w:rsid w:val="00D92B87"/>
    <w:rsid w:val="00D973AF"/>
    <w:rsid w:val="00DB0257"/>
    <w:rsid w:val="00DB13D5"/>
    <w:rsid w:val="00DB18EB"/>
    <w:rsid w:val="00DB2EAC"/>
    <w:rsid w:val="00DB49AD"/>
    <w:rsid w:val="00DB4F24"/>
    <w:rsid w:val="00DB6CDA"/>
    <w:rsid w:val="00DB7D54"/>
    <w:rsid w:val="00DC4DEA"/>
    <w:rsid w:val="00DD0E06"/>
    <w:rsid w:val="00DE467F"/>
    <w:rsid w:val="00DF0624"/>
    <w:rsid w:val="00DF0D32"/>
    <w:rsid w:val="00DF10D3"/>
    <w:rsid w:val="00DF359E"/>
    <w:rsid w:val="00E0113F"/>
    <w:rsid w:val="00E03CF4"/>
    <w:rsid w:val="00E15B2F"/>
    <w:rsid w:val="00E24377"/>
    <w:rsid w:val="00E255C9"/>
    <w:rsid w:val="00E2590B"/>
    <w:rsid w:val="00E272ED"/>
    <w:rsid w:val="00E300BD"/>
    <w:rsid w:val="00E30470"/>
    <w:rsid w:val="00E33ECC"/>
    <w:rsid w:val="00E341AA"/>
    <w:rsid w:val="00E5639C"/>
    <w:rsid w:val="00E63004"/>
    <w:rsid w:val="00E6333A"/>
    <w:rsid w:val="00E64990"/>
    <w:rsid w:val="00E72FC6"/>
    <w:rsid w:val="00E74F15"/>
    <w:rsid w:val="00E855F7"/>
    <w:rsid w:val="00E907A6"/>
    <w:rsid w:val="00E94A43"/>
    <w:rsid w:val="00E9739E"/>
    <w:rsid w:val="00EA0273"/>
    <w:rsid w:val="00EA060A"/>
    <w:rsid w:val="00EA5FDE"/>
    <w:rsid w:val="00EB7FDD"/>
    <w:rsid w:val="00EC0870"/>
    <w:rsid w:val="00EC465F"/>
    <w:rsid w:val="00ED5272"/>
    <w:rsid w:val="00EE16F3"/>
    <w:rsid w:val="00EE18F1"/>
    <w:rsid w:val="00EE2440"/>
    <w:rsid w:val="00EE5E78"/>
    <w:rsid w:val="00EE64A7"/>
    <w:rsid w:val="00F0182F"/>
    <w:rsid w:val="00F03ED6"/>
    <w:rsid w:val="00F07117"/>
    <w:rsid w:val="00F10EEA"/>
    <w:rsid w:val="00F13C77"/>
    <w:rsid w:val="00F141A7"/>
    <w:rsid w:val="00F16240"/>
    <w:rsid w:val="00F207E1"/>
    <w:rsid w:val="00F23742"/>
    <w:rsid w:val="00F26E50"/>
    <w:rsid w:val="00F31A17"/>
    <w:rsid w:val="00F42E2D"/>
    <w:rsid w:val="00F44B06"/>
    <w:rsid w:val="00F45706"/>
    <w:rsid w:val="00F51673"/>
    <w:rsid w:val="00F52400"/>
    <w:rsid w:val="00F54B7B"/>
    <w:rsid w:val="00F57869"/>
    <w:rsid w:val="00F63981"/>
    <w:rsid w:val="00F66D54"/>
    <w:rsid w:val="00F73B95"/>
    <w:rsid w:val="00FA3080"/>
    <w:rsid w:val="00FA35A5"/>
    <w:rsid w:val="00FB5044"/>
    <w:rsid w:val="00FC0BA5"/>
    <w:rsid w:val="00FC1306"/>
    <w:rsid w:val="00FC2F49"/>
    <w:rsid w:val="00FC6409"/>
    <w:rsid w:val="00FD129E"/>
    <w:rsid w:val="00FD1870"/>
    <w:rsid w:val="00FD1F08"/>
    <w:rsid w:val="00FD7763"/>
    <w:rsid w:val="00FE32B5"/>
    <w:rsid w:val="00FF1DA7"/>
    <w:rsid w:val="00FF6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E2D"/>
    <w:pPr>
      <w:spacing w:after="0" w:line="240" w:lineRule="auto"/>
    </w:pPr>
    <w:rPr>
      <w:rFonts w:eastAsia="Times New Roman" w:cs="Times New Roman"/>
      <w:sz w:val="23"/>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42E2D"/>
    <w:pPr>
      <w:tabs>
        <w:tab w:val="center" w:pos="4536"/>
        <w:tab w:val="right" w:pos="9072"/>
      </w:tabs>
    </w:pPr>
  </w:style>
  <w:style w:type="character" w:customStyle="1" w:styleId="NagwekZnak">
    <w:name w:val="Nagłówek Znak"/>
    <w:basedOn w:val="Domylnaczcionkaakapitu"/>
    <w:link w:val="Nagwek"/>
    <w:rsid w:val="00F42E2D"/>
    <w:rPr>
      <w:rFonts w:eastAsia="Times New Roman" w:cs="Times New Roman"/>
      <w:sz w:val="23"/>
      <w:szCs w:val="24"/>
      <w:lang w:eastAsia="pl-PL"/>
    </w:rPr>
  </w:style>
  <w:style w:type="paragraph" w:styleId="Stopka">
    <w:name w:val="footer"/>
    <w:basedOn w:val="Normalny"/>
    <w:link w:val="StopkaZnak"/>
    <w:rsid w:val="00F42E2D"/>
    <w:pPr>
      <w:tabs>
        <w:tab w:val="center" w:pos="4536"/>
        <w:tab w:val="right" w:pos="9072"/>
      </w:tabs>
    </w:pPr>
  </w:style>
  <w:style w:type="character" w:customStyle="1" w:styleId="StopkaZnak">
    <w:name w:val="Stopka Znak"/>
    <w:basedOn w:val="Domylnaczcionkaakapitu"/>
    <w:link w:val="Stopka"/>
    <w:rsid w:val="00F42E2D"/>
    <w:rPr>
      <w:rFonts w:eastAsia="Times New Roman" w:cs="Times New Roman"/>
      <w:sz w:val="23"/>
      <w:szCs w:val="24"/>
      <w:lang w:eastAsia="pl-PL"/>
    </w:rPr>
  </w:style>
  <w:style w:type="character" w:styleId="Numerstrony">
    <w:name w:val="page number"/>
    <w:basedOn w:val="Domylnaczcionkaakapitu"/>
    <w:rsid w:val="00F42E2D"/>
  </w:style>
  <w:style w:type="paragraph" w:styleId="Tekstprzypisukocowego">
    <w:name w:val="endnote text"/>
    <w:basedOn w:val="Normalny"/>
    <w:link w:val="TekstprzypisukocowegoZnak"/>
    <w:uiPriority w:val="99"/>
    <w:semiHidden/>
    <w:unhideWhenUsed/>
    <w:rsid w:val="00F42E2D"/>
    <w:rPr>
      <w:sz w:val="20"/>
      <w:szCs w:val="20"/>
    </w:rPr>
  </w:style>
  <w:style w:type="character" w:customStyle="1" w:styleId="TekstprzypisukocowegoZnak">
    <w:name w:val="Tekst przypisu końcowego Znak"/>
    <w:basedOn w:val="Domylnaczcionkaakapitu"/>
    <w:link w:val="Tekstprzypisukocowego"/>
    <w:uiPriority w:val="99"/>
    <w:semiHidden/>
    <w:rsid w:val="00F42E2D"/>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F42E2D"/>
    <w:rPr>
      <w:vertAlign w:val="superscript"/>
    </w:rPr>
  </w:style>
  <w:style w:type="paragraph" w:styleId="NormalnyWeb">
    <w:name w:val="Normal (Web)"/>
    <w:basedOn w:val="Normalny"/>
    <w:uiPriority w:val="99"/>
    <w:unhideWhenUsed/>
    <w:rsid w:val="00F42E2D"/>
    <w:pPr>
      <w:spacing w:before="100" w:beforeAutospacing="1" w:after="100" w:afterAutospacing="1"/>
    </w:pPr>
    <w:rPr>
      <w:rFonts w:ascii="Times New Roman" w:eastAsiaTheme="minorHAnsi" w:hAnsi="Times New Roman"/>
      <w:sz w:val="24"/>
    </w:rPr>
  </w:style>
  <w:style w:type="character" w:customStyle="1" w:styleId="hiddengrammarerror">
    <w:name w:val="hiddengrammarerror"/>
    <w:basedOn w:val="Domylnaczcionkaakapitu"/>
    <w:rsid w:val="00F42E2D"/>
  </w:style>
  <w:style w:type="paragraph" w:styleId="Tekstdymka">
    <w:name w:val="Balloon Text"/>
    <w:basedOn w:val="Normalny"/>
    <w:link w:val="TekstdymkaZnak"/>
    <w:uiPriority w:val="99"/>
    <w:semiHidden/>
    <w:unhideWhenUsed/>
    <w:rsid w:val="0099767F"/>
    <w:rPr>
      <w:rFonts w:ascii="Tahoma" w:hAnsi="Tahoma" w:cs="Tahoma"/>
      <w:sz w:val="16"/>
      <w:szCs w:val="16"/>
    </w:rPr>
  </w:style>
  <w:style w:type="character" w:customStyle="1" w:styleId="TekstdymkaZnak">
    <w:name w:val="Tekst dymka Znak"/>
    <w:basedOn w:val="Domylnaczcionkaakapitu"/>
    <w:link w:val="Tekstdymka"/>
    <w:uiPriority w:val="99"/>
    <w:semiHidden/>
    <w:rsid w:val="0099767F"/>
    <w:rPr>
      <w:rFonts w:ascii="Tahoma" w:eastAsia="Times New Roman" w:hAnsi="Tahoma" w:cs="Tahoma"/>
      <w:sz w:val="16"/>
      <w:szCs w:val="16"/>
      <w:lang w:eastAsia="pl-PL"/>
    </w:rPr>
  </w:style>
  <w:style w:type="character" w:styleId="Hipercze">
    <w:name w:val="Hyperlink"/>
    <w:basedOn w:val="Domylnaczcionkaakapitu"/>
    <w:uiPriority w:val="99"/>
    <w:unhideWhenUsed/>
    <w:rsid w:val="00CC7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E2D"/>
    <w:pPr>
      <w:spacing w:after="0" w:line="240" w:lineRule="auto"/>
    </w:pPr>
    <w:rPr>
      <w:rFonts w:eastAsia="Times New Roman" w:cs="Times New Roman"/>
      <w:sz w:val="23"/>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42E2D"/>
    <w:pPr>
      <w:tabs>
        <w:tab w:val="center" w:pos="4536"/>
        <w:tab w:val="right" w:pos="9072"/>
      </w:tabs>
    </w:pPr>
  </w:style>
  <w:style w:type="character" w:customStyle="1" w:styleId="NagwekZnak">
    <w:name w:val="Nagłówek Znak"/>
    <w:basedOn w:val="Domylnaczcionkaakapitu"/>
    <w:link w:val="Nagwek"/>
    <w:rsid w:val="00F42E2D"/>
    <w:rPr>
      <w:rFonts w:eastAsia="Times New Roman" w:cs="Times New Roman"/>
      <w:sz w:val="23"/>
      <w:szCs w:val="24"/>
      <w:lang w:eastAsia="pl-PL"/>
    </w:rPr>
  </w:style>
  <w:style w:type="paragraph" w:styleId="Stopka">
    <w:name w:val="footer"/>
    <w:basedOn w:val="Normalny"/>
    <w:link w:val="StopkaZnak"/>
    <w:rsid w:val="00F42E2D"/>
    <w:pPr>
      <w:tabs>
        <w:tab w:val="center" w:pos="4536"/>
        <w:tab w:val="right" w:pos="9072"/>
      </w:tabs>
    </w:pPr>
  </w:style>
  <w:style w:type="character" w:customStyle="1" w:styleId="StopkaZnak">
    <w:name w:val="Stopka Znak"/>
    <w:basedOn w:val="Domylnaczcionkaakapitu"/>
    <w:link w:val="Stopka"/>
    <w:rsid w:val="00F42E2D"/>
    <w:rPr>
      <w:rFonts w:eastAsia="Times New Roman" w:cs="Times New Roman"/>
      <w:sz w:val="23"/>
      <w:szCs w:val="24"/>
      <w:lang w:eastAsia="pl-PL"/>
    </w:rPr>
  </w:style>
  <w:style w:type="character" w:styleId="Numerstrony">
    <w:name w:val="page number"/>
    <w:basedOn w:val="Domylnaczcionkaakapitu"/>
    <w:rsid w:val="00F42E2D"/>
  </w:style>
  <w:style w:type="paragraph" w:styleId="Tekstprzypisukocowego">
    <w:name w:val="endnote text"/>
    <w:basedOn w:val="Normalny"/>
    <w:link w:val="TekstprzypisukocowegoZnak"/>
    <w:uiPriority w:val="99"/>
    <w:semiHidden/>
    <w:unhideWhenUsed/>
    <w:rsid w:val="00F42E2D"/>
    <w:rPr>
      <w:sz w:val="20"/>
      <w:szCs w:val="20"/>
    </w:rPr>
  </w:style>
  <w:style w:type="character" w:customStyle="1" w:styleId="TekstprzypisukocowegoZnak">
    <w:name w:val="Tekst przypisu końcowego Znak"/>
    <w:basedOn w:val="Domylnaczcionkaakapitu"/>
    <w:link w:val="Tekstprzypisukocowego"/>
    <w:uiPriority w:val="99"/>
    <w:semiHidden/>
    <w:rsid w:val="00F42E2D"/>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F42E2D"/>
    <w:rPr>
      <w:vertAlign w:val="superscript"/>
    </w:rPr>
  </w:style>
  <w:style w:type="paragraph" w:styleId="NormalnyWeb">
    <w:name w:val="Normal (Web)"/>
    <w:basedOn w:val="Normalny"/>
    <w:uiPriority w:val="99"/>
    <w:unhideWhenUsed/>
    <w:rsid w:val="00F42E2D"/>
    <w:pPr>
      <w:spacing w:before="100" w:beforeAutospacing="1" w:after="100" w:afterAutospacing="1"/>
    </w:pPr>
    <w:rPr>
      <w:rFonts w:ascii="Times New Roman" w:eastAsiaTheme="minorHAnsi" w:hAnsi="Times New Roman"/>
      <w:sz w:val="24"/>
    </w:rPr>
  </w:style>
  <w:style w:type="character" w:customStyle="1" w:styleId="hiddengrammarerror">
    <w:name w:val="hiddengrammarerror"/>
    <w:basedOn w:val="Domylnaczcionkaakapitu"/>
    <w:rsid w:val="00F42E2D"/>
  </w:style>
  <w:style w:type="paragraph" w:styleId="Tekstdymka">
    <w:name w:val="Balloon Text"/>
    <w:basedOn w:val="Normalny"/>
    <w:link w:val="TekstdymkaZnak"/>
    <w:uiPriority w:val="99"/>
    <w:semiHidden/>
    <w:unhideWhenUsed/>
    <w:rsid w:val="0099767F"/>
    <w:rPr>
      <w:rFonts w:ascii="Tahoma" w:hAnsi="Tahoma" w:cs="Tahoma"/>
      <w:sz w:val="16"/>
      <w:szCs w:val="16"/>
    </w:rPr>
  </w:style>
  <w:style w:type="character" w:customStyle="1" w:styleId="TekstdymkaZnak">
    <w:name w:val="Tekst dymka Znak"/>
    <w:basedOn w:val="Domylnaczcionkaakapitu"/>
    <w:link w:val="Tekstdymka"/>
    <w:uiPriority w:val="99"/>
    <w:semiHidden/>
    <w:rsid w:val="0099767F"/>
    <w:rPr>
      <w:rFonts w:ascii="Tahoma" w:eastAsia="Times New Roman" w:hAnsi="Tahoma" w:cs="Tahoma"/>
      <w:sz w:val="16"/>
      <w:szCs w:val="16"/>
      <w:lang w:eastAsia="pl-PL"/>
    </w:rPr>
  </w:style>
  <w:style w:type="character" w:styleId="Hipercze">
    <w:name w:val="Hyperlink"/>
    <w:basedOn w:val="Domylnaczcionkaakapitu"/>
    <w:uiPriority w:val="99"/>
    <w:unhideWhenUsed/>
    <w:rsid w:val="00CC7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5765">
      <w:bodyDiv w:val="1"/>
      <w:marLeft w:val="0"/>
      <w:marRight w:val="0"/>
      <w:marTop w:val="0"/>
      <w:marBottom w:val="0"/>
      <w:divBdr>
        <w:top w:val="none" w:sz="0" w:space="0" w:color="auto"/>
        <w:left w:val="none" w:sz="0" w:space="0" w:color="auto"/>
        <w:bottom w:val="none" w:sz="0" w:space="0" w:color="auto"/>
        <w:right w:val="none" w:sz="0" w:space="0" w:color="auto"/>
      </w:divBdr>
    </w:div>
    <w:div w:id="396169507">
      <w:bodyDiv w:val="1"/>
      <w:marLeft w:val="0"/>
      <w:marRight w:val="0"/>
      <w:marTop w:val="0"/>
      <w:marBottom w:val="0"/>
      <w:divBdr>
        <w:top w:val="none" w:sz="0" w:space="0" w:color="auto"/>
        <w:left w:val="none" w:sz="0" w:space="0" w:color="auto"/>
        <w:bottom w:val="none" w:sz="0" w:space="0" w:color="auto"/>
        <w:right w:val="none" w:sz="0" w:space="0" w:color="auto"/>
      </w:divBdr>
    </w:div>
    <w:div w:id="407919160">
      <w:bodyDiv w:val="1"/>
      <w:marLeft w:val="0"/>
      <w:marRight w:val="0"/>
      <w:marTop w:val="0"/>
      <w:marBottom w:val="0"/>
      <w:divBdr>
        <w:top w:val="none" w:sz="0" w:space="0" w:color="auto"/>
        <w:left w:val="none" w:sz="0" w:space="0" w:color="auto"/>
        <w:bottom w:val="none" w:sz="0" w:space="0" w:color="auto"/>
        <w:right w:val="none" w:sz="0" w:space="0" w:color="auto"/>
      </w:divBdr>
    </w:div>
    <w:div w:id="440687479">
      <w:bodyDiv w:val="1"/>
      <w:marLeft w:val="0"/>
      <w:marRight w:val="0"/>
      <w:marTop w:val="0"/>
      <w:marBottom w:val="0"/>
      <w:divBdr>
        <w:top w:val="none" w:sz="0" w:space="0" w:color="auto"/>
        <w:left w:val="none" w:sz="0" w:space="0" w:color="auto"/>
        <w:bottom w:val="none" w:sz="0" w:space="0" w:color="auto"/>
        <w:right w:val="none" w:sz="0" w:space="0" w:color="auto"/>
      </w:divBdr>
    </w:div>
    <w:div w:id="738287784">
      <w:bodyDiv w:val="1"/>
      <w:marLeft w:val="0"/>
      <w:marRight w:val="0"/>
      <w:marTop w:val="0"/>
      <w:marBottom w:val="0"/>
      <w:divBdr>
        <w:top w:val="none" w:sz="0" w:space="0" w:color="auto"/>
        <w:left w:val="none" w:sz="0" w:space="0" w:color="auto"/>
        <w:bottom w:val="none" w:sz="0" w:space="0" w:color="auto"/>
        <w:right w:val="none" w:sz="0" w:space="0" w:color="auto"/>
      </w:divBdr>
    </w:div>
    <w:div w:id="10072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ana.Borowiecka@big.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ina.Kochalska@bi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531521918926482"/>
          <c:y val="3.0952507013109653E-2"/>
          <c:w val="0.40599235528102023"/>
          <c:h val="0.95022428063548503"/>
        </c:manualLayout>
      </c:layout>
      <c:barChart>
        <c:barDir val="bar"/>
        <c:grouping val="clustered"/>
        <c:varyColors val="0"/>
        <c:ser>
          <c:idx val="1"/>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Tabelle1!$A$1:$A$12</c:f>
              <c:strCache>
                <c:ptCount val="12"/>
                <c:pt idx="0">
                  <c:v>Oglądam telewizję</c:v>
                </c:pt>
                <c:pt idx="1">
                  <c:v>Czytam książki</c:v>
                </c:pt>
                <c:pt idx="2">
                  <c:v>Zajmuję się działką, ogrodem</c:v>
                </c:pt>
                <c:pt idx="3">
                  <c:v>Spotykam się ze znajomymi</c:v>
                </c:pt>
                <c:pt idx="4">
                  <c:v>Zajmuję się wnukami</c:v>
                </c:pt>
                <c:pt idx="5">
                  <c:v>Uprawiam sport</c:v>
                </c:pt>
                <c:pt idx="6">
                  <c:v>Podróżuję</c:v>
                </c:pt>
                <c:pt idx="7">
                  <c:v>Chodzę na spacery</c:v>
                </c:pt>
                <c:pt idx="8">
                  <c:v>Rozwiązuję krzyżówki</c:v>
                </c:pt>
                <c:pt idx="9">
                  <c:v>Pomagam</c:v>
                </c:pt>
                <c:pt idx="10">
                  <c:v>Chodzę do kina</c:v>
                </c:pt>
                <c:pt idx="11">
                  <c:v>Inne</c:v>
                </c:pt>
              </c:strCache>
            </c:strRef>
          </c:cat>
          <c:val>
            <c:numRef>
              <c:f>Tabelle1!$B$1:$B$12</c:f>
              <c:numCache>
                <c:formatCode>0%</c:formatCode>
                <c:ptCount val="12"/>
                <c:pt idx="0">
                  <c:v>0.41035856573705182</c:v>
                </c:pt>
                <c:pt idx="1">
                  <c:v>0.35657370517928283</c:v>
                </c:pt>
                <c:pt idx="2">
                  <c:v>0.31075697211155379</c:v>
                </c:pt>
                <c:pt idx="3">
                  <c:v>0.22908366533864541</c:v>
                </c:pt>
                <c:pt idx="4">
                  <c:v>0.15537848605577689</c:v>
                </c:pt>
                <c:pt idx="5">
                  <c:v>0.14143426294820718</c:v>
                </c:pt>
                <c:pt idx="6">
                  <c:v>0.13147410358565736</c:v>
                </c:pt>
                <c:pt idx="7">
                  <c:v>0.11752988047808766</c:v>
                </c:pt>
                <c:pt idx="8">
                  <c:v>5.179282868525896E-2</c:v>
                </c:pt>
                <c:pt idx="9">
                  <c:v>4.7808764940239043E-2</c:v>
                </c:pt>
                <c:pt idx="10">
                  <c:v>3.7848605577689244E-2</c:v>
                </c:pt>
                <c:pt idx="11">
                  <c:v>0.29282868525896416</c:v>
                </c:pt>
              </c:numCache>
            </c:numRef>
          </c:val>
          <c:extLst xmlns:c16r2="http://schemas.microsoft.com/office/drawing/2015/06/chart">
            <c:ext xmlns:c16="http://schemas.microsoft.com/office/drawing/2014/chart" uri="{C3380CC4-5D6E-409C-BE32-E72D297353CC}">
              <c16:uniqueId val="{00000000-08D3-4161-A2E7-7F51BA486ECD}"/>
            </c:ext>
          </c:extLst>
        </c:ser>
        <c:dLbls>
          <c:showLegendKey val="0"/>
          <c:showVal val="0"/>
          <c:showCatName val="0"/>
          <c:showSerName val="0"/>
          <c:showPercent val="0"/>
          <c:showBubbleSize val="0"/>
        </c:dLbls>
        <c:gapWidth val="50"/>
        <c:overlap val="-23"/>
        <c:axId val="203101312"/>
        <c:axId val="203102848"/>
      </c:barChart>
      <c:catAx>
        <c:axId val="203101312"/>
        <c:scaling>
          <c:orientation val="maxMin"/>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203102848"/>
        <c:crosses val="autoZero"/>
        <c:auto val="1"/>
        <c:lblAlgn val="ctr"/>
        <c:lblOffset val="100"/>
        <c:noMultiLvlLbl val="0"/>
      </c:catAx>
      <c:valAx>
        <c:axId val="203102848"/>
        <c:scaling>
          <c:orientation val="minMax"/>
          <c:max val="1"/>
        </c:scaling>
        <c:delete val="1"/>
        <c:axPos val="t"/>
        <c:numFmt formatCode="0%" sourceLinked="1"/>
        <c:majorTickMark val="out"/>
        <c:minorTickMark val="none"/>
        <c:tickLblPos val="nextTo"/>
        <c:crossAx val="203101312"/>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000"/>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Props1.xml><?xml version="1.0" encoding="utf-8"?>
<ds:datastoreItem xmlns:ds="http://schemas.openxmlformats.org/officeDocument/2006/customXml" ds:itemID="{5B7A7321-3868-4AF1-9C8C-58CB8F2EF6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4</Pages>
  <Words>1114</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BIK S.A.</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Kochalska Halina</dc:creator>
  <cp:lastModifiedBy>Borowiecka Diana</cp:lastModifiedBy>
  <cp:revision>448</cp:revision>
  <dcterms:created xsi:type="dcterms:W3CDTF">2018-04-13T11:57:00Z</dcterms:created>
  <dcterms:modified xsi:type="dcterms:W3CDTF">2018-10-03T08:37:00Z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da950f67-f8cc-408e-ac64-d60f68f3dd5b</vt:lpwstr>
  </property>
  <property fmtid="{D5CDD505-2E9C-101B-9397-08002B2CF9AE}" pid="3" name="bjSaver">
    <vt:lpwstr>Uyg5cqlL/oeCZ3k668DLYQWGQzJQEVcG</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ies>
</file>