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A4C7" w14:textId="77777777" w:rsidR="00FB4128" w:rsidRPr="00ED3203" w:rsidRDefault="00FB4128" w:rsidP="00FB4128">
      <w:pPr>
        <w:spacing w:line="276" w:lineRule="auto"/>
        <w:rPr>
          <w:rFonts w:ascii="Arial" w:hAnsi="Arial" w:cs="Arial"/>
          <w:sz w:val="20"/>
          <w:szCs w:val="22"/>
        </w:rPr>
      </w:pPr>
      <w:r w:rsidRPr="00ED3203">
        <w:rPr>
          <w:rFonts w:ascii="Arial" w:hAnsi="Arial" w:cs="Arial"/>
          <w:sz w:val="20"/>
          <w:szCs w:val="22"/>
        </w:rPr>
        <w:t>Informacja prasowa</w:t>
      </w:r>
    </w:p>
    <w:p w14:paraId="001E636D" w14:textId="4BD6657E" w:rsidR="00FB4128" w:rsidRPr="00ED3203" w:rsidRDefault="00FB4128" w:rsidP="00FB4128">
      <w:pPr>
        <w:spacing w:after="120" w:line="276" w:lineRule="auto"/>
        <w:rPr>
          <w:rFonts w:ascii="Arial" w:hAnsi="Arial" w:cs="Arial"/>
          <w:sz w:val="20"/>
          <w:szCs w:val="22"/>
        </w:rPr>
      </w:pPr>
      <w:r w:rsidRPr="00ED3203">
        <w:rPr>
          <w:rFonts w:ascii="Arial" w:hAnsi="Arial" w:cs="Arial"/>
          <w:sz w:val="20"/>
          <w:szCs w:val="22"/>
        </w:rPr>
        <w:t xml:space="preserve">Wrocław, </w:t>
      </w:r>
      <w:r w:rsidR="001802A4">
        <w:rPr>
          <w:rFonts w:ascii="Arial" w:hAnsi="Arial" w:cs="Arial"/>
          <w:sz w:val="20"/>
          <w:szCs w:val="22"/>
        </w:rPr>
        <w:t>27</w:t>
      </w:r>
      <w:r w:rsidR="0018401C">
        <w:rPr>
          <w:rFonts w:ascii="Arial" w:hAnsi="Arial" w:cs="Arial"/>
          <w:sz w:val="20"/>
          <w:szCs w:val="22"/>
        </w:rPr>
        <w:t xml:space="preserve"> listopada</w:t>
      </w:r>
      <w:r w:rsidRPr="00ED3203">
        <w:rPr>
          <w:rFonts w:ascii="Arial" w:hAnsi="Arial" w:cs="Arial"/>
          <w:sz w:val="20"/>
          <w:szCs w:val="22"/>
        </w:rPr>
        <w:t xml:space="preserve"> 2018</w:t>
      </w:r>
    </w:p>
    <w:p w14:paraId="28D90D43" w14:textId="682E3A07" w:rsidR="00FB4128" w:rsidRPr="00E800B7" w:rsidRDefault="002266B1" w:rsidP="00505A17">
      <w:pPr>
        <w:spacing w:before="360" w:after="360" w:line="276" w:lineRule="auto"/>
        <w:rPr>
          <w:rFonts w:ascii="Arial" w:hAnsi="Arial" w:cs="Arial"/>
          <w:b/>
          <w:color w:val="26744D"/>
          <w:sz w:val="28"/>
          <w:szCs w:val="22"/>
        </w:rPr>
      </w:pPr>
      <w:r>
        <w:rPr>
          <w:rFonts w:ascii="Arial" w:hAnsi="Arial" w:cs="Arial"/>
          <w:b/>
          <w:color w:val="26744D"/>
          <w:sz w:val="28"/>
          <w:szCs w:val="22"/>
        </w:rPr>
        <w:t xml:space="preserve">EFL: </w:t>
      </w:r>
      <w:r w:rsidR="002A328F">
        <w:rPr>
          <w:rFonts w:ascii="Arial" w:hAnsi="Arial" w:cs="Arial"/>
          <w:b/>
          <w:color w:val="26744D"/>
          <w:sz w:val="28"/>
          <w:szCs w:val="22"/>
        </w:rPr>
        <w:t>MŚP obawiają się nowych regulacji prawnych. Najbardziej split payment i RODO</w:t>
      </w:r>
    </w:p>
    <w:p w14:paraId="4EF85383" w14:textId="63003072" w:rsidR="009411FE" w:rsidRDefault="0020486D" w:rsidP="00C42F82">
      <w:pPr>
        <w:spacing w:after="120" w:line="276" w:lineRule="auto"/>
        <w:jc w:val="both"/>
        <w:rPr>
          <w:rFonts w:ascii="Arial" w:hAnsi="Arial" w:cs="Arial"/>
          <w:b/>
          <w:color w:val="26744D"/>
          <w:sz w:val="20"/>
          <w:szCs w:val="22"/>
        </w:rPr>
      </w:pPr>
      <w:r>
        <w:rPr>
          <w:rFonts w:ascii="Arial" w:hAnsi="Arial" w:cs="Arial"/>
          <w:b/>
          <w:color w:val="26744D"/>
          <w:sz w:val="20"/>
          <w:szCs w:val="22"/>
        </w:rPr>
        <w:t>Zmiany</w:t>
      </w:r>
      <w:r w:rsidR="009411FE" w:rsidRPr="009411FE">
        <w:rPr>
          <w:rFonts w:ascii="Arial" w:hAnsi="Arial" w:cs="Arial"/>
          <w:b/>
          <w:color w:val="26744D"/>
          <w:sz w:val="20"/>
          <w:szCs w:val="22"/>
        </w:rPr>
        <w:t xml:space="preserve"> prawno-podatkowe</w:t>
      </w:r>
      <w:r w:rsidR="009411FE">
        <w:rPr>
          <w:rFonts w:ascii="Arial" w:hAnsi="Arial" w:cs="Arial"/>
          <w:b/>
          <w:color w:val="26744D"/>
          <w:sz w:val="20"/>
          <w:szCs w:val="22"/>
        </w:rPr>
        <w:t xml:space="preserve"> wprowadzone w 2018 roku </w:t>
      </w:r>
      <w:r w:rsidR="009411FE" w:rsidRPr="009411FE">
        <w:rPr>
          <w:rFonts w:ascii="Arial" w:hAnsi="Arial" w:cs="Arial"/>
          <w:b/>
          <w:color w:val="26744D"/>
          <w:sz w:val="20"/>
          <w:szCs w:val="22"/>
        </w:rPr>
        <w:t>spędza</w:t>
      </w:r>
      <w:r w:rsidR="009411FE">
        <w:rPr>
          <w:rFonts w:ascii="Arial" w:hAnsi="Arial" w:cs="Arial"/>
          <w:b/>
          <w:color w:val="26744D"/>
          <w:sz w:val="20"/>
          <w:szCs w:val="22"/>
        </w:rPr>
        <w:t>ją</w:t>
      </w:r>
      <w:r w:rsidR="009411FE" w:rsidRPr="009411FE">
        <w:rPr>
          <w:rFonts w:ascii="Arial" w:hAnsi="Arial" w:cs="Arial"/>
          <w:b/>
          <w:color w:val="26744D"/>
          <w:sz w:val="20"/>
          <w:szCs w:val="22"/>
        </w:rPr>
        <w:t xml:space="preserve"> sen z powiek </w:t>
      </w:r>
      <w:r w:rsidR="009411FE">
        <w:rPr>
          <w:rFonts w:ascii="Arial" w:hAnsi="Arial" w:cs="Arial"/>
          <w:b/>
          <w:color w:val="26744D"/>
          <w:sz w:val="20"/>
          <w:szCs w:val="22"/>
        </w:rPr>
        <w:t>mikro, małym i średnim firmom. Z Barometru EFL wynika, że</w:t>
      </w:r>
      <w:r w:rsidR="00306460">
        <w:rPr>
          <w:rFonts w:ascii="Arial" w:hAnsi="Arial" w:cs="Arial"/>
          <w:b/>
          <w:color w:val="26744D"/>
          <w:sz w:val="20"/>
          <w:szCs w:val="22"/>
        </w:rPr>
        <w:t xml:space="preserve"> przedsiębiorcy</w:t>
      </w:r>
      <w:r w:rsidR="00362EDD">
        <w:rPr>
          <w:rFonts w:ascii="Arial" w:hAnsi="Arial" w:cs="Arial"/>
          <w:b/>
          <w:color w:val="26744D"/>
          <w:sz w:val="20"/>
          <w:szCs w:val="22"/>
        </w:rPr>
        <w:t xml:space="preserve"> najbardziej obawiają się podzielonej płatności podatku </w:t>
      </w:r>
      <w:r w:rsidR="00B11DBF">
        <w:rPr>
          <w:rFonts w:ascii="Arial" w:hAnsi="Arial" w:cs="Arial"/>
          <w:b/>
          <w:color w:val="26744D"/>
          <w:sz w:val="20"/>
          <w:szCs w:val="22"/>
        </w:rPr>
        <w:t>od towarów i usług</w:t>
      </w:r>
      <w:r>
        <w:rPr>
          <w:rFonts w:ascii="Arial" w:hAnsi="Arial" w:cs="Arial"/>
          <w:b/>
          <w:color w:val="26744D"/>
          <w:sz w:val="20"/>
          <w:szCs w:val="22"/>
        </w:rPr>
        <w:t xml:space="preserve">, tzw. split payment (14 proc. wskazań). Negatywnie na sytuację firmy w opinii 13 proc. przedstawicieli MŚP mogą wpłynąć </w:t>
      </w:r>
      <w:r w:rsidRPr="0020486D">
        <w:rPr>
          <w:rFonts w:ascii="Arial" w:hAnsi="Arial" w:cs="Arial"/>
          <w:b/>
          <w:color w:val="26744D"/>
          <w:sz w:val="20"/>
          <w:szCs w:val="22"/>
        </w:rPr>
        <w:t>zmiany w obszarze ochrony danych osobowych</w:t>
      </w:r>
      <w:r>
        <w:rPr>
          <w:rFonts w:ascii="Arial" w:hAnsi="Arial" w:cs="Arial"/>
          <w:b/>
          <w:color w:val="26744D"/>
          <w:sz w:val="20"/>
          <w:szCs w:val="22"/>
        </w:rPr>
        <w:t xml:space="preserve"> (tzw. RODO</w:t>
      </w:r>
      <w:r w:rsidR="00497009">
        <w:rPr>
          <w:rStyle w:val="Odwoanieprzypisudolnego"/>
          <w:rFonts w:ascii="Arial" w:hAnsi="Arial" w:cs="Arial"/>
          <w:b/>
          <w:color w:val="26744D"/>
          <w:sz w:val="20"/>
          <w:szCs w:val="22"/>
        </w:rPr>
        <w:footnoteReference w:id="1"/>
      </w:r>
      <w:r>
        <w:rPr>
          <w:rFonts w:ascii="Arial" w:hAnsi="Arial" w:cs="Arial"/>
          <w:b/>
          <w:color w:val="26744D"/>
          <w:sz w:val="20"/>
          <w:szCs w:val="22"/>
        </w:rPr>
        <w:t>).  Co dwudziesty zapytany obawia się wymogu dotyczącego podpisu elektronicznego.</w:t>
      </w:r>
    </w:p>
    <w:p w14:paraId="597D519E" w14:textId="55BB8F6D" w:rsidR="001F341C" w:rsidRPr="001F341C" w:rsidRDefault="001F341C" w:rsidP="001F341C">
      <w:pPr>
        <w:spacing w:after="120" w:line="276" w:lineRule="auto"/>
        <w:jc w:val="both"/>
        <w:rPr>
          <w:rFonts w:asciiTheme="majorHAnsi" w:hAnsiTheme="majorHAnsi" w:cstheme="majorHAnsi"/>
          <w:sz w:val="20"/>
        </w:rPr>
      </w:pPr>
      <w:r w:rsidRPr="00D25F1A">
        <w:rPr>
          <w:rFonts w:asciiTheme="majorHAnsi" w:hAnsiTheme="majorHAnsi" w:cstheme="majorHAnsi"/>
          <w:i/>
          <w:sz w:val="20"/>
        </w:rPr>
        <w:t xml:space="preserve">- </w:t>
      </w:r>
      <w:r w:rsidR="00477A48">
        <w:rPr>
          <w:rFonts w:asciiTheme="majorHAnsi" w:hAnsiTheme="majorHAnsi" w:cstheme="majorHAnsi"/>
          <w:i/>
          <w:sz w:val="20"/>
        </w:rPr>
        <w:t>Obecnie największym problemem większości firm w Polsce jest dostępność pracowników oraz rosnąca presj</w:t>
      </w:r>
      <w:r w:rsidR="002E3E43">
        <w:rPr>
          <w:rFonts w:asciiTheme="majorHAnsi" w:hAnsiTheme="majorHAnsi" w:cstheme="majorHAnsi"/>
          <w:i/>
          <w:sz w:val="20"/>
        </w:rPr>
        <w:t>a płacowa, na co wskazała połowa</w:t>
      </w:r>
      <w:r w:rsidR="00477A48">
        <w:rPr>
          <w:rFonts w:asciiTheme="majorHAnsi" w:hAnsiTheme="majorHAnsi" w:cstheme="majorHAnsi"/>
          <w:i/>
          <w:sz w:val="20"/>
        </w:rPr>
        <w:t xml:space="preserve"> zapytanych przez nas przedsiębiorców. Jednak nie możemy zapomnieć o szeregu innych czynników, które mogą wpłynąć negatywnie </w:t>
      </w:r>
      <w:r w:rsidR="002E3E43">
        <w:rPr>
          <w:rFonts w:asciiTheme="majorHAnsi" w:hAnsiTheme="majorHAnsi" w:cstheme="majorHAnsi"/>
          <w:i/>
          <w:sz w:val="20"/>
        </w:rPr>
        <w:t xml:space="preserve">na </w:t>
      </w:r>
      <w:r w:rsidR="00477A48">
        <w:rPr>
          <w:rFonts w:asciiTheme="majorHAnsi" w:hAnsiTheme="majorHAnsi" w:cstheme="majorHAnsi"/>
          <w:i/>
          <w:sz w:val="20"/>
        </w:rPr>
        <w:t xml:space="preserve">kondycję i dalszy rozwój przedsiębiorczości w naszym kraju. Mam tutaj na myśli przede wszystkim nowe regulacje prawno-podatkowe, w które obfitowały ostatnie </w:t>
      </w:r>
      <w:r w:rsidR="00857941">
        <w:rPr>
          <w:rFonts w:asciiTheme="majorHAnsi" w:hAnsiTheme="majorHAnsi" w:cstheme="majorHAnsi"/>
          <w:i/>
          <w:sz w:val="20"/>
        </w:rPr>
        <w:t>miesiące</w:t>
      </w:r>
      <w:r w:rsidR="000C597B">
        <w:rPr>
          <w:rFonts w:asciiTheme="majorHAnsi" w:hAnsiTheme="majorHAnsi" w:cstheme="majorHAnsi"/>
          <w:i/>
          <w:sz w:val="20"/>
        </w:rPr>
        <w:t>, takie jak split payment czy RODO. To bardzo istotne zmiany, które rzutują zarówno na ten najmniejszy jak i korporacyjny biznes. O ile jednak w przypadku dużych firm</w:t>
      </w:r>
      <w:r w:rsidR="002E3E43">
        <w:rPr>
          <w:rFonts w:asciiTheme="majorHAnsi" w:hAnsiTheme="majorHAnsi" w:cstheme="majorHAnsi"/>
          <w:i/>
          <w:sz w:val="20"/>
        </w:rPr>
        <w:t xml:space="preserve">, najczęściej </w:t>
      </w:r>
      <w:r w:rsidR="000C597B">
        <w:rPr>
          <w:rFonts w:asciiTheme="majorHAnsi" w:hAnsiTheme="majorHAnsi" w:cstheme="majorHAnsi"/>
          <w:i/>
          <w:sz w:val="20"/>
        </w:rPr>
        <w:t xml:space="preserve">działają wydzielone komórki zajmujące się prawem czy IT, które analizują bieżące zmiany i wprowadzają je w życie firmy, o tyle mikroprzedsiębiorcy w jednych rękach skupiają wiele różnych obowiązków. Tutaj nikt nie ma czasu, żeby codziennie poświęcać czas na lekturę przepisów. Stąd ważne jest, aby zmiany prawa w Polsce odbywały się z uwzględnieniem interesów i możliwości wszystkich stron zainteresowanych </w:t>
      </w:r>
      <w:r w:rsidRPr="001F341C">
        <w:rPr>
          <w:rFonts w:asciiTheme="majorHAnsi" w:hAnsiTheme="majorHAnsi" w:cstheme="majorHAnsi"/>
          <w:sz w:val="20"/>
          <w:szCs w:val="22"/>
        </w:rPr>
        <w:t xml:space="preserve">– mówi </w:t>
      </w:r>
      <w:r w:rsidRPr="005A5E01">
        <w:rPr>
          <w:rFonts w:ascii="Arial" w:hAnsi="Arial" w:cs="Arial"/>
          <w:b/>
          <w:color w:val="26744D"/>
          <w:sz w:val="20"/>
          <w:szCs w:val="22"/>
        </w:rPr>
        <w:t>Radosław Kuczyński, Prezes EFL</w:t>
      </w:r>
      <w:r w:rsidR="00B11DBF">
        <w:rPr>
          <w:rFonts w:ascii="Arial" w:hAnsi="Arial" w:cs="Arial"/>
          <w:b/>
          <w:color w:val="26744D"/>
          <w:sz w:val="20"/>
          <w:szCs w:val="22"/>
        </w:rPr>
        <w:t>S.A</w:t>
      </w:r>
      <w:r w:rsidRPr="005A5E01">
        <w:rPr>
          <w:rFonts w:ascii="Arial" w:hAnsi="Arial" w:cs="Arial"/>
          <w:b/>
          <w:color w:val="26744D"/>
          <w:sz w:val="20"/>
          <w:szCs w:val="22"/>
        </w:rPr>
        <w:t>.</w:t>
      </w:r>
      <w:r w:rsidRPr="001F341C">
        <w:rPr>
          <w:rFonts w:asciiTheme="majorHAnsi" w:hAnsiTheme="majorHAnsi" w:cstheme="majorHAnsi"/>
          <w:sz w:val="20"/>
          <w:szCs w:val="22"/>
        </w:rPr>
        <w:t xml:space="preserve"> </w:t>
      </w:r>
    </w:p>
    <w:p w14:paraId="7C58107C" w14:textId="55387E18" w:rsidR="001F341C" w:rsidRDefault="009B478B" w:rsidP="00C42F82">
      <w:pPr>
        <w:spacing w:after="120" w:line="276" w:lineRule="auto"/>
        <w:jc w:val="both"/>
        <w:rPr>
          <w:rFonts w:ascii="Arial" w:hAnsi="Arial" w:cs="Arial"/>
          <w:b/>
          <w:color w:val="26744D"/>
          <w:sz w:val="20"/>
          <w:szCs w:val="22"/>
        </w:rPr>
      </w:pPr>
      <w:r>
        <w:rPr>
          <w:rFonts w:ascii="Arial" w:hAnsi="Arial" w:cs="Arial"/>
          <w:b/>
          <w:color w:val="26744D"/>
          <w:sz w:val="20"/>
          <w:szCs w:val="22"/>
        </w:rPr>
        <w:t>Prawna bariera nr 1 – split payment</w:t>
      </w:r>
    </w:p>
    <w:p w14:paraId="5C2E6C5E" w14:textId="4DA8130D" w:rsidR="009B478B" w:rsidRDefault="009B478B" w:rsidP="009411FE">
      <w:pPr>
        <w:spacing w:after="120" w:line="276" w:lineRule="auto"/>
        <w:jc w:val="both"/>
        <w:rPr>
          <w:sz w:val="20"/>
          <w:szCs w:val="20"/>
        </w:rPr>
      </w:pPr>
      <w:r>
        <w:rPr>
          <w:sz w:val="20"/>
          <w:szCs w:val="20"/>
        </w:rPr>
        <w:t xml:space="preserve">Wśród </w:t>
      </w:r>
      <w:r w:rsidRPr="009B478B">
        <w:rPr>
          <w:sz w:val="20"/>
          <w:szCs w:val="20"/>
        </w:rPr>
        <w:t>czynników</w:t>
      </w:r>
      <w:r>
        <w:rPr>
          <w:sz w:val="20"/>
          <w:szCs w:val="20"/>
        </w:rPr>
        <w:t xml:space="preserve"> prawno-</w:t>
      </w:r>
      <w:r w:rsidR="00857941">
        <w:rPr>
          <w:sz w:val="20"/>
          <w:szCs w:val="20"/>
        </w:rPr>
        <w:t>podatkowych</w:t>
      </w:r>
      <w:r w:rsidR="00124649">
        <w:rPr>
          <w:sz w:val="20"/>
          <w:szCs w:val="20"/>
        </w:rPr>
        <w:t>,</w:t>
      </w:r>
      <w:r w:rsidRPr="009B478B">
        <w:rPr>
          <w:sz w:val="20"/>
          <w:szCs w:val="20"/>
        </w:rPr>
        <w:t xml:space="preserve"> mogących wpłynąć negatywnie na sytuację </w:t>
      </w:r>
      <w:r w:rsidR="00857941" w:rsidRPr="009B478B">
        <w:rPr>
          <w:sz w:val="20"/>
          <w:szCs w:val="20"/>
        </w:rPr>
        <w:t>przedsiębiorstwa</w:t>
      </w:r>
      <w:r>
        <w:rPr>
          <w:sz w:val="20"/>
          <w:szCs w:val="20"/>
        </w:rPr>
        <w:t xml:space="preserve">, najwięcej zapytanych przedstawicieli MŚP wskazało na </w:t>
      </w:r>
      <w:r w:rsidRPr="009B478B">
        <w:rPr>
          <w:sz w:val="20"/>
          <w:szCs w:val="20"/>
        </w:rPr>
        <w:t>split payment, czyli mecha</w:t>
      </w:r>
      <w:r>
        <w:rPr>
          <w:sz w:val="20"/>
          <w:szCs w:val="20"/>
        </w:rPr>
        <w:t xml:space="preserve">nizm podzielonej płatności – 14 proc. </w:t>
      </w:r>
      <w:r w:rsidRPr="009B478B">
        <w:rPr>
          <w:sz w:val="20"/>
          <w:szCs w:val="20"/>
        </w:rPr>
        <w:t xml:space="preserve">Nowe przepisy </w:t>
      </w:r>
      <w:r>
        <w:rPr>
          <w:sz w:val="20"/>
          <w:szCs w:val="20"/>
        </w:rPr>
        <w:t xml:space="preserve">obowiązują od 1 lipca 2018 roku i </w:t>
      </w:r>
      <w:r w:rsidRPr="009B478B">
        <w:rPr>
          <w:sz w:val="20"/>
          <w:szCs w:val="20"/>
        </w:rPr>
        <w:t>wpływają na sposób płatności za faktury.</w:t>
      </w:r>
      <w:r>
        <w:rPr>
          <w:sz w:val="20"/>
          <w:szCs w:val="20"/>
        </w:rPr>
        <w:t xml:space="preserve"> W praktyce chodzi o to, że</w:t>
      </w:r>
      <w:r w:rsidRPr="009B478B">
        <w:rPr>
          <w:sz w:val="20"/>
          <w:szCs w:val="20"/>
        </w:rPr>
        <w:t xml:space="preserve"> sposób płatności za usługi i towa</w:t>
      </w:r>
      <w:r>
        <w:rPr>
          <w:sz w:val="20"/>
          <w:szCs w:val="20"/>
        </w:rPr>
        <w:t xml:space="preserve">ry polega </w:t>
      </w:r>
      <w:r w:rsidRPr="009B478B">
        <w:rPr>
          <w:sz w:val="20"/>
          <w:szCs w:val="20"/>
        </w:rPr>
        <w:t xml:space="preserve">na wpłacie kwoty netto na rachunek rozliczeniowy dostawcy, a kwoty </w:t>
      </w:r>
      <w:r w:rsidR="00497009">
        <w:rPr>
          <w:sz w:val="20"/>
          <w:szCs w:val="20"/>
        </w:rPr>
        <w:t xml:space="preserve">podatku </w:t>
      </w:r>
      <w:r w:rsidR="00C22DBB">
        <w:rPr>
          <w:sz w:val="20"/>
          <w:szCs w:val="20"/>
        </w:rPr>
        <w:t>od towarów i usług („</w:t>
      </w:r>
      <w:r w:rsidRPr="009B478B">
        <w:rPr>
          <w:sz w:val="20"/>
          <w:szCs w:val="20"/>
        </w:rPr>
        <w:t>VAT</w:t>
      </w:r>
      <w:r w:rsidR="00C22DBB">
        <w:rPr>
          <w:sz w:val="20"/>
          <w:szCs w:val="20"/>
        </w:rPr>
        <w:t>”)</w:t>
      </w:r>
      <w:r w:rsidRPr="009B478B">
        <w:rPr>
          <w:sz w:val="20"/>
          <w:szCs w:val="20"/>
        </w:rPr>
        <w:t xml:space="preserve"> na oddzielny rachunek VAT.</w:t>
      </w:r>
      <w:r>
        <w:rPr>
          <w:sz w:val="20"/>
          <w:szCs w:val="20"/>
        </w:rPr>
        <w:t xml:space="preserve"> </w:t>
      </w:r>
      <w:r w:rsidRPr="009B478B">
        <w:rPr>
          <w:sz w:val="20"/>
          <w:szCs w:val="20"/>
        </w:rPr>
        <w:t xml:space="preserve">Split payment </w:t>
      </w:r>
      <w:r>
        <w:rPr>
          <w:sz w:val="20"/>
          <w:szCs w:val="20"/>
        </w:rPr>
        <w:t xml:space="preserve">dotyczy mikro, małych, średnich i </w:t>
      </w:r>
      <w:r w:rsidR="00857941">
        <w:rPr>
          <w:sz w:val="20"/>
          <w:szCs w:val="20"/>
        </w:rPr>
        <w:t xml:space="preserve">dużych </w:t>
      </w:r>
      <w:r w:rsidR="00B11DBF">
        <w:rPr>
          <w:sz w:val="20"/>
          <w:szCs w:val="20"/>
        </w:rPr>
        <w:t>przedsiębiorstw</w:t>
      </w:r>
      <w:r>
        <w:rPr>
          <w:sz w:val="20"/>
          <w:szCs w:val="20"/>
        </w:rPr>
        <w:t>, jednak na razie obowiązuje zasada dobrowolności (stosowanie przepis</w:t>
      </w:r>
      <w:r w:rsidR="00B11DBF">
        <w:rPr>
          <w:sz w:val="20"/>
          <w:szCs w:val="20"/>
        </w:rPr>
        <w:t>ów</w:t>
      </w:r>
      <w:r>
        <w:rPr>
          <w:sz w:val="20"/>
          <w:szCs w:val="20"/>
        </w:rPr>
        <w:t xml:space="preserve"> zależy od </w:t>
      </w:r>
      <w:r w:rsidR="00B11DBF">
        <w:rPr>
          <w:sz w:val="20"/>
          <w:szCs w:val="20"/>
        </w:rPr>
        <w:t>dokonującego zapłaty</w:t>
      </w:r>
      <w:r>
        <w:rPr>
          <w:sz w:val="20"/>
          <w:szCs w:val="20"/>
        </w:rPr>
        <w:t>, nie jest obowiązkowe).</w:t>
      </w:r>
    </w:p>
    <w:p w14:paraId="605D7309" w14:textId="31BBF1D5" w:rsidR="00FF2FD2" w:rsidRDefault="00FF2FD2" w:rsidP="009411FE">
      <w:pPr>
        <w:spacing w:after="120" w:line="276" w:lineRule="auto"/>
        <w:jc w:val="both"/>
        <w:rPr>
          <w:sz w:val="20"/>
          <w:szCs w:val="20"/>
        </w:rPr>
      </w:pPr>
      <w:r>
        <w:rPr>
          <w:sz w:val="20"/>
          <w:szCs w:val="20"/>
        </w:rPr>
        <w:t>Najbardziej mechanizmu podzielonej płatności obawiają się mikroprzedsiębiorcy, wśród których aż 20 proc. wskazuje, że nowe regulacje mogą wpłynąć niekorzystnie na kondycję ich firmy. Na drugim biegunie są średnie firmy – 8 proc. wskazań. Biorąc pod uwagę branże, pesymistów jest najwięcej w produkcji i usługach (po 17 proc.), najmniej wśród hotelarzy i restauratorów – 4 proc.</w:t>
      </w:r>
    </w:p>
    <w:p w14:paraId="410D2E74" w14:textId="1FFC4821" w:rsidR="00FF2FD2" w:rsidRPr="002A5C06" w:rsidRDefault="002A5C06" w:rsidP="009411FE">
      <w:pPr>
        <w:spacing w:after="120" w:line="276" w:lineRule="auto"/>
        <w:jc w:val="both"/>
        <w:rPr>
          <w:rFonts w:ascii="Arial" w:hAnsi="Arial" w:cs="Arial"/>
          <w:b/>
          <w:color w:val="26744D"/>
          <w:sz w:val="20"/>
          <w:szCs w:val="22"/>
        </w:rPr>
      </w:pPr>
      <w:r w:rsidRPr="002A5C06">
        <w:rPr>
          <w:rFonts w:ascii="Arial" w:hAnsi="Arial" w:cs="Arial"/>
          <w:b/>
          <w:color w:val="26744D"/>
          <w:sz w:val="20"/>
          <w:szCs w:val="22"/>
        </w:rPr>
        <w:t xml:space="preserve">Prawna bariera nr 2 </w:t>
      </w:r>
      <w:r w:rsidR="00385B63">
        <w:rPr>
          <w:rFonts w:ascii="Arial" w:hAnsi="Arial" w:cs="Arial"/>
          <w:b/>
          <w:color w:val="26744D"/>
          <w:sz w:val="20"/>
          <w:szCs w:val="22"/>
        </w:rPr>
        <w:t>–</w:t>
      </w:r>
      <w:r w:rsidRPr="002A5C06">
        <w:rPr>
          <w:rFonts w:ascii="Arial" w:hAnsi="Arial" w:cs="Arial"/>
          <w:b/>
          <w:color w:val="26744D"/>
          <w:sz w:val="20"/>
          <w:szCs w:val="22"/>
        </w:rPr>
        <w:t xml:space="preserve"> RODO</w:t>
      </w:r>
    </w:p>
    <w:p w14:paraId="7C004A68" w14:textId="7685B908" w:rsidR="009B478B" w:rsidRDefault="00130CCA" w:rsidP="009411FE">
      <w:pPr>
        <w:spacing w:after="120" w:line="276" w:lineRule="auto"/>
        <w:jc w:val="both"/>
        <w:rPr>
          <w:sz w:val="20"/>
          <w:szCs w:val="20"/>
        </w:rPr>
      </w:pPr>
      <w:r>
        <w:rPr>
          <w:sz w:val="20"/>
          <w:szCs w:val="20"/>
        </w:rPr>
        <w:t>Z Barometru EFL</w:t>
      </w:r>
      <w:r>
        <w:rPr>
          <w:rStyle w:val="Odwoanieprzypisudolnego"/>
          <w:sz w:val="20"/>
          <w:szCs w:val="20"/>
        </w:rPr>
        <w:footnoteReference w:id="2"/>
      </w:r>
      <w:r>
        <w:rPr>
          <w:sz w:val="20"/>
          <w:szCs w:val="20"/>
        </w:rPr>
        <w:t xml:space="preserve"> wynika, że </w:t>
      </w:r>
      <w:r w:rsidR="00E106CD">
        <w:rPr>
          <w:sz w:val="20"/>
          <w:szCs w:val="20"/>
        </w:rPr>
        <w:t>13 proc. przedstawicieli sektora MŚP obawia się RODO. Jest to unijne R</w:t>
      </w:r>
      <w:r w:rsidR="00E106CD" w:rsidRPr="00E106CD">
        <w:rPr>
          <w:sz w:val="20"/>
          <w:szCs w:val="20"/>
        </w:rPr>
        <w:t>ozporządzenie o Ochr</w:t>
      </w:r>
      <w:r w:rsidR="00E106CD">
        <w:rPr>
          <w:sz w:val="20"/>
          <w:szCs w:val="20"/>
        </w:rPr>
        <w:t>onie Danych Osobowych (RODO), które weszło</w:t>
      </w:r>
      <w:r w:rsidR="00E106CD" w:rsidRPr="00E106CD">
        <w:rPr>
          <w:sz w:val="20"/>
          <w:szCs w:val="20"/>
        </w:rPr>
        <w:t xml:space="preserve"> w życie w maju 2016 roku</w:t>
      </w:r>
      <w:r w:rsidR="00E106CD">
        <w:rPr>
          <w:sz w:val="20"/>
          <w:szCs w:val="20"/>
        </w:rPr>
        <w:t>. Jednak przedsiębiorcy otrzymali 2-</w:t>
      </w:r>
      <w:r w:rsidR="00E106CD" w:rsidRPr="00E106CD">
        <w:rPr>
          <w:sz w:val="20"/>
          <w:szCs w:val="20"/>
        </w:rPr>
        <w:t>letni okres przejściowy na dostosowanie swoich struktur i procedur</w:t>
      </w:r>
      <w:r w:rsidR="00E106CD">
        <w:rPr>
          <w:sz w:val="20"/>
          <w:szCs w:val="20"/>
        </w:rPr>
        <w:t xml:space="preserve"> do nowych przepisów, dlatego nowe przepisy są</w:t>
      </w:r>
      <w:r w:rsidR="00E106CD" w:rsidRPr="00E106CD">
        <w:rPr>
          <w:sz w:val="20"/>
          <w:szCs w:val="20"/>
        </w:rPr>
        <w:t xml:space="preserve"> </w:t>
      </w:r>
      <w:r w:rsidR="00E106CD" w:rsidRPr="00E106CD">
        <w:rPr>
          <w:sz w:val="20"/>
          <w:szCs w:val="20"/>
        </w:rPr>
        <w:lastRenderedPageBreak/>
        <w:t>bezpośrednio stosowa</w:t>
      </w:r>
      <w:r w:rsidR="00385B63">
        <w:rPr>
          <w:sz w:val="20"/>
          <w:szCs w:val="20"/>
        </w:rPr>
        <w:t>ne dopiero od 25 maja 2018 roku. Obawy firm są uzasadnione, gdyż RODO</w:t>
      </w:r>
      <w:r w:rsidR="00385B63" w:rsidRPr="00385B63">
        <w:rPr>
          <w:sz w:val="20"/>
          <w:szCs w:val="20"/>
        </w:rPr>
        <w:t xml:space="preserve"> wprowadza</w:t>
      </w:r>
      <w:r w:rsidR="00385B63">
        <w:rPr>
          <w:sz w:val="20"/>
          <w:szCs w:val="20"/>
        </w:rPr>
        <w:t xml:space="preserve"> szereg</w:t>
      </w:r>
      <w:r w:rsidR="00385B63" w:rsidRPr="00385B63">
        <w:rPr>
          <w:sz w:val="20"/>
          <w:szCs w:val="20"/>
        </w:rPr>
        <w:t xml:space="preserve"> nowych obowiązków</w:t>
      </w:r>
      <w:r w:rsidR="00385B63">
        <w:rPr>
          <w:sz w:val="20"/>
          <w:szCs w:val="20"/>
        </w:rPr>
        <w:t xml:space="preserve"> </w:t>
      </w:r>
      <w:r w:rsidR="00497009">
        <w:rPr>
          <w:sz w:val="20"/>
          <w:szCs w:val="20"/>
        </w:rPr>
        <w:t>w</w:t>
      </w:r>
      <w:r w:rsidR="00385B63">
        <w:rPr>
          <w:sz w:val="20"/>
          <w:szCs w:val="20"/>
        </w:rPr>
        <w:t xml:space="preserve"> </w:t>
      </w:r>
      <w:r w:rsidR="00857941">
        <w:rPr>
          <w:sz w:val="20"/>
          <w:szCs w:val="20"/>
        </w:rPr>
        <w:t>obszarze</w:t>
      </w:r>
      <w:r w:rsidR="00385B63">
        <w:rPr>
          <w:sz w:val="20"/>
          <w:szCs w:val="20"/>
        </w:rPr>
        <w:t xml:space="preserve"> </w:t>
      </w:r>
      <w:r w:rsidR="00857941">
        <w:rPr>
          <w:sz w:val="20"/>
          <w:szCs w:val="20"/>
        </w:rPr>
        <w:t>ochrony</w:t>
      </w:r>
      <w:r w:rsidR="00385B63">
        <w:rPr>
          <w:sz w:val="20"/>
          <w:szCs w:val="20"/>
        </w:rPr>
        <w:t xml:space="preserve"> danych osobowych</w:t>
      </w:r>
      <w:r w:rsidR="00497009" w:rsidRPr="00497009">
        <w:rPr>
          <w:sz w:val="20"/>
          <w:szCs w:val="20"/>
        </w:rPr>
        <w:t xml:space="preserve"> </w:t>
      </w:r>
      <w:r w:rsidR="00497009">
        <w:rPr>
          <w:sz w:val="20"/>
          <w:szCs w:val="20"/>
        </w:rPr>
        <w:t>klientów, kontrahentów,</w:t>
      </w:r>
      <w:r w:rsidR="00385B63">
        <w:rPr>
          <w:sz w:val="20"/>
          <w:szCs w:val="20"/>
        </w:rPr>
        <w:t xml:space="preserve"> pracowników czy kandydatów do pracy oraz poważne</w:t>
      </w:r>
      <w:r w:rsidR="00385B63" w:rsidRPr="00385B63">
        <w:rPr>
          <w:sz w:val="20"/>
          <w:szCs w:val="20"/>
        </w:rPr>
        <w:t xml:space="preserve"> sankcje finansowe</w:t>
      </w:r>
      <w:r w:rsidR="00385B63">
        <w:rPr>
          <w:sz w:val="20"/>
          <w:szCs w:val="20"/>
        </w:rPr>
        <w:t xml:space="preserve"> za ich nieprzestrzeganie</w:t>
      </w:r>
      <w:r w:rsidR="00385B63" w:rsidRPr="00385B63">
        <w:rPr>
          <w:sz w:val="20"/>
          <w:szCs w:val="20"/>
        </w:rPr>
        <w:t xml:space="preserve">. </w:t>
      </w:r>
    </w:p>
    <w:p w14:paraId="61964BC1" w14:textId="031868A3" w:rsidR="00385B63" w:rsidRDefault="00385B63" w:rsidP="009411FE">
      <w:pPr>
        <w:spacing w:after="120" w:line="276" w:lineRule="auto"/>
        <w:jc w:val="both"/>
        <w:rPr>
          <w:sz w:val="20"/>
          <w:szCs w:val="20"/>
        </w:rPr>
      </w:pPr>
      <w:r>
        <w:rPr>
          <w:sz w:val="20"/>
          <w:szCs w:val="20"/>
        </w:rPr>
        <w:t xml:space="preserve">Najbardziej za pan brat z RODO są średnie firmy – wśród nich tylko 4 proc. obawia się nowych regulacji. Za to wśród </w:t>
      </w:r>
      <w:r w:rsidR="00D14B62">
        <w:rPr>
          <w:sz w:val="20"/>
          <w:szCs w:val="20"/>
        </w:rPr>
        <w:t xml:space="preserve">małych </w:t>
      </w:r>
      <w:r>
        <w:rPr>
          <w:sz w:val="20"/>
          <w:szCs w:val="20"/>
        </w:rPr>
        <w:t xml:space="preserve"> firm ten odsetek jest zdecydowanie wyższy i wynosi ponad 18 proc. Wśród badanych branż RODO może najbardziej negatywnie wpłynąć na kondycję firm usługowych (21 proc. wskazań) oraz HoReCa (18 proc.), najmniej tej regulacji obawia się przemysł (4 proc.).</w:t>
      </w:r>
    </w:p>
    <w:p w14:paraId="1FFC93E4" w14:textId="25DFA91A" w:rsidR="00385B63" w:rsidRDefault="00385B63" w:rsidP="00385B63">
      <w:pPr>
        <w:spacing w:after="120" w:line="276" w:lineRule="auto"/>
        <w:jc w:val="both"/>
        <w:rPr>
          <w:rFonts w:ascii="Arial" w:hAnsi="Arial" w:cs="Arial"/>
          <w:b/>
          <w:color w:val="26744D"/>
          <w:sz w:val="20"/>
          <w:szCs w:val="22"/>
        </w:rPr>
      </w:pPr>
      <w:r w:rsidRPr="002A5C06">
        <w:rPr>
          <w:rFonts w:ascii="Arial" w:hAnsi="Arial" w:cs="Arial"/>
          <w:b/>
          <w:color w:val="26744D"/>
          <w:sz w:val="20"/>
          <w:szCs w:val="22"/>
        </w:rPr>
        <w:t xml:space="preserve">Prawna bariera nr </w:t>
      </w:r>
      <w:r>
        <w:rPr>
          <w:rFonts w:ascii="Arial" w:hAnsi="Arial" w:cs="Arial"/>
          <w:b/>
          <w:color w:val="26744D"/>
          <w:sz w:val="20"/>
          <w:szCs w:val="22"/>
        </w:rPr>
        <w:t>3</w:t>
      </w:r>
      <w:r w:rsidRPr="002A5C06">
        <w:rPr>
          <w:rFonts w:ascii="Arial" w:hAnsi="Arial" w:cs="Arial"/>
          <w:b/>
          <w:color w:val="26744D"/>
          <w:sz w:val="20"/>
          <w:szCs w:val="22"/>
        </w:rPr>
        <w:t xml:space="preserve"> </w:t>
      </w:r>
      <w:r>
        <w:rPr>
          <w:rFonts w:ascii="Arial" w:hAnsi="Arial" w:cs="Arial"/>
          <w:b/>
          <w:color w:val="26744D"/>
          <w:sz w:val="20"/>
          <w:szCs w:val="22"/>
        </w:rPr>
        <w:t xml:space="preserve">– e-podpis </w:t>
      </w:r>
    </w:p>
    <w:p w14:paraId="208DB2ED" w14:textId="05B19BD7" w:rsidR="009411FE" w:rsidRDefault="00385B63" w:rsidP="001802A4">
      <w:pPr>
        <w:spacing w:after="120" w:line="276" w:lineRule="auto"/>
        <w:jc w:val="both"/>
        <w:rPr>
          <w:rFonts w:ascii="Arial" w:hAnsi="Arial" w:cs="Arial"/>
          <w:sz w:val="20"/>
          <w:szCs w:val="22"/>
        </w:rPr>
      </w:pPr>
      <w:r>
        <w:rPr>
          <w:sz w:val="20"/>
          <w:szCs w:val="20"/>
        </w:rPr>
        <w:t xml:space="preserve">Trzecią </w:t>
      </w:r>
      <w:r w:rsidR="00857941">
        <w:rPr>
          <w:sz w:val="20"/>
          <w:szCs w:val="20"/>
        </w:rPr>
        <w:t>zmianą</w:t>
      </w:r>
      <w:r>
        <w:rPr>
          <w:sz w:val="20"/>
          <w:szCs w:val="20"/>
        </w:rPr>
        <w:t xml:space="preserve"> prawno-podatkową</w:t>
      </w:r>
      <w:bookmarkStart w:id="0" w:name="_GoBack"/>
      <w:bookmarkEnd w:id="0"/>
      <w:r>
        <w:rPr>
          <w:sz w:val="20"/>
          <w:szCs w:val="20"/>
        </w:rPr>
        <w:t>, której na razie obawia się tylko 5 proc. mikro, małych i średnich firm, jest wymóg podpisu elektronicznego</w:t>
      </w:r>
      <w:r w:rsidR="00F20869">
        <w:rPr>
          <w:rStyle w:val="Odwoanieprzypisukocowego"/>
          <w:sz w:val="20"/>
          <w:szCs w:val="20"/>
        </w:rPr>
        <w:endnoteReference w:id="1"/>
      </w:r>
      <w:r>
        <w:rPr>
          <w:sz w:val="20"/>
          <w:szCs w:val="20"/>
        </w:rPr>
        <w:t xml:space="preserve">. </w:t>
      </w:r>
      <w:r w:rsidR="009411FE" w:rsidRPr="009411FE">
        <w:rPr>
          <w:sz w:val="20"/>
          <w:szCs w:val="20"/>
        </w:rPr>
        <w:t xml:space="preserve">Podpis elektroniczny to bardzo użyteczne, lecz nadal mało popularne narzędzie. </w:t>
      </w:r>
      <w:r>
        <w:rPr>
          <w:sz w:val="20"/>
          <w:szCs w:val="20"/>
        </w:rPr>
        <w:t xml:space="preserve">Jest składany </w:t>
      </w:r>
      <w:r w:rsidRPr="009411FE">
        <w:rPr>
          <w:sz w:val="20"/>
          <w:szCs w:val="20"/>
        </w:rPr>
        <w:t xml:space="preserve">za pomocą specjalnej karty procesorowej </w:t>
      </w:r>
      <w:r>
        <w:rPr>
          <w:sz w:val="20"/>
          <w:szCs w:val="20"/>
        </w:rPr>
        <w:t xml:space="preserve">lub tokena </w:t>
      </w:r>
      <w:r w:rsidRPr="009411FE">
        <w:rPr>
          <w:sz w:val="20"/>
          <w:szCs w:val="20"/>
        </w:rPr>
        <w:t xml:space="preserve">oraz oprogramowania służącego do składania podpisu elektronicznego. Pod względem prawnym </w:t>
      </w:r>
      <w:r w:rsidR="008A0C12">
        <w:rPr>
          <w:sz w:val="20"/>
          <w:szCs w:val="20"/>
        </w:rPr>
        <w:t>kwalifikowany podpis elektroniczny</w:t>
      </w:r>
      <w:r w:rsidRPr="009411FE">
        <w:rPr>
          <w:sz w:val="20"/>
          <w:szCs w:val="20"/>
        </w:rPr>
        <w:t xml:space="preserve"> </w:t>
      </w:r>
      <w:r w:rsidR="00EA5AEA">
        <w:rPr>
          <w:sz w:val="20"/>
          <w:szCs w:val="20"/>
        </w:rPr>
        <w:t>jest r</w:t>
      </w:r>
      <w:r w:rsidRPr="009411FE">
        <w:rPr>
          <w:sz w:val="20"/>
          <w:szCs w:val="20"/>
        </w:rPr>
        <w:t xml:space="preserve">ównoważny z podpisem własnoręcznym. </w:t>
      </w:r>
      <w:r w:rsidR="00EA5AEA">
        <w:rPr>
          <w:sz w:val="20"/>
          <w:szCs w:val="20"/>
        </w:rPr>
        <w:t xml:space="preserve">Można go stosować m.in. do podpisywania umów i dokumentów czy składania deklaracji podatkowych. Jego instalacja wiąże się jednak z kosztem. Być może </w:t>
      </w:r>
      <w:r w:rsidR="00857941">
        <w:rPr>
          <w:sz w:val="20"/>
          <w:szCs w:val="20"/>
        </w:rPr>
        <w:t>dlatego</w:t>
      </w:r>
      <w:r w:rsidR="00EA5AEA">
        <w:rPr>
          <w:sz w:val="20"/>
          <w:szCs w:val="20"/>
        </w:rPr>
        <w:t xml:space="preserve">, najbardziej e-podpisu obawiają się najmniejsze podmioty zatrudniające do 9 pracowników (7 proc. wskazań), najmniej zaś średnie firmy (2 proc.). Patrząc na branże, ponownie z największym dystansem na ten obowiązek patrzą firmy </w:t>
      </w:r>
      <w:r w:rsidR="00857941">
        <w:rPr>
          <w:sz w:val="20"/>
          <w:szCs w:val="20"/>
        </w:rPr>
        <w:t>usługowe</w:t>
      </w:r>
      <w:r w:rsidR="00EA5AEA">
        <w:rPr>
          <w:sz w:val="20"/>
          <w:szCs w:val="20"/>
        </w:rPr>
        <w:t xml:space="preserve"> (12 proc. ma obawy).</w:t>
      </w:r>
    </w:p>
    <w:p w14:paraId="6B04AB89" w14:textId="77777777" w:rsidR="00AB761F" w:rsidRPr="00ED3203" w:rsidRDefault="00AB761F" w:rsidP="009E3E29">
      <w:pPr>
        <w:spacing w:after="120" w:line="276" w:lineRule="auto"/>
        <w:jc w:val="both"/>
        <w:rPr>
          <w:rFonts w:ascii="Arial" w:hAnsi="Arial" w:cs="Arial"/>
          <w:b/>
          <w:color w:val="26744D"/>
          <w:sz w:val="20"/>
          <w:szCs w:val="22"/>
        </w:rPr>
      </w:pPr>
      <w:r w:rsidRPr="00ED3203">
        <w:rPr>
          <w:rFonts w:ascii="Arial" w:hAnsi="Arial" w:cs="Arial"/>
          <w:b/>
          <w:color w:val="26744D"/>
          <w:sz w:val="20"/>
          <w:szCs w:val="22"/>
        </w:rPr>
        <w:t>***</w:t>
      </w:r>
    </w:p>
    <w:p w14:paraId="2D359AAF" w14:textId="6A40DDA2" w:rsidR="00AB761F" w:rsidRPr="00ED3203" w:rsidRDefault="00AB761F" w:rsidP="009E3E29">
      <w:pPr>
        <w:spacing w:after="120" w:line="276" w:lineRule="auto"/>
        <w:jc w:val="both"/>
        <w:rPr>
          <w:sz w:val="18"/>
        </w:rPr>
      </w:pPr>
      <w:r w:rsidRPr="00ED3203">
        <w:rPr>
          <w:b/>
          <w:sz w:val="18"/>
        </w:rPr>
        <w:t>Barometr EFL</w:t>
      </w:r>
      <w:r w:rsidRPr="00ED3203">
        <w:rPr>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 dniach </w:t>
      </w:r>
      <w:r w:rsidR="0018401C">
        <w:rPr>
          <w:sz w:val="18"/>
        </w:rPr>
        <w:t>20-28 września</w:t>
      </w:r>
      <w:r w:rsidRPr="00ED3203">
        <w:rPr>
          <w:sz w:val="18"/>
        </w:rPr>
        <w:t xml:space="preserve"> 2018 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AB761F" w:rsidRPr="00ED3203" w14:paraId="1737E66A" w14:textId="77777777" w:rsidTr="00C5621E">
        <w:tc>
          <w:tcPr>
            <w:tcW w:w="9632" w:type="dxa"/>
            <w:shd w:val="clear" w:color="auto" w:fill="22744F"/>
          </w:tcPr>
          <w:p w14:paraId="3F4A0F40" w14:textId="77777777" w:rsidR="00AB761F" w:rsidRPr="00ED3203" w:rsidRDefault="00AB761F" w:rsidP="00C5621E">
            <w:pPr>
              <w:tabs>
                <w:tab w:val="left" w:pos="4248"/>
                <w:tab w:val="left" w:pos="6684"/>
              </w:tabs>
              <w:outlineLvl w:val="0"/>
              <w:rPr>
                <w:rFonts w:ascii="Arial" w:hAnsi="Arial" w:cs="Arial"/>
                <w:color w:val="FFFFFF"/>
                <w:sz w:val="20"/>
                <w:szCs w:val="20"/>
              </w:rPr>
            </w:pPr>
            <w:r w:rsidRPr="00ED3203">
              <w:rPr>
                <w:rFonts w:ascii="Arial" w:hAnsi="Arial" w:cs="Arial"/>
                <w:color w:val="FFFFFF"/>
                <w:sz w:val="20"/>
                <w:szCs w:val="20"/>
              </w:rPr>
              <w:t>Więcej informacji udziela:</w:t>
            </w:r>
            <w:r w:rsidRPr="00ED3203">
              <w:rPr>
                <w:rFonts w:ascii="Arial" w:hAnsi="Arial" w:cs="Arial"/>
                <w:color w:val="FFFFFF"/>
                <w:sz w:val="20"/>
                <w:szCs w:val="20"/>
              </w:rPr>
              <w:tab/>
            </w:r>
            <w:r w:rsidRPr="00ED3203">
              <w:rPr>
                <w:rFonts w:ascii="Arial" w:hAnsi="Arial" w:cs="Arial"/>
                <w:color w:val="FFFFFF"/>
                <w:sz w:val="20"/>
                <w:szCs w:val="20"/>
              </w:rPr>
              <w:tab/>
            </w:r>
          </w:p>
        </w:tc>
      </w:tr>
      <w:tr w:rsidR="00AB761F" w:rsidRPr="00C22DBB" w14:paraId="0A9F1C8D" w14:textId="77777777" w:rsidTr="00C5621E">
        <w:trPr>
          <w:trHeight w:val="964"/>
        </w:trPr>
        <w:tc>
          <w:tcPr>
            <w:tcW w:w="9632" w:type="dxa"/>
            <w:shd w:val="clear" w:color="auto" w:fill="auto"/>
            <w:vAlign w:val="center"/>
          </w:tcPr>
          <w:p w14:paraId="568F3404" w14:textId="77777777" w:rsidR="00AB761F" w:rsidRPr="00ED3203" w:rsidRDefault="00AB761F" w:rsidP="00C5621E">
            <w:pPr>
              <w:outlineLvl w:val="0"/>
              <w:rPr>
                <w:rFonts w:ascii="Arial" w:hAnsi="Arial" w:cs="Arial"/>
                <w:sz w:val="20"/>
                <w:szCs w:val="20"/>
              </w:rPr>
            </w:pPr>
            <w:r w:rsidRPr="00ED3203">
              <w:rPr>
                <w:rFonts w:ascii="Arial" w:hAnsi="Arial" w:cs="Arial"/>
                <w:b/>
                <w:sz w:val="20"/>
                <w:szCs w:val="20"/>
              </w:rPr>
              <w:t>Maja Lidke</w:t>
            </w:r>
          </w:p>
          <w:p w14:paraId="4ECB708B" w14:textId="77777777" w:rsidR="00AB761F" w:rsidRPr="00ED3203" w:rsidRDefault="00AB761F" w:rsidP="00C5621E">
            <w:pPr>
              <w:outlineLvl w:val="0"/>
              <w:rPr>
                <w:rFonts w:ascii="Arial" w:hAnsi="Arial" w:cs="Arial"/>
                <w:sz w:val="20"/>
                <w:szCs w:val="20"/>
              </w:rPr>
            </w:pPr>
            <w:r w:rsidRPr="00ED3203">
              <w:rPr>
                <w:rFonts w:ascii="Arial" w:hAnsi="Arial" w:cs="Arial"/>
                <w:sz w:val="20"/>
                <w:szCs w:val="20"/>
              </w:rPr>
              <w:t>Europejski Fundusz Leasingowy</w:t>
            </w:r>
          </w:p>
          <w:p w14:paraId="6DA95E55" w14:textId="77777777" w:rsidR="00AB761F" w:rsidRPr="00ED3203" w:rsidRDefault="00AB761F" w:rsidP="00C5621E">
            <w:pPr>
              <w:rPr>
                <w:rFonts w:ascii="Arial" w:hAnsi="Arial" w:cs="Arial"/>
                <w:sz w:val="20"/>
                <w:szCs w:val="20"/>
              </w:rPr>
            </w:pPr>
            <w:r w:rsidRPr="00ED3203">
              <w:rPr>
                <w:rFonts w:ascii="Arial" w:hAnsi="Arial" w:cs="Arial"/>
                <w:sz w:val="20"/>
                <w:szCs w:val="20"/>
              </w:rPr>
              <w:t>Tel.: 603 630 166</w:t>
            </w:r>
          </w:p>
          <w:p w14:paraId="1594DAEB" w14:textId="77777777" w:rsidR="00AB761F" w:rsidRPr="00575566" w:rsidRDefault="00AB761F" w:rsidP="00C5621E">
            <w:pPr>
              <w:outlineLvl w:val="0"/>
              <w:rPr>
                <w:rFonts w:ascii="Arial" w:hAnsi="Arial" w:cs="Arial"/>
                <w:b/>
                <w:sz w:val="20"/>
                <w:szCs w:val="20"/>
                <w:lang w:val="en-GB"/>
              </w:rPr>
            </w:pPr>
            <w:r w:rsidRPr="00575566">
              <w:rPr>
                <w:rFonts w:ascii="Arial" w:hAnsi="Arial" w:cs="Arial"/>
                <w:sz w:val="20"/>
                <w:szCs w:val="20"/>
                <w:lang w:val="en-GB"/>
              </w:rPr>
              <w:t xml:space="preserve">E-mail: </w:t>
            </w:r>
            <w:hyperlink r:id="rId10" w:history="1">
              <w:r w:rsidRPr="00575566">
                <w:rPr>
                  <w:rStyle w:val="Hipercze"/>
                  <w:rFonts w:ascii="Arial" w:hAnsi="Arial" w:cs="Arial"/>
                  <w:sz w:val="20"/>
                  <w:szCs w:val="20"/>
                  <w:lang w:val="en-GB"/>
                </w:rPr>
                <w:t>maja.lidke@efl.com.pl</w:t>
              </w:r>
            </w:hyperlink>
          </w:p>
        </w:tc>
      </w:tr>
    </w:tbl>
    <w:p w14:paraId="15170306" w14:textId="77777777" w:rsidR="008F77BF" w:rsidRPr="00575566" w:rsidRDefault="008F77BF" w:rsidP="00FB4128">
      <w:pPr>
        <w:spacing w:after="120" w:line="276" w:lineRule="auto"/>
        <w:jc w:val="both"/>
        <w:rPr>
          <w:rFonts w:ascii="Arial" w:hAnsi="Arial" w:cs="Arial"/>
          <w:b/>
          <w:color w:val="26744D"/>
          <w:sz w:val="20"/>
          <w:szCs w:val="22"/>
          <w:lang w:val="en-GB"/>
        </w:rPr>
      </w:pPr>
    </w:p>
    <w:p w14:paraId="3F7C1307" w14:textId="77777777" w:rsidR="00F623C2" w:rsidRPr="00575566" w:rsidRDefault="00F623C2" w:rsidP="0090356A">
      <w:pPr>
        <w:rPr>
          <w:lang w:val="en-GB"/>
        </w:rPr>
      </w:pPr>
    </w:p>
    <w:sectPr w:rsidR="00F623C2" w:rsidRPr="00575566" w:rsidSect="0090356A">
      <w:headerReference w:type="even" r:id="rId11"/>
      <w:headerReference w:type="default" r:id="rId12"/>
      <w:headerReference w:type="first" r:id="rId13"/>
      <w:pgSz w:w="11900" w:h="16840"/>
      <w:pgMar w:top="1985" w:right="680" w:bottom="1985"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9BA1" w14:textId="77777777" w:rsidR="000B4857" w:rsidRDefault="000B4857" w:rsidP="00E55FF4">
      <w:r>
        <w:separator/>
      </w:r>
    </w:p>
  </w:endnote>
  <w:endnote w:type="continuationSeparator" w:id="0">
    <w:p w14:paraId="7C5E815C" w14:textId="77777777" w:rsidR="000B4857" w:rsidRDefault="000B4857" w:rsidP="00E55FF4">
      <w:r>
        <w:continuationSeparator/>
      </w:r>
    </w:p>
  </w:endnote>
  <w:endnote w:id="1">
    <w:p w14:paraId="59B7FE0E" w14:textId="68EC7494" w:rsidR="00F20869" w:rsidRDefault="00F20869" w:rsidP="00F20869">
      <w:pPr>
        <w:spacing w:before="100" w:beforeAutospacing="1" w:after="100" w:afterAutospacing="1"/>
        <w:rPr>
          <w:rFonts w:ascii="Times New Roman" w:hAnsi="Times New Roman"/>
          <w:lang w:eastAsia="pl-PL"/>
        </w:rPr>
      </w:pPr>
      <w:r w:rsidRPr="00F20869">
        <w:rPr>
          <w:rStyle w:val="Odwoanieprzypisukocowego"/>
          <w:rFonts w:ascii="Calibri" w:hAnsi="Calibri"/>
          <w:sz w:val="16"/>
          <w:szCs w:val="16"/>
        </w:rPr>
        <w:endnoteRef/>
      </w:r>
      <w:r w:rsidRPr="00F20869">
        <w:rPr>
          <w:rFonts w:ascii="Calibri" w:hAnsi="Calibri"/>
          <w:sz w:val="16"/>
          <w:szCs w:val="16"/>
        </w:rPr>
        <w:t xml:space="preserve"> </w:t>
      </w:r>
      <w:r w:rsidRPr="00F20869">
        <w:rPr>
          <w:rFonts w:ascii="Calibri" w:hAnsi="Calibri"/>
          <w:sz w:val="16"/>
          <w:szCs w:val="16"/>
          <w:lang w:eastAsia="pl-PL"/>
        </w:rPr>
        <w:t>Od 1 stycznia 2015 r. zaczęły obowiązywać nowe regulacje dotyczące zasad kontaktu z organami skarbowymi. Przedsiębiorstwa zatrudniające ponad 5 osób oraz wszystkie biura rachunkowe niektóre formularze i rozliczenia muszą teraz obowiązkowo przesyłać drogą elektroniczną, wykorzystując kwalifikowany podpis elektroniczny. Nowy obowiązek dotyczy informacji PIT-8C, PIT-11, PIT-R, IFT-1/IFT-1R, IFT-3/IFT-3R, deklaracji PIT-4R, PIT-8AR i rocznego obliczenia podatku PIT-40. Wysyłanie elektronicznych deklaracji wiąże się bezpośrednio z obowiązkiem korzystania z bezpiecznego podpisu elektronicznego weryfikowanego za pomocą ważnego kwalifikowanego certyfikatu. Wymóg ten nie dotyczy jedynie najmniejszych firm, gdzie pracuje maksymalnie do 5 osób – podmioty te mogą składać dokumenty nadal w formie papierowej</w:t>
      </w:r>
      <w:r>
        <w:rPr>
          <w:rFonts w:ascii="Times New Roman" w:hAnsi="Times New Roman"/>
          <w:lang w:eastAsia="pl-PL"/>
        </w:rPr>
        <w:t>.</w:t>
      </w:r>
    </w:p>
    <w:p w14:paraId="30B7862D" w14:textId="0E6CF7C8" w:rsidR="00F20869" w:rsidRDefault="00F2086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450F" w14:textId="77777777" w:rsidR="000B4857" w:rsidRDefault="000B4857" w:rsidP="00E55FF4">
      <w:r>
        <w:separator/>
      </w:r>
    </w:p>
  </w:footnote>
  <w:footnote w:type="continuationSeparator" w:id="0">
    <w:p w14:paraId="5131CA4C" w14:textId="77777777" w:rsidR="000B4857" w:rsidRDefault="000B4857" w:rsidP="00E55FF4">
      <w:r>
        <w:continuationSeparator/>
      </w:r>
    </w:p>
  </w:footnote>
  <w:footnote w:id="1">
    <w:p w14:paraId="391B7A14" w14:textId="391F941A" w:rsidR="00497009" w:rsidRPr="00F20869" w:rsidRDefault="00497009" w:rsidP="00497009">
      <w:pPr>
        <w:pStyle w:val="Tekstprzypisudolnego"/>
        <w:jc w:val="both"/>
        <w:rPr>
          <w:rFonts w:ascii="Calibri" w:hAnsi="Calibri" w:cstheme="minorHAnsi"/>
          <w:sz w:val="16"/>
          <w:szCs w:val="16"/>
        </w:rPr>
      </w:pPr>
      <w:r w:rsidRPr="00F20869">
        <w:rPr>
          <w:rStyle w:val="Odwoanieprzypisudolnego"/>
          <w:rFonts w:ascii="Calibri" w:hAnsi="Calibri" w:cstheme="minorHAnsi"/>
          <w:sz w:val="16"/>
          <w:szCs w:val="16"/>
        </w:rPr>
        <w:footnoteRef/>
      </w:r>
      <w:r w:rsidRPr="00F20869">
        <w:rPr>
          <w:rFonts w:ascii="Calibri" w:hAnsi="Calibri" w:cstheme="minorHAnsi"/>
          <w:sz w:val="16"/>
          <w:szCs w:val="16"/>
        </w:rPr>
        <w:t xml:space="preserve"> Rozporządzenie Parlamentu Europejskiego i Rady</w:t>
      </w:r>
      <w:r w:rsidRPr="00F20869">
        <w:rPr>
          <w:rFonts w:ascii="Calibri" w:hAnsi="Calibri" w:cstheme="minorHAnsi"/>
          <w:bCs/>
          <w:color w:val="000000"/>
          <w:sz w:val="16"/>
          <w:szCs w:val="16"/>
        </w:rPr>
        <w:t xml:space="preserve"> (UE) 2016/679</w:t>
      </w:r>
      <w:r w:rsidRPr="00F20869">
        <w:rPr>
          <w:rFonts w:ascii="Calibri" w:hAnsi="Calibri" w:cstheme="minorHAnsi"/>
          <w:sz w:val="16"/>
          <w:szCs w:val="16"/>
        </w:rPr>
        <w:t xml:space="preserve"> </w:t>
      </w:r>
      <w:r w:rsidRPr="00F20869">
        <w:rPr>
          <w:rFonts w:ascii="Calibri" w:hAnsi="Calibri" w:cstheme="minorHAnsi"/>
          <w:bCs/>
          <w:color w:val="000000"/>
          <w:sz w:val="16"/>
          <w:szCs w:val="16"/>
        </w:rPr>
        <w:t>z dnia 27 kwietnia 2016 r. w sprawie ochrony osób fizycznych w związku z przetwarzaniem danych osobowych i w sprawie swobodnego przepływu takich danych oraz uchylenia dyrektywy 95/46/WE</w:t>
      </w:r>
    </w:p>
  </w:footnote>
  <w:footnote w:id="2">
    <w:p w14:paraId="361EBA43" w14:textId="5B43DF59" w:rsidR="00130CCA" w:rsidRPr="00F20869" w:rsidRDefault="00130CCA" w:rsidP="00497009">
      <w:pPr>
        <w:pStyle w:val="Tekstprzypisudolnego"/>
        <w:jc w:val="both"/>
        <w:rPr>
          <w:rFonts w:ascii="Calibri" w:hAnsi="Calibri"/>
          <w:sz w:val="18"/>
          <w:szCs w:val="18"/>
        </w:rPr>
      </w:pPr>
      <w:r w:rsidRPr="00F20869">
        <w:rPr>
          <w:rStyle w:val="Odwoanieprzypisudolnego"/>
          <w:rFonts w:ascii="Calibri" w:hAnsi="Calibri"/>
          <w:sz w:val="16"/>
          <w:szCs w:val="16"/>
        </w:rPr>
        <w:footnoteRef/>
      </w:r>
      <w:r w:rsidRPr="00F20869">
        <w:rPr>
          <w:rFonts w:ascii="Calibri" w:hAnsi="Calibri"/>
          <w:sz w:val="16"/>
          <w:szCs w:val="16"/>
        </w:rPr>
        <w:t xml:space="preserve"> Barometr EFL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t>
      </w:r>
      <w:r w:rsidR="001E35EE" w:rsidRPr="00F20869">
        <w:rPr>
          <w:rFonts w:ascii="Calibri" w:hAnsi="Calibri"/>
          <w:sz w:val="16"/>
          <w:szCs w:val="16"/>
        </w:rPr>
        <w:t>w dniach 20-28 września</w:t>
      </w:r>
      <w:r w:rsidRPr="00F20869">
        <w:rPr>
          <w:rFonts w:ascii="Calibri" w:hAnsi="Calibri"/>
          <w:sz w:val="16"/>
          <w:szCs w:val="16"/>
        </w:rPr>
        <w:t xml:space="preserve"> 2018</w:t>
      </w:r>
      <w:r w:rsidRPr="00F20869">
        <w:rPr>
          <w:rFonts w:ascii="Calibri" w:hAnsi="Calibri"/>
          <w:sz w:val="18"/>
          <w:szCs w:val="18"/>
        </w:rPr>
        <w:t xml:space="preserve">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DC9A" w14:textId="77777777" w:rsidR="00C570A9" w:rsidRDefault="000B4857">
    <w:pPr>
      <w:pStyle w:val="Nagwek"/>
    </w:pPr>
    <w:r>
      <w:rPr>
        <w:noProof/>
        <w:lang w:eastAsia="pl-PL"/>
      </w:rPr>
      <w:pict w14:anchorId="70DF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75pt;height:842pt;z-index:-251657216;mso-position-horizontal:center;mso-position-horizontal-relative:margin;mso-position-vertical:center;mso-position-vertical-relative:margin" o:allowincell="f">
          <v:imagedata r:id="rId1" o:title="EFL-To-Sie-Uda-Papier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2B50" w14:textId="444B61B7" w:rsidR="00E55FF4" w:rsidRDefault="000B4857">
    <w:pPr>
      <w:pStyle w:val="Nagwek"/>
    </w:pPr>
    <w:r>
      <w:rPr>
        <w:noProof/>
        <w:lang w:eastAsia="pl-PL"/>
      </w:rPr>
      <w:pict w14:anchorId="4F9E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35.15pt;margin-top:-87.4pt;width:595.75pt;height:842pt;z-index:-251655168;mso-position-horizontal-relative:margin;mso-position-vertical-relative:margin" o:allowincell="f">
          <v:imagedata r:id="rId1" o:title="EFL-To-Sie-Uda-Papier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6DE4" w14:textId="77777777" w:rsidR="00C570A9" w:rsidRDefault="000B4857">
    <w:pPr>
      <w:pStyle w:val="Nagwek"/>
    </w:pPr>
    <w:r>
      <w:rPr>
        <w:noProof/>
        <w:lang w:eastAsia="pl-PL"/>
      </w:rPr>
      <w:pict w14:anchorId="01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75pt;height:842pt;z-index:-251656192;mso-position-horizontal:center;mso-position-horizontal-relative:margin;mso-position-vertical:center;mso-position-vertical-relative:margin" o:allowincell="f">
          <v:imagedata r:id="rId1" o:title="EFL-To-Sie-Uda-PapierFirmow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1"/>
    <w:rsid w:val="00097B6C"/>
    <w:rsid w:val="000B4857"/>
    <w:rsid w:val="000C2D2F"/>
    <w:rsid w:val="000C597B"/>
    <w:rsid w:val="00124649"/>
    <w:rsid w:val="00130CCA"/>
    <w:rsid w:val="00163717"/>
    <w:rsid w:val="001802A4"/>
    <w:rsid w:val="0018401C"/>
    <w:rsid w:val="001960AB"/>
    <w:rsid w:val="0019656C"/>
    <w:rsid w:val="001B5C0F"/>
    <w:rsid w:val="001C7529"/>
    <w:rsid w:val="001E35EE"/>
    <w:rsid w:val="001E43E1"/>
    <w:rsid w:val="001E5191"/>
    <w:rsid w:val="001F341C"/>
    <w:rsid w:val="001F6AC7"/>
    <w:rsid w:val="0020486D"/>
    <w:rsid w:val="00211ED5"/>
    <w:rsid w:val="002266B1"/>
    <w:rsid w:val="0028262D"/>
    <w:rsid w:val="002A328F"/>
    <w:rsid w:val="002A5C06"/>
    <w:rsid w:val="002A7699"/>
    <w:rsid w:val="002C2F8A"/>
    <w:rsid w:val="002E3E43"/>
    <w:rsid w:val="002F34E3"/>
    <w:rsid w:val="00306460"/>
    <w:rsid w:val="00345E5E"/>
    <w:rsid w:val="00362EDD"/>
    <w:rsid w:val="003643EC"/>
    <w:rsid w:val="00385B63"/>
    <w:rsid w:val="003A7143"/>
    <w:rsid w:val="004064E1"/>
    <w:rsid w:val="00421F4E"/>
    <w:rsid w:val="00427876"/>
    <w:rsid w:val="00450EDB"/>
    <w:rsid w:val="004705CF"/>
    <w:rsid w:val="00477A48"/>
    <w:rsid w:val="00497009"/>
    <w:rsid w:val="004C14C8"/>
    <w:rsid w:val="004C1E52"/>
    <w:rsid w:val="00504743"/>
    <w:rsid w:val="00505A17"/>
    <w:rsid w:val="00515563"/>
    <w:rsid w:val="00551B3E"/>
    <w:rsid w:val="00575566"/>
    <w:rsid w:val="0058157A"/>
    <w:rsid w:val="00591B2B"/>
    <w:rsid w:val="00592069"/>
    <w:rsid w:val="005A5E01"/>
    <w:rsid w:val="00617848"/>
    <w:rsid w:val="00637E9B"/>
    <w:rsid w:val="00652A31"/>
    <w:rsid w:val="00667F13"/>
    <w:rsid w:val="00683F60"/>
    <w:rsid w:val="006B1576"/>
    <w:rsid w:val="006D691D"/>
    <w:rsid w:val="006E16E7"/>
    <w:rsid w:val="0073610C"/>
    <w:rsid w:val="00773FBF"/>
    <w:rsid w:val="00777513"/>
    <w:rsid w:val="0078402B"/>
    <w:rsid w:val="007F46E4"/>
    <w:rsid w:val="0080030A"/>
    <w:rsid w:val="008012C1"/>
    <w:rsid w:val="00857941"/>
    <w:rsid w:val="00865C77"/>
    <w:rsid w:val="00883DF4"/>
    <w:rsid w:val="00885633"/>
    <w:rsid w:val="008A0C12"/>
    <w:rsid w:val="008A4B1C"/>
    <w:rsid w:val="008D06D2"/>
    <w:rsid w:val="008F24A2"/>
    <w:rsid w:val="008F77BF"/>
    <w:rsid w:val="00902893"/>
    <w:rsid w:val="0090356A"/>
    <w:rsid w:val="0092694F"/>
    <w:rsid w:val="009411FE"/>
    <w:rsid w:val="00960365"/>
    <w:rsid w:val="009B478B"/>
    <w:rsid w:val="009C2990"/>
    <w:rsid w:val="009C4621"/>
    <w:rsid w:val="009E3E29"/>
    <w:rsid w:val="009F0FF2"/>
    <w:rsid w:val="009F25C4"/>
    <w:rsid w:val="00A338E8"/>
    <w:rsid w:val="00A35277"/>
    <w:rsid w:val="00A504D8"/>
    <w:rsid w:val="00A51BC3"/>
    <w:rsid w:val="00A57D55"/>
    <w:rsid w:val="00A83C83"/>
    <w:rsid w:val="00AA1A56"/>
    <w:rsid w:val="00AB761F"/>
    <w:rsid w:val="00AD771D"/>
    <w:rsid w:val="00AE5DFF"/>
    <w:rsid w:val="00B00840"/>
    <w:rsid w:val="00B11DBF"/>
    <w:rsid w:val="00B302F1"/>
    <w:rsid w:val="00BA075E"/>
    <w:rsid w:val="00BA2AB0"/>
    <w:rsid w:val="00BB27C6"/>
    <w:rsid w:val="00BB3210"/>
    <w:rsid w:val="00BC3D89"/>
    <w:rsid w:val="00C16CC0"/>
    <w:rsid w:val="00C221AE"/>
    <w:rsid w:val="00C22DBB"/>
    <w:rsid w:val="00C36346"/>
    <w:rsid w:val="00C42F82"/>
    <w:rsid w:val="00C570A9"/>
    <w:rsid w:val="00C66E31"/>
    <w:rsid w:val="00C87E85"/>
    <w:rsid w:val="00C93103"/>
    <w:rsid w:val="00C964AB"/>
    <w:rsid w:val="00CB1512"/>
    <w:rsid w:val="00CD38BA"/>
    <w:rsid w:val="00CD55D8"/>
    <w:rsid w:val="00CF705D"/>
    <w:rsid w:val="00D14B62"/>
    <w:rsid w:val="00D25F1A"/>
    <w:rsid w:val="00DB64C4"/>
    <w:rsid w:val="00DC0B2B"/>
    <w:rsid w:val="00DF6619"/>
    <w:rsid w:val="00E07578"/>
    <w:rsid w:val="00E105D7"/>
    <w:rsid w:val="00E106CD"/>
    <w:rsid w:val="00E26D5D"/>
    <w:rsid w:val="00E301AC"/>
    <w:rsid w:val="00E53439"/>
    <w:rsid w:val="00E55FF4"/>
    <w:rsid w:val="00E70D6E"/>
    <w:rsid w:val="00E800B7"/>
    <w:rsid w:val="00EA5AEA"/>
    <w:rsid w:val="00EC4ACA"/>
    <w:rsid w:val="00ED3203"/>
    <w:rsid w:val="00ED4DE4"/>
    <w:rsid w:val="00ED5E8A"/>
    <w:rsid w:val="00EF1301"/>
    <w:rsid w:val="00F00DC6"/>
    <w:rsid w:val="00F01868"/>
    <w:rsid w:val="00F1269C"/>
    <w:rsid w:val="00F20869"/>
    <w:rsid w:val="00F560A3"/>
    <w:rsid w:val="00F61348"/>
    <w:rsid w:val="00F623C2"/>
    <w:rsid w:val="00FB4128"/>
    <w:rsid w:val="00FC66E1"/>
    <w:rsid w:val="00FF2FD2"/>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0C469CA"/>
  <w15:docId w15:val="{9B461992-E81A-4407-A250-EA579B6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7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FF4"/>
    <w:pPr>
      <w:tabs>
        <w:tab w:val="center" w:pos="4536"/>
        <w:tab w:val="right" w:pos="9072"/>
      </w:tabs>
    </w:pPr>
  </w:style>
  <w:style w:type="character" w:customStyle="1" w:styleId="NagwekZnak">
    <w:name w:val="Nagłówek Znak"/>
    <w:basedOn w:val="Domylnaczcionkaakapitu"/>
    <w:link w:val="Nagwek"/>
    <w:uiPriority w:val="99"/>
    <w:rsid w:val="00E55FF4"/>
  </w:style>
  <w:style w:type="paragraph" w:styleId="Stopka">
    <w:name w:val="footer"/>
    <w:basedOn w:val="Normalny"/>
    <w:link w:val="StopkaZnak"/>
    <w:uiPriority w:val="99"/>
    <w:unhideWhenUsed/>
    <w:rsid w:val="00E55FF4"/>
    <w:pPr>
      <w:tabs>
        <w:tab w:val="center" w:pos="4536"/>
        <w:tab w:val="right" w:pos="9072"/>
      </w:tabs>
    </w:pPr>
  </w:style>
  <w:style w:type="character" w:customStyle="1" w:styleId="StopkaZnak">
    <w:name w:val="Stopka Znak"/>
    <w:basedOn w:val="Domylnaczcionkaakapitu"/>
    <w:link w:val="Stopka"/>
    <w:uiPriority w:val="99"/>
    <w:rsid w:val="00E55FF4"/>
  </w:style>
  <w:style w:type="paragraph" w:styleId="Tekstprzypisudolnego">
    <w:name w:val="footnote text"/>
    <w:basedOn w:val="Normalny"/>
    <w:link w:val="TekstprzypisudolnegoZnak"/>
    <w:uiPriority w:val="99"/>
    <w:semiHidden/>
    <w:unhideWhenUsed/>
    <w:rsid w:val="00AB761F"/>
    <w:rPr>
      <w:sz w:val="20"/>
      <w:szCs w:val="20"/>
    </w:rPr>
  </w:style>
  <w:style w:type="character" w:customStyle="1" w:styleId="TekstprzypisudolnegoZnak">
    <w:name w:val="Tekst przypisu dolnego Znak"/>
    <w:basedOn w:val="Domylnaczcionkaakapitu"/>
    <w:link w:val="Tekstprzypisudolnego"/>
    <w:uiPriority w:val="99"/>
    <w:semiHidden/>
    <w:rsid w:val="00AB761F"/>
    <w:rPr>
      <w:sz w:val="20"/>
      <w:szCs w:val="20"/>
    </w:rPr>
  </w:style>
  <w:style w:type="character" w:styleId="Odwoanieprzypisudolnego">
    <w:name w:val="footnote reference"/>
    <w:basedOn w:val="Domylnaczcionkaakapitu"/>
    <w:uiPriority w:val="99"/>
    <w:semiHidden/>
    <w:unhideWhenUsed/>
    <w:rsid w:val="00AB761F"/>
    <w:rPr>
      <w:vertAlign w:val="superscript"/>
    </w:rPr>
  </w:style>
  <w:style w:type="character" w:styleId="Hipercze">
    <w:name w:val="Hyperlink"/>
    <w:unhideWhenUsed/>
    <w:rsid w:val="00AB761F"/>
    <w:rPr>
      <w:color w:val="0000FF"/>
      <w:u w:val="single"/>
    </w:rPr>
  </w:style>
  <w:style w:type="character" w:styleId="Odwoaniedokomentarza">
    <w:name w:val="annotation reference"/>
    <w:basedOn w:val="Domylnaczcionkaakapitu"/>
    <w:uiPriority w:val="99"/>
    <w:semiHidden/>
    <w:unhideWhenUsed/>
    <w:rsid w:val="00A504D8"/>
    <w:rPr>
      <w:sz w:val="16"/>
      <w:szCs w:val="16"/>
    </w:rPr>
  </w:style>
  <w:style w:type="paragraph" w:styleId="Tekstkomentarza">
    <w:name w:val="annotation text"/>
    <w:basedOn w:val="Normalny"/>
    <w:link w:val="TekstkomentarzaZnak"/>
    <w:uiPriority w:val="99"/>
    <w:semiHidden/>
    <w:unhideWhenUsed/>
    <w:rsid w:val="00A504D8"/>
    <w:rPr>
      <w:sz w:val="20"/>
      <w:szCs w:val="20"/>
    </w:rPr>
  </w:style>
  <w:style w:type="character" w:customStyle="1" w:styleId="TekstkomentarzaZnak">
    <w:name w:val="Tekst komentarza Znak"/>
    <w:basedOn w:val="Domylnaczcionkaakapitu"/>
    <w:link w:val="Tekstkomentarza"/>
    <w:uiPriority w:val="99"/>
    <w:semiHidden/>
    <w:rsid w:val="00A504D8"/>
    <w:rPr>
      <w:sz w:val="20"/>
      <w:szCs w:val="20"/>
    </w:rPr>
  </w:style>
  <w:style w:type="paragraph" w:styleId="Tematkomentarza">
    <w:name w:val="annotation subject"/>
    <w:basedOn w:val="Tekstkomentarza"/>
    <w:next w:val="Tekstkomentarza"/>
    <w:link w:val="TematkomentarzaZnak"/>
    <w:uiPriority w:val="99"/>
    <w:semiHidden/>
    <w:unhideWhenUsed/>
    <w:rsid w:val="00A504D8"/>
    <w:rPr>
      <w:b/>
      <w:bCs/>
    </w:rPr>
  </w:style>
  <w:style w:type="character" w:customStyle="1" w:styleId="TematkomentarzaZnak">
    <w:name w:val="Temat komentarza Znak"/>
    <w:basedOn w:val="TekstkomentarzaZnak"/>
    <w:link w:val="Tematkomentarza"/>
    <w:uiPriority w:val="99"/>
    <w:semiHidden/>
    <w:rsid w:val="00A504D8"/>
    <w:rPr>
      <w:b/>
      <w:bCs/>
      <w:sz w:val="20"/>
      <w:szCs w:val="20"/>
    </w:rPr>
  </w:style>
  <w:style w:type="paragraph" w:styleId="Tekstdymka">
    <w:name w:val="Balloon Text"/>
    <w:basedOn w:val="Normalny"/>
    <w:link w:val="TekstdymkaZnak"/>
    <w:uiPriority w:val="99"/>
    <w:semiHidden/>
    <w:unhideWhenUsed/>
    <w:rsid w:val="00A504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D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20869"/>
    <w:rPr>
      <w:sz w:val="20"/>
      <w:szCs w:val="20"/>
    </w:rPr>
  </w:style>
  <w:style w:type="character" w:customStyle="1" w:styleId="TekstprzypisukocowegoZnak">
    <w:name w:val="Tekst przypisu końcowego Znak"/>
    <w:basedOn w:val="Domylnaczcionkaakapitu"/>
    <w:link w:val="Tekstprzypisukocowego"/>
    <w:uiPriority w:val="99"/>
    <w:semiHidden/>
    <w:rsid w:val="00F20869"/>
    <w:rPr>
      <w:sz w:val="20"/>
      <w:szCs w:val="20"/>
    </w:rPr>
  </w:style>
  <w:style w:type="character" w:styleId="Odwoanieprzypisukocowego">
    <w:name w:val="endnote reference"/>
    <w:basedOn w:val="Domylnaczcionkaakapitu"/>
    <w:uiPriority w:val="99"/>
    <w:semiHidden/>
    <w:unhideWhenUsed/>
    <w:rsid w:val="00F20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ja.lidke@efl.com.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dzaj xmlns="f9654d01-3c3b-4dd3-abec-1afffd83b5ce">Logo i szablony dokumentów</Rodzaj>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1BF218-2C33-47DE-BA81-D34E9A5706D1}">
  <ds:schemaRefs>
    <ds:schemaRef ds:uri="http://schemas.microsoft.com/sharepoint/v3/contenttype/forms"/>
  </ds:schemaRefs>
</ds:datastoreItem>
</file>

<file path=customXml/itemProps2.xml><?xml version="1.0" encoding="utf-8"?>
<ds:datastoreItem xmlns:ds="http://schemas.openxmlformats.org/officeDocument/2006/customXml" ds:itemID="{E30296A1-1FEB-41BC-B5B4-55175037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C1008-E18C-4962-AD19-2870D490DCAE}">
  <ds:schemaRefs>
    <ds:schemaRef ds:uri="http://schemas.microsoft.com/office/2006/metadata/properties"/>
    <ds:schemaRef ds:uri="http://schemas.microsoft.com/office/infopath/2007/PartnerControls"/>
    <ds:schemaRef ds:uri="f9654d01-3c3b-4dd3-abec-1afffd83b5ce"/>
  </ds:schemaRefs>
</ds:datastoreItem>
</file>

<file path=customXml/itemProps4.xml><?xml version="1.0" encoding="utf-8"?>
<ds:datastoreItem xmlns:ds="http://schemas.openxmlformats.org/officeDocument/2006/customXml" ds:itemID="{7537E2AE-863D-46DF-AFAE-FAA601A2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4899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Lorenc</dc:creator>
  <cp:lastModifiedBy>Maja Lidke</cp:lastModifiedBy>
  <cp:revision>3</cp:revision>
  <dcterms:created xsi:type="dcterms:W3CDTF">2018-11-27T06:33:00Z</dcterms:created>
  <dcterms:modified xsi:type="dcterms:W3CDTF">2018-11-27T06:34:00Z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0x010100C2523C6362C0D64A8EA9BBCE3467C3FA</vt:lpwstr>
  </property>
</Properties>
</file>