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B642" w14:textId="77777777" w:rsidR="003E158E" w:rsidRPr="00BA4F1D" w:rsidRDefault="003E158E" w:rsidP="003E158E">
      <w:pPr>
        <w:autoSpaceDE w:val="0"/>
        <w:autoSpaceDN w:val="0"/>
        <w:spacing w:before="240" w:line="276" w:lineRule="auto"/>
        <w:jc w:val="right"/>
        <w:rPr>
          <w:rFonts w:ascii="StoneSansPl" w:hAnsi="StoneSansPl" w:cs="Arial"/>
          <w:bCs/>
          <w:color w:val="000000"/>
          <w:szCs w:val="22"/>
        </w:rPr>
      </w:pPr>
      <w:r w:rsidRPr="00BA4F1D">
        <w:rPr>
          <w:rFonts w:ascii="StoneSansPl" w:hAnsi="StoneSansPl" w:cs="Arial"/>
          <w:bCs/>
          <w:color w:val="000000"/>
          <w:szCs w:val="22"/>
        </w:rPr>
        <w:t>Informacja prasowa</w:t>
      </w:r>
    </w:p>
    <w:p w14:paraId="5105F105" w14:textId="40D2BDDC" w:rsidR="003E158E" w:rsidRPr="00BA4F1D" w:rsidRDefault="003E158E" w:rsidP="003E158E">
      <w:pPr>
        <w:autoSpaceDE w:val="0"/>
        <w:autoSpaceDN w:val="0"/>
        <w:spacing w:before="240" w:line="276" w:lineRule="auto"/>
        <w:jc w:val="right"/>
        <w:rPr>
          <w:rFonts w:ascii="StoneSansPl" w:hAnsi="StoneSansPl" w:cs="Arial"/>
          <w:bCs/>
          <w:szCs w:val="22"/>
        </w:rPr>
      </w:pPr>
      <w:r w:rsidRPr="00BA4F1D">
        <w:rPr>
          <w:rFonts w:ascii="StoneSansPl" w:hAnsi="StoneSansPl" w:cs="Arial"/>
          <w:bCs/>
          <w:color w:val="000000"/>
          <w:szCs w:val="22"/>
        </w:rPr>
        <w:t xml:space="preserve">  Warszawa, </w:t>
      </w:r>
      <w:r w:rsidR="0041039E">
        <w:rPr>
          <w:rFonts w:ascii="StoneSansPl" w:hAnsi="StoneSansPl" w:cs="Arial"/>
          <w:bCs/>
          <w:color w:val="000000"/>
          <w:szCs w:val="22"/>
        </w:rPr>
        <w:t>12</w:t>
      </w:r>
      <w:r w:rsidR="00087722">
        <w:rPr>
          <w:rFonts w:ascii="StoneSansPl" w:hAnsi="StoneSansPl" w:cs="Arial"/>
          <w:bCs/>
          <w:color w:val="000000"/>
          <w:szCs w:val="22"/>
        </w:rPr>
        <w:t xml:space="preserve"> </w:t>
      </w:r>
      <w:r w:rsidR="00980167">
        <w:rPr>
          <w:rFonts w:ascii="StoneSansPl" w:hAnsi="StoneSansPl" w:cs="Arial"/>
          <w:bCs/>
          <w:color w:val="000000"/>
          <w:szCs w:val="22"/>
        </w:rPr>
        <w:t>grudnia</w:t>
      </w:r>
      <w:r w:rsidR="00087722">
        <w:rPr>
          <w:rFonts w:ascii="StoneSansPl" w:hAnsi="StoneSansPl" w:cs="Arial"/>
          <w:bCs/>
          <w:color w:val="000000"/>
          <w:szCs w:val="22"/>
        </w:rPr>
        <w:t xml:space="preserve"> </w:t>
      </w:r>
      <w:r w:rsidR="00475F17" w:rsidRPr="00BA4F1D">
        <w:rPr>
          <w:rFonts w:ascii="StoneSansPl" w:hAnsi="StoneSansPl" w:cs="Arial"/>
          <w:bCs/>
          <w:color w:val="000000"/>
          <w:szCs w:val="22"/>
        </w:rPr>
        <w:t>2018</w:t>
      </w:r>
      <w:r w:rsidRPr="00BA4F1D">
        <w:rPr>
          <w:rFonts w:ascii="StoneSansPl" w:hAnsi="StoneSansPl" w:cs="Arial"/>
          <w:bCs/>
          <w:szCs w:val="22"/>
        </w:rPr>
        <w:t xml:space="preserve"> r.</w:t>
      </w:r>
    </w:p>
    <w:p w14:paraId="6BFC2DFF" w14:textId="77777777" w:rsidR="003E158E" w:rsidRPr="00BA4F1D" w:rsidRDefault="003E158E" w:rsidP="003E158E">
      <w:pPr>
        <w:autoSpaceDE w:val="0"/>
        <w:autoSpaceDN w:val="0"/>
        <w:spacing w:before="240" w:line="276" w:lineRule="auto"/>
        <w:jc w:val="right"/>
        <w:rPr>
          <w:rFonts w:ascii="StoneSansPl" w:hAnsi="StoneSansPl" w:cs="Arial"/>
          <w:bCs/>
          <w:szCs w:val="22"/>
        </w:rPr>
      </w:pPr>
    </w:p>
    <w:p w14:paraId="447D8007" w14:textId="77777777" w:rsidR="00416099" w:rsidRPr="00BA4F1D" w:rsidRDefault="00E93285" w:rsidP="0070435E">
      <w:pPr>
        <w:spacing w:line="276" w:lineRule="auto"/>
        <w:jc w:val="both"/>
        <w:rPr>
          <w:rFonts w:ascii="StoneSansPl" w:hAnsi="StoneSansPl" w:cs="Arial"/>
          <w:b/>
          <w:sz w:val="32"/>
          <w:szCs w:val="22"/>
        </w:rPr>
      </w:pPr>
      <w:r>
        <w:rPr>
          <w:rFonts w:ascii="StoneSansPl" w:hAnsi="StoneSansPl" w:cs="Arial"/>
          <w:b/>
          <w:sz w:val="32"/>
          <w:szCs w:val="22"/>
        </w:rPr>
        <w:t xml:space="preserve"> </w:t>
      </w:r>
    </w:p>
    <w:p w14:paraId="1DA57811" w14:textId="77777777" w:rsidR="006056FE" w:rsidRPr="00BA4F1D" w:rsidRDefault="00F30ECD" w:rsidP="0070435E">
      <w:pPr>
        <w:spacing w:line="276" w:lineRule="auto"/>
        <w:jc w:val="both"/>
        <w:rPr>
          <w:rFonts w:ascii="StoneSansPl" w:hAnsi="StoneSansPl" w:cs="Arial"/>
          <w:b/>
          <w:sz w:val="32"/>
          <w:szCs w:val="22"/>
        </w:rPr>
      </w:pPr>
      <w:r>
        <w:rPr>
          <w:rFonts w:ascii="StoneSansPl" w:hAnsi="StoneSansPl" w:cs="Arial"/>
          <w:b/>
          <w:sz w:val="32"/>
          <w:szCs w:val="22"/>
        </w:rPr>
        <w:t>UNIQA Polska: wynik techniczny wciąż w górę</w:t>
      </w:r>
    </w:p>
    <w:p w14:paraId="6FFBF0C0" w14:textId="77777777" w:rsidR="007D01B4" w:rsidRPr="00BA4F1D" w:rsidRDefault="007D01B4" w:rsidP="003E158E">
      <w:pPr>
        <w:spacing w:line="276" w:lineRule="auto"/>
        <w:jc w:val="both"/>
        <w:rPr>
          <w:rFonts w:ascii="StoneSansPl" w:hAnsi="StoneSansPl" w:cs="Arial"/>
          <w:b/>
          <w:szCs w:val="22"/>
        </w:rPr>
      </w:pPr>
    </w:p>
    <w:p w14:paraId="2F4FE804" w14:textId="77777777" w:rsidR="00416099" w:rsidRPr="00BA4F1D" w:rsidRDefault="00416099" w:rsidP="003E158E">
      <w:pPr>
        <w:spacing w:line="276" w:lineRule="auto"/>
        <w:jc w:val="both"/>
        <w:rPr>
          <w:rFonts w:ascii="StoneSansPl" w:hAnsi="StoneSansPl" w:cs="Arial"/>
          <w:b/>
          <w:szCs w:val="22"/>
        </w:rPr>
      </w:pPr>
    </w:p>
    <w:p w14:paraId="2784BB72" w14:textId="77777777" w:rsidR="00374423" w:rsidRPr="00E93285" w:rsidRDefault="0014192C" w:rsidP="00640A15">
      <w:pPr>
        <w:pStyle w:val="Akapitzlist"/>
        <w:numPr>
          <w:ilvl w:val="0"/>
          <w:numId w:val="6"/>
        </w:numPr>
        <w:autoSpaceDE w:val="0"/>
        <w:autoSpaceDN w:val="0"/>
        <w:adjustRightInd w:val="0"/>
        <w:spacing w:line="276" w:lineRule="auto"/>
        <w:contextualSpacing/>
        <w:jc w:val="both"/>
        <w:rPr>
          <w:rFonts w:ascii="StoneSansPl" w:hAnsi="StoneSansPl" w:cs="Arial"/>
          <w:b/>
          <w:color w:val="000000"/>
          <w:sz w:val="28"/>
          <w:szCs w:val="28"/>
        </w:rPr>
      </w:pPr>
      <w:r>
        <w:rPr>
          <w:rFonts w:ascii="StoneSansPl" w:hAnsi="StoneSansPl"/>
          <w:b/>
          <w:sz w:val="28"/>
          <w:szCs w:val="28"/>
        </w:rPr>
        <w:t>Prawie 1 mld zł składki zebrały spółki UNIQA Polska po 9 miesiącach 2018 roku</w:t>
      </w:r>
    </w:p>
    <w:p w14:paraId="2A17BDA9" w14:textId="77777777" w:rsidR="00E93285" w:rsidRPr="00BA4F1D" w:rsidRDefault="0014192C" w:rsidP="00640A15">
      <w:pPr>
        <w:pStyle w:val="Akapitzlist"/>
        <w:numPr>
          <w:ilvl w:val="0"/>
          <w:numId w:val="6"/>
        </w:numPr>
        <w:autoSpaceDE w:val="0"/>
        <w:autoSpaceDN w:val="0"/>
        <w:adjustRightInd w:val="0"/>
        <w:spacing w:line="276" w:lineRule="auto"/>
        <w:contextualSpacing/>
        <w:jc w:val="both"/>
        <w:rPr>
          <w:rFonts w:ascii="StoneSansPl" w:hAnsi="StoneSansPl" w:cs="Arial"/>
          <w:b/>
          <w:color w:val="000000"/>
          <w:sz w:val="28"/>
          <w:szCs w:val="28"/>
        </w:rPr>
      </w:pPr>
      <w:r>
        <w:rPr>
          <w:rFonts w:ascii="StoneSansPl" w:hAnsi="StoneSansPl"/>
          <w:b/>
          <w:sz w:val="28"/>
          <w:szCs w:val="28"/>
        </w:rPr>
        <w:t>Obie spółki zanotowały lepszy wynik finansowy niż przed rokiem</w:t>
      </w:r>
    </w:p>
    <w:p w14:paraId="6BD3CD8A" w14:textId="77777777" w:rsidR="00AF7F0E" w:rsidRPr="00CF5EAE" w:rsidRDefault="0014192C" w:rsidP="00CF5EAE">
      <w:pPr>
        <w:pStyle w:val="Akapitzlist"/>
        <w:numPr>
          <w:ilvl w:val="0"/>
          <w:numId w:val="6"/>
        </w:numPr>
        <w:autoSpaceDE w:val="0"/>
        <w:autoSpaceDN w:val="0"/>
        <w:adjustRightInd w:val="0"/>
        <w:spacing w:line="276" w:lineRule="auto"/>
        <w:contextualSpacing/>
        <w:jc w:val="both"/>
        <w:rPr>
          <w:rFonts w:ascii="StoneSansPl" w:hAnsi="StoneSansPl" w:cs="Arial"/>
          <w:b/>
          <w:color w:val="000000"/>
          <w:sz w:val="28"/>
          <w:szCs w:val="28"/>
        </w:rPr>
      </w:pPr>
      <w:r>
        <w:rPr>
          <w:rFonts w:ascii="StoneSansPl" w:hAnsi="StoneSansPl"/>
          <w:b/>
          <w:sz w:val="28"/>
          <w:szCs w:val="28"/>
        </w:rPr>
        <w:t xml:space="preserve">Towarzystwo majątkowe wielokrotnie poprawiło </w:t>
      </w:r>
      <w:r w:rsidR="0026366E">
        <w:rPr>
          <w:rFonts w:ascii="StoneSansPl" w:hAnsi="StoneSansPl"/>
          <w:b/>
          <w:sz w:val="28"/>
          <w:szCs w:val="28"/>
        </w:rPr>
        <w:t xml:space="preserve">również </w:t>
      </w:r>
      <w:r w:rsidR="00CF5EAE">
        <w:rPr>
          <w:rFonts w:ascii="StoneSansPl" w:hAnsi="StoneSansPl"/>
          <w:b/>
          <w:sz w:val="28"/>
          <w:szCs w:val="28"/>
        </w:rPr>
        <w:t>wynik techniczny.</w:t>
      </w:r>
    </w:p>
    <w:p w14:paraId="37811C79" w14:textId="77777777" w:rsidR="00105453" w:rsidRDefault="00105453" w:rsidP="002B7D17">
      <w:pPr>
        <w:spacing w:line="276" w:lineRule="auto"/>
        <w:contextualSpacing/>
        <w:jc w:val="both"/>
        <w:rPr>
          <w:rFonts w:ascii="StoneSansPl" w:hAnsi="StoneSansPl"/>
          <w:b/>
          <w:sz w:val="24"/>
        </w:rPr>
      </w:pPr>
    </w:p>
    <w:p w14:paraId="6F2E12D0" w14:textId="67667231" w:rsidR="00B62A9A" w:rsidRPr="007D6F9A" w:rsidRDefault="007D6F9A" w:rsidP="00FA2083">
      <w:pPr>
        <w:spacing w:line="276" w:lineRule="auto"/>
        <w:contextualSpacing/>
        <w:jc w:val="both"/>
        <w:rPr>
          <w:rFonts w:ascii="StoneSansPl" w:hAnsi="StoneSansPl"/>
          <w:b/>
          <w:sz w:val="24"/>
        </w:rPr>
      </w:pPr>
      <w:r w:rsidRPr="007D6F9A">
        <w:rPr>
          <w:rFonts w:ascii="StoneSansPl" w:hAnsi="StoneSansPl"/>
          <w:b/>
          <w:bCs/>
          <w:sz w:val="24"/>
        </w:rPr>
        <w:t>Zarówno spółka majątkowa, jak i życiowa poprawiły zysk liczony według międzynarodowych standardów rachunkowości. </w:t>
      </w:r>
      <w:r>
        <w:rPr>
          <w:rFonts w:ascii="StoneSansPl" w:hAnsi="StoneSansPl"/>
          <w:b/>
          <w:sz w:val="24"/>
        </w:rPr>
        <w:t xml:space="preserve">Spółka majątkowa UNIQA Polska </w:t>
      </w:r>
      <w:r w:rsidR="0026366E">
        <w:rPr>
          <w:rFonts w:ascii="StoneSansPl" w:hAnsi="StoneSansPl"/>
          <w:b/>
          <w:sz w:val="24"/>
        </w:rPr>
        <w:t>zwiększyła</w:t>
      </w:r>
      <w:r>
        <w:rPr>
          <w:rFonts w:ascii="StoneSansPl" w:hAnsi="StoneSansPl"/>
          <w:b/>
          <w:sz w:val="24"/>
        </w:rPr>
        <w:t xml:space="preserve"> wynik finansowy netto o </w:t>
      </w:r>
      <w:r w:rsidR="0026366E">
        <w:rPr>
          <w:rFonts w:ascii="StoneSansPl" w:hAnsi="StoneSansPl"/>
          <w:b/>
          <w:sz w:val="24"/>
        </w:rPr>
        <w:t>ponad jedną trzecią</w:t>
      </w:r>
      <w:r w:rsidR="00D93A01">
        <w:rPr>
          <w:rFonts w:ascii="StoneSansPl" w:hAnsi="StoneSansPl"/>
          <w:b/>
          <w:sz w:val="24"/>
        </w:rPr>
        <w:t>, do 34,1</w:t>
      </w:r>
      <w:r>
        <w:rPr>
          <w:rFonts w:ascii="StoneSansPl" w:hAnsi="StoneSansPl"/>
          <w:b/>
          <w:sz w:val="24"/>
        </w:rPr>
        <w:t xml:space="preserve"> mln zł. Jeszcze wyższą </w:t>
      </w:r>
      <w:r w:rsidR="0026366E">
        <w:rPr>
          <w:rFonts w:ascii="StoneSansPl" w:hAnsi="StoneSansPl"/>
          <w:b/>
          <w:sz w:val="24"/>
        </w:rPr>
        <w:t>dynamikę wzrostu</w:t>
      </w:r>
      <w:r>
        <w:rPr>
          <w:rFonts w:ascii="StoneSansPl" w:hAnsi="StoneSansPl"/>
          <w:b/>
          <w:sz w:val="24"/>
        </w:rPr>
        <w:t xml:space="preserve"> zanotowała w odniesieniu do wynik</w:t>
      </w:r>
      <w:r w:rsidR="0039150F">
        <w:rPr>
          <w:rFonts w:ascii="StoneSansPl" w:hAnsi="StoneSansPl"/>
          <w:b/>
          <w:sz w:val="24"/>
        </w:rPr>
        <w:t>u</w:t>
      </w:r>
      <w:r>
        <w:rPr>
          <w:rFonts w:ascii="StoneSansPl" w:hAnsi="StoneSansPl"/>
          <w:b/>
          <w:sz w:val="24"/>
        </w:rPr>
        <w:t xml:space="preserve"> tech</w:t>
      </w:r>
      <w:r w:rsidR="0039150F">
        <w:rPr>
          <w:rFonts w:ascii="StoneSansPl" w:hAnsi="StoneSansPl"/>
          <w:b/>
          <w:sz w:val="24"/>
        </w:rPr>
        <w:t xml:space="preserve">nicznego. </w:t>
      </w:r>
      <w:r w:rsidRPr="007D6F9A">
        <w:rPr>
          <w:rFonts w:ascii="StoneSansPl" w:hAnsi="StoneSansPl"/>
          <w:b/>
          <w:sz w:val="24"/>
        </w:rPr>
        <w:t xml:space="preserve">Sprzedaż </w:t>
      </w:r>
      <w:r w:rsidR="0026366E">
        <w:rPr>
          <w:rFonts w:ascii="StoneSansPl" w:hAnsi="StoneSansPl"/>
          <w:b/>
          <w:sz w:val="24"/>
        </w:rPr>
        <w:t>ubezpieczeń komunikacyjnych i majątkowych</w:t>
      </w:r>
      <w:r w:rsidRPr="007D6F9A">
        <w:rPr>
          <w:rFonts w:ascii="StoneSansPl" w:hAnsi="StoneSansPl"/>
          <w:b/>
          <w:sz w:val="24"/>
        </w:rPr>
        <w:t xml:space="preserve"> </w:t>
      </w:r>
      <w:r w:rsidR="00CF5EAE">
        <w:rPr>
          <w:rFonts w:ascii="StoneSansPl" w:hAnsi="StoneSansPl"/>
          <w:b/>
          <w:sz w:val="24"/>
        </w:rPr>
        <w:t>wzrosł</w:t>
      </w:r>
      <w:r w:rsidR="00EC33D8">
        <w:rPr>
          <w:rFonts w:ascii="StoneSansPl" w:hAnsi="StoneSansPl"/>
          <w:b/>
          <w:sz w:val="24"/>
        </w:rPr>
        <w:t>a</w:t>
      </w:r>
      <w:r w:rsidR="00CF5EAE">
        <w:rPr>
          <w:rFonts w:ascii="StoneSansPl" w:hAnsi="StoneSansPl"/>
          <w:b/>
          <w:sz w:val="24"/>
        </w:rPr>
        <w:t xml:space="preserve"> o 8 proc. i </w:t>
      </w:r>
      <w:r w:rsidR="0039150F">
        <w:rPr>
          <w:rFonts w:ascii="StoneSansPl" w:hAnsi="StoneSansPl"/>
          <w:b/>
          <w:sz w:val="24"/>
        </w:rPr>
        <w:t>wyniosła 897,</w:t>
      </w:r>
      <w:r w:rsidR="00D93A01">
        <w:rPr>
          <w:rFonts w:ascii="StoneSansPl" w:hAnsi="StoneSansPl"/>
          <w:b/>
          <w:sz w:val="24"/>
        </w:rPr>
        <w:t>6</w:t>
      </w:r>
      <w:r w:rsidR="00CF5EAE">
        <w:rPr>
          <w:rFonts w:ascii="StoneSansPl" w:hAnsi="StoneSansPl"/>
          <w:b/>
          <w:sz w:val="24"/>
        </w:rPr>
        <w:t xml:space="preserve"> mln zł. </w:t>
      </w:r>
      <w:r>
        <w:rPr>
          <w:rFonts w:ascii="StoneSansPl" w:hAnsi="StoneSansPl"/>
          <w:b/>
          <w:sz w:val="24"/>
        </w:rPr>
        <w:t xml:space="preserve">Z kolei towarzystwo życiowe </w:t>
      </w:r>
      <w:r w:rsidR="00EC33D8">
        <w:rPr>
          <w:rFonts w:ascii="StoneSansPl" w:hAnsi="StoneSansPl"/>
          <w:b/>
          <w:sz w:val="24"/>
        </w:rPr>
        <w:t xml:space="preserve">poprawiło </w:t>
      </w:r>
      <w:r>
        <w:rPr>
          <w:rFonts w:ascii="StoneSansPl" w:hAnsi="StoneSansPl"/>
          <w:b/>
          <w:sz w:val="24"/>
        </w:rPr>
        <w:t>zysk netto o 38 proc. i wyniósł on 3,5 mln zł. Poprawa wynik</w:t>
      </w:r>
      <w:r w:rsidR="00EC33D8">
        <w:rPr>
          <w:rFonts w:ascii="StoneSansPl" w:hAnsi="StoneSansPl"/>
          <w:b/>
          <w:sz w:val="24"/>
        </w:rPr>
        <w:t>u</w:t>
      </w:r>
      <w:r>
        <w:rPr>
          <w:rFonts w:ascii="StoneSansPl" w:hAnsi="StoneSansPl"/>
          <w:b/>
          <w:sz w:val="24"/>
        </w:rPr>
        <w:t xml:space="preserve"> nastąpiła mimo 7-k</w:t>
      </w:r>
      <w:r w:rsidR="00D93A01">
        <w:rPr>
          <w:rFonts w:ascii="StoneSansPl" w:hAnsi="StoneSansPl"/>
          <w:b/>
          <w:sz w:val="24"/>
        </w:rPr>
        <w:t>rotnego spadku przypisu, do 89,7</w:t>
      </w:r>
      <w:r w:rsidR="00D55522">
        <w:rPr>
          <w:rFonts w:ascii="StoneSansPl" w:hAnsi="StoneSansPl"/>
          <w:b/>
          <w:sz w:val="24"/>
        </w:rPr>
        <w:t xml:space="preserve"> </w:t>
      </w:r>
      <w:r>
        <w:rPr>
          <w:rFonts w:ascii="StoneSansPl" w:hAnsi="StoneSansPl"/>
          <w:b/>
          <w:sz w:val="24"/>
        </w:rPr>
        <w:t>mln zł</w:t>
      </w:r>
      <w:r w:rsidR="0026366E">
        <w:rPr>
          <w:rFonts w:ascii="StoneSansPl" w:hAnsi="StoneSansPl"/>
          <w:b/>
          <w:sz w:val="24"/>
        </w:rPr>
        <w:t>. J</w:t>
      </w:r>
      <w:r>
        <w:rPr>
          <w:rFonts w:ascii="StoneSansPl" w:hAnsi="StoneSansPl"/>
          <w:b/>
          <w:sz w:val="24"/>
        </w:rPr>
        <w:t>est</w:t>
      </w:r>
      <w:r w:rsidR="0026366E">
        <w:rPr>
          <w:rFonts w:ascii="StoneSansPl" w:hAnsi="StoneSansPl"/>
          <w:b/>
          <w:sz w:val="24"/>
        </w:rPr>
        <w:t xml:space="preserve"> to</w:t>
      </w:r>
      <w:r>
        <w:rPr>
          <w:rFonts w:ascii="StoneSansPl" w:hAnsi="StoneSansPl"/>
          <w:b/>
          <w:sz w:val="24"/>
        </w:rPr>
        <w:t xml:space="preserve"> </w:t>
      </w:r>
      <w:r w:rsidRPr="007D6F9A">
        <w:rPr>
          <w:rFonts w:ascii="StoneSansPl" w:hAnsi="StoneSansPl"/>
          <w:b/>
          <w:sz w:val="24"/>
        </w:rPr>
        <w:t xml:space="preserve">efektem </w:t>
      </w:r>
      <w:r w:rsidRPr="007D6F9A">
        <w:rPr>
          <w:rFonts w:ascii="StoneSansPl" w:hAnsi="StoneSansPl"/>
          <w:b/>
          <w:bCs/>
          <w:sz w:val="24"/>
        </w:rPr>
        <w:t>planowego zaprzestania sprzedaży ubezpieczeń</w:t>
      </w:r>
      <w:r w:rsidR="0026366E">
        <w:rPr>
          <w:rFonts w:ascii="StoneSansPl" w:hAnsi="StoneSansPl"/>
          <w:b/>
          <w:bCs/>
          <w:sz w:val="24"/>
        </w:rPr>
        <w:t xml:space="preserve"> na życie</w:t>
      </w:r>
      <w:r w:rsidRPr="007D6F9A">
        <w:rPr>
          <w:rFonts w:ascii="StoneSansPl" w:hAnsi="StoneSansPl"/>
          <w:b/>
          <w:bCs/>
          <w:sz w:val="24"/>
        </w:rPr>
        <w:t xml:space="preserve"> ze składką jednorazową. </w:t>
      </w:r>
    </w:p>
    <w:p w14:paraId="5594B2FE" w14:textId="77777777" w:rsidR="00105453" w:rsidRDefault="00105453" w:rsidP="00FA2083">
      <w:pPr>
        <w:spacing w:line="276" w:lineRule="auto"/>
        <w:contextualSpacing/>
        <w:jc w:val="both"/>
        <w:rPr>
          <w:rFonts w:ascii="StoneSansPl" w:hAnsi="StoneSansPl"/>
          <w:b/>
          <w:sz w:val="24"/>
        </w:rPr>
      </w:pPr>
    </w:p>
    <w:p w14:paraId="44A396CF" w14:textId="77777777" w:rsidR="006D7B3E" w:rsidRPr="00640A15" w:rsidRDefault="006D7B3E" w:rsidP="00FA2083">
      <w:pPr>
        <w:spacing w:line="276" w:lineRule="auto"/>
        <w:contextualSpacing/>
        <w:jc w:val="both"/>
        <w:rPr>
          <w:rFonts w:ascii="StoneSansPl" w:hAnsi="StoneSansPl" w:cs="Arial"/>
          <w:szCs w:val="22"/>
        </w:rPr>
      </w:pPr>
    </w:p>
    <w:p w14:paraId="52DD698D" w14:textId="77777777" w:rsidR="00905E1E" w:rsidRPr="00905E1E" w:rsidRDefault="00B93C2F" w:rsidP="00FA2083">
      <w:pPr>
        <w:spacing w:line="276" w:lineRule="auto"/>
        <w:jc w:val="both"/>
        <w:rPr>
          <w:rFonts w:ascii="StoneSansPl" w:hAnsi="StoneSansPl" w:cs="Arial"/>
          <w:b/>
          <w:szCs w:val="22"/>
        </w:rPr>
      </w:pPr>
      <w:r w:rsidRPr="00640A15">
        <w:rPr>
          <w:rFonts w:ascii="StoneSansPl" w:hAnsi="StoneSansPl" w:cs="Arial"/>
          <w:b/>
          <w:szCs w:val="22"/>
        </w:rPr>
        <w:t xml:space="preserve">UNIQA </w:t>
      </w:r>
      <w:r w:rsidR="00941FBA" w:rsidRPr="00640A15">
        <w:rPr>
          <w:rFonts w:ascii="StoneSansPl" w:hAnsi="StoneSansPl" w:cs="Arial"/>
          <w:b/>
          <w:szCs w:val="22"/>
        </w:rPr>
        <w:t xml:space="preserve">Towarzystwo Ubezpieczeń </w:t>
      </w:r>
    </w:p>
    <w:p w14:paraId="132724B6" w14:textId="4B5F9989" w:rsidR="00E01ADE" w:rsidRDefault="00EC33D8" w:rsidP="00FA2083">
      <w:pPr>
        <w:spacing w:line="276" w:lineRule="auto"/>
        <w:jc w:val="both"/>
        <w:rPr>
          <w:rFonts w:ascii="StoneSansPl" w:hAnsi="StoneSansPl" w:cs="Arial"/>
          <w:szCs w:val="22"/>
        </w:rPr>
      </w:pPr>
      <w:r>
        <w:rPr>
          <w:rFonts w:ascii="StoneSansPl" w:hAnsi="StoneSansPl" w:cs="Arial"/>
          <w:szCs w:val="22"/>
        </w:rPr>
        <w:t>W pierwszych dziewięciu miesiącach tego roku t</w:t>
      </w:r>
      <w:r w:rsidR="0039150F">
        <w:rPr>
          <w:rFonts w:ascii="StoneSansPl" w:hAnsi="StoneSansPl" w:cs="Arial"/>
          <w:szCs w:val="22"/>
        </w:rPr>
        <w:t xml:space="preserve">owarzystwo majątkowe zwiększyło sprzedaż zarówno w ubezpieczeniach komunikacyjnych, jak i majątkowych. </w:t>
      </w:r>
      <w:r w:rsidR="0039150F" w:rsidRPr="0014192C">
        <w:rPr>
          <w:rFonts w:ascii="StoneSansPl" w:hAnsi="StoneSansPl" w:cs="Arial"/>
          <w:szCs w:val="22"/>
        </w:rPr>
        <w:t xml:space="preserve">Wzrost przypisu </w:t>
      </w:r>
      <w:r w:rsidR="0039150F">
        <w:rPr>
          <w:rFonts w:ascii="StoneSansPl" w:hAnsi="StoneSansPl" w:cs="Arial"/>
          <w:szCs w:val="22"/>
        </w:rPr>
        <w:t>widoczny był</w:t>
      </w:r>
      <w:r w:rsidR="0039150F" w:rsidRPr="0014192C">
        <w:rPr>
          <w:rFonts w:ascii="StoneSansPl" w:hAnsi="StoneSansPl" w:cs="Arial"/>
          <w:szCs w:val="22"/>
        </w:rPr>
        <w:t xml:space="preserve"> praktycznie we wszystkich istotnych liniach biznesowych. </w:t>
      </w:r>
    </w:p>
    <w:p w14:paraId="5FB80F77" w14:textId="34270BC0" w:rsidR="0039150F" w:rsidRDefault="0039150F" w:rsidP="00FA2083">
      <w:pPr>
        <w:spacing w:line="276" w:lineRule="auto"/>
        <w:jc w:val="both"/>
        <w:rPr>
          <w:rFonts w:ascii="StoneSansPl" w:hAnsi="StoneSansPl" w:cs="Arial"/>
          <w:szCs w:val="22"/>
        </w:rPr>
      </w:pPr>
      <w:r w:rsidRPr="0014192C">
        <w:rPr>
          <w:rFonts w:ascii="StoneSansPl" w:hAnsi="StoneSansPl" w:cs="Arial"/>
          <w:szCs w:val="22"/>
        </w:rPr>
        <w:t>Przypis z ubezpieczeń komunikacyjnych wzrósł o 6,9</w:t>
      </w:r>
      <w:r>
        <w:rPr>
          <w:rFonts w:ascii="StoneSansPl" w:hAnsi="StoneSansPl" w:cs="Arial"/>
          <w:szCs w:val="22"/>
        </w:rPr>
        <w:t xml:space="preserve"> proc.,</w:t>
      </w:r>
      <w:r w:rsidRPr="0014192C">
        <w:rPr>
          <w:rFonts w:ascii="StoneSansPl" w:hAnsi="StoneSansPl" w:cs="Arial"/>
          <w:szCs w:val="22"/>
        </w:rPr>
        <w:t xml:space="preserve"> a głównym czynnikiem wpływającym na </w:t>
      </w:r>
      <w:r>
        <w:rPr>
          <w:rFonts w:ascii="StoneSansPl" w:hAnsi="StoneSansPl" w:cs="Arial"/>
          <w:szCs w:val="22"/>
        </w:rPr>
        <w:t xml:space="preserve">ten </w:t>
      </w:r>
      <w:r w:rsidRPr="0014192C">
        <w:rPr>
          <w:rFonts w:ascii="StoneSansPl" w:hAnsi="StoneSansPl" w:cs="Arial"/>
          <w:szCs w:val="22"/>
        </w:rPr>
        <w:t xml:space="preserve">wzrost było ubezpieczenie OC, w którym składka </w:t>
      </w:r>
      <w:r>
        <w:rPr>
          <w:rFonts w:ascii="StoneSansPl" w:hAnsi="StoneSansPl" w:cs="Arial"/>
          <w:szCs w:val="22"/>
        </w:rPr>
        <w:t>zwiększyła się</w:t>
      </w:r>
      <w:r w:rsidRPr="0014192C">
        <w:rPr>
          <w:rFonts w:ascii="StoneSansPl" w:hAnsi="StoneSansPl" w:cs="Arial"/>
          <w:szCs w:val="22"/>
        </w:rPr>
        <w:t xml:space="preserve"> o 10,6</w:t>
      </w:r>
      <w:r>
        <w:rPr>
          <w:rFonts w:ascii="StoneSansPl" w:hAnsi="StoneSansPl" w:cs="Arial"/>
          <w:szCs w:val="22"/>
        </w:rPr>
        <w:t xml:space="preserve"> proc</w:t>
      </w:r>
      <w:r w:rsidRPr="0014192C">
        <w:rPr>
          <w:rFonts w:ascii="StoneSansPl" w:hAnsi="StoneSansPl" w:cs="Arial"/>
          <w:szCs w:val="22"/>
        </w:rPr>
        <w:t>. W</w:t>
      </w:r>
      <w:r>
        <w:rPr>
          <w:rFonts w:ascii="StoneSansPl" w:hAnsi="StoneSansPl" w:cs="Arial"/>
          <w:szCs w:val="22"/>
        </w:rPr>
        <w:t xml:space="preserve"> przypadku ubezpieczenia </w:t>
      </w:r>
      <w:r w:rsidRPr="0026366E">
        <w:rPr>
          <w:rFonts w:ascii="StoneSansPl" w:hAnsi="StoneSansPl" w:cs="Arial"/>
          <w:szCs w:val="22"/>
        </w:rPr>
        <w:t>autocasco</w:t>
      </w:r>
      <w:r w:rsidRPr="0014192C">
        <w:rPr>
          <w:rFonts w:ascii="StoneSansPl" w:hAnsi="StoneSansPl" w:cs="Arial"/>
          <w:szCs w:val="22"/>
        </w:rPr>
        <w:t xml:space="preserve"> </w:t>
      </w:r>
      <w:r>
        <w:rPr>
          <w:rFonts w:ascii="StoneSansPl" w:hAnsi="StoneSansPl" w:cs="Arial"/>
          <w:szCs w:val="22"/>
        </w:rPr>
        <w:t>przypis zmniejszył się o</w:t>
      </w:r>
      <w:r w:rsidRPr="0014192C">
        <w:rPr>
          <w:rFonts w:ascii="StoneSansPl" w:hAnsi="StoneSansPl" w:cs="Arial"/>
          <w:szCs w:val="22"/>
        </w:rPr>
        <w:t xml:space="preserve"> 1</w:t>
      </w:r>
      <w:r>
        <w:rPr>
          <w:rFonts w:ascii="StoneSansPl" w:hAnsi="StoneSansPl" w:cs="Arial"/>
          <w:szCs w:val="22"/>
        </w:rPr>
        <w:t xml:space="preserve"> proc</w:t>
      </w:r>
      <w:r w:rsidRPr="0014192C">
        <w:rPr>
          <w:rFonts w:ascii="StoneSansPl" w:hAnsi="StoneSansPl" w:cs="Arial"/>
          <w:szCs w:val="22"/>
        </w:rPr>
        <w:t>.</w:t>
      </w:r>
    </w:p>
    <w:p w14:paraId="33362EA9" w14:textId="77777777" w:rsidR="00962144" w:rsidRDefault="00962144" w:rsidP="00FA2083">
      <w:pPr>
        <w:spacing w:line="276" w:lineRule="auto"/>
        <w:jc w:val="both"/>
        <w:rPr>
          <w:rFonts w:ascii="StoneSansPl" w:hAnsi="StoneSansPl" w:cs="Arial"/>
          <w:szCs w:val="22"/>
        </w:rPr>
      </w:pPr>
    </w:p>
    <w:p w14:paraId="40A8C87C" w14:textId="2D91EC58" w:rsidR="0039150F" w:rsidRPr="0014192C" w:rsidRDefault="0039150F" w:rsidP="00FA2083">
      <w:pPr>
        <w:spacing w:line="276" w:lineRule="auto"/>
        <w:jc w:val="both"/>
        <w:rPr>
          <w:rFonts w:ascii="StoneSansPl" w:hAnsi="StoneSansPl" w:cs="Arial"/>
          <w:szCs w:val="22"/>
        </w:rPr>
      </w:pPr>
      <w:r w:rsidRPr="0014192C">
        <w:rPr>
          <w:rFonts w:ascii="StoneSansPl" w:hAnsi="StoneSansPl" w:cs="Arial"/>
          <w:szCs w:val="22"/>
        </w:rPr>
        <w:t>Jeżeli chodzi o linie majątkowe i osobowe</w:t>
      </w:r>
      <w:r w:rsidR="00EC33D8">
        <w:rPr>
          <w:rFonts w:ascii="StoneSansPl" w:hAnsi="StoneSansPl" w:cs="Arial"/>
          <w:szCs w:val="22"/>
        </w:rPr>
        <w:t>,</w:t>
      </w:r>
      <w:r w:rsidRPr="0014192C">
        <w:rPr>
          <w:rFonts w:ascii="StoneSansPl" w:hAnsi="StoneSansPl" w:cs="Arial"/>
          <w:szCs w:val="22"/>
        </w:rPr>
        <w:t xml:space="preserve"> to </w:t>
      </w:r>
      <w:r>
        <w:rPr>
          <w:rFonts w:ascii="StoneSansPl" w:hAnsi="StoneSansPl" w:cs="Arial"/>
          <w:szCs w:val="22"/>
        </w:rPr>
        <w:t>przypis skoczył o</w:t>
      </w:r>
      <w:r w:rsidRPr="0014192C">
        <w:rPr>
          <w:rFonts w:ascii="StoneSansPl" w:hAnsi="StoneSansPl" w:cs="Arial"/>
          <w:szCs w:val="22"/>
        </w:rPr>
        <w:t xml:space="preserve"> 8,8</w:t>
      </w:r>
      <w:r>
        <w:rPr>
          <w:rFonts w:ascii="StoneSansPl" w:hAnsi="StoneSansPl" w:cs="Arial"/>
          <w:szCs w:val="22"/>
        </w:rPr>
        <w:t xml:space="preserve"> proc.</w:t>
      </w:r>
      <w:r w:rsidR="00962144">
        <w:rPr>
          <w:rFonts w:ascii="StoneSansPl" w:hAnsi="StoneSansPl" w:cs="Arial"/>
          <w:szCs w:val="22"/>
        </w:rPr>
        <w:t>, wzrost dotyczył głównie</w:t>
      </w:r>
      <w:r w:rsidRPr="0014192C">
        <w:rPr>
          <w:rFonts w:ascii="StoneSansPl" w:hAnsi="StoneSansPl" w:cs="Arial"/>
          <w:szCs w:val="22"/>
        </w:rPr>
        <w:t xml:space="preserve">: </w:t>
      </w:r>
    </w:p>
    <w:p w14:paraId="262014A4" w14:textId="77777777" w:rsidR="00962144" w:rsidRDefault="00962144" w:rsidP="00FA2083">
      <w:pPr>
        <w:pStyle w:val="Akapitzlist"/>
        <w:numPr>
          <w:ilvl w:val="0"/>
          <w:numId w:val="22"/>
        </w:numPr>
        <w:spacing w:line="276" w:lineRule="auto"/>
        <w:jc w:val="both"/>
        <w:rPr>
          <w:rFonts w:ascii="StoneSansPl" w:hAnsi="StoneSansPl" w:cs="Arial"/>
        </w:rPr>
      </w:pPr>
      <w:r w:rsidRPr="00962144">
        <w:rPr>
          <w:rFonts w:ascii="StoneSansPl" w:hAnsi="StoneSansPl" w:cs="Arial"/>
        </w:rPr>
        <w:t>ubezpieczeń</w:t>
      </w:r>
      <w:r w:rsidR="0039150F" w:rsidRPr="00962144">
        <w:rPr>
          <w:rFonts w:ascii="StoneSansPl" w:hAnsi="StoneSansPl" w:cs="Arial"/>
        </w:rPr>
        <w:t xml:space="preserve"> wypadkowych </w:t>
      </w:r>
      <w:r>
        <w:rPr>
          <w:rFonts w:ascii="StoneSansPl" w:hAnsi="StoneSansPl" w:cs="Arial"/>
        </w:rPr>
        <w:t xml:space="preserve">oraz </w:t>
      </w:r>
      <w:proofErr w:type="spellStart"/>
      <w:r>
        <w:rPr>
          <w:rFonts w:ascii="StoneSansPl" w:hAnsi="StoneSansPl" w:cs="Arial"/>
        </w:rPr>
        <w:t>assistance</w:t>
      </w:r>
      <w:proofErr w:type="spellEnd"/>
      <w:r>
        <w:rPr>
          <w:rFonts w:ascii="StoneSansPl" w:hAnsi="StoneSansPl" w:cs="Arial"/>
        </w:rPr>
        <w:t>,</w:t>
      </w:r>
    </w:p>
    <w:p w14:paraId="37C49804" w14:textId="77777777" w:rsidR="00962144" w:rsidRDefault="00962144" w:rsidP="00FA2083">
      <w:pPr>
        <w:pStyle w:val="Akapitzlist"/>
        <w:numPr>
          <w:ilvl w:val="0"/>
          <w:numId w:val="22"/>
        </w:numPr>
        <w:spacing w:line="276" w:lineRule="auto"/>
        <w:jc w:val="both"/>
        <w:rPr>
          <w:rFonts w:ascii="StoneSansPl" w:hAnsi="StoneSansPl" w:cs="Arial"/>
        </w:rPr>
      </w:pPr>
      <w:r w:rsidRPr="00962144">
        <w:rPr>
          <w:rFonts w:ascii="StoneSansPl" w:hAnsi="StoneSansPl" w:cs="Arial"/>
        </w:rPr>
        <w:t>ubezpieczeń technicznych</w:t>
      </w:r>
      <w:r>
        <w:rPr>
          <w:rFonts w:ascii="StoneSansPl" w:hAnsi="StoneSansPl" w:cs="Arial"/>
        </w:rPr>
        <w:t>,</w:t>
      </w:r>
    </w:p>
    <w:p w14:paraId="0C08B363" w14:textId="77777777" w:rsidR="00962144" w:rsidRDefault="00962144" w:rsidP="00FA2083">
      <w:pPr>
        <w:pStyle w:val="Akapitzlist"/>
        <w:numPr>
          <w:ilvl w:val="0"/>
          <w:numId w:val="23"/>
        </w:numPr>
        <w:spacing w:line="276" w:lineRule="auto"/>
        <w:jc w:val="both"/>
        <w:rPr>
          <w:rFonts w:ascii="StoneSansPl" w:hAnsi="StoneSansPl" w:cs="Arial"/>
        </w:rPr>
      </w:pPr>
      <w:r w:rsidRPr="00962144">
        <w:rPr>
          <w:rFonts w:ascii="StoneSansPl" w:hAnsi="StoneSansPl" w:cs="Arial"/>
        </w:rPr>
        <w:t>produktów</w:t>
      </w:r>
      <w:r w:rsidR="0039150F" w:rsidRPr="00962144">
        <w:rPr>
          <w:rFonts w:ascii="StoneSansPl" w:hAnsi="StoneSansPl" w:cs="Arial"/>
        </w:rPr>
        <w:t xml:space="preserve"> majątkowych związa</w:t>
      </w:r>
      <w:r>
        <w:rPr>
          <w:rFonts w:ascii="StoneSansPl" w:hAnsi="StoneSansPl" w:cs="Arial"/>
        </w:rPr>
        <w:t>nych z sektorem mieszkalnictwa,</w:t>
      </w:r>
    </w:p>
    <w:p w14:paraId="44D69FF3" w14:textId="77777777" w:rsidR="00962144" w:rsidRDefault="0039150F" w:rsidP="00FA2083">
      <w:pPr>
        <w:pStyle w:val="Akapitzlist"/>
        <w:numPr>
          <w:ilvl w:val="0"/>
          <w:numId w:val="23"/>
        </w:numPr>
        <w:spacing w:line="276" w:lineRule="auto"/>
        <w:jc w:val="both"/>
        <w:rPr>
          <w:rFonts w:ascii="StoneSansPl" w:hAnsi="StoneSansPl" w:cs="Arial"/>
        </w:rPr>
      </w:pPr>
      <w:r w:rsidRPr="00962144">
        <w:rPr>
          <w:rFonts w:ascii="StoneSansPl" w:hAnsi="StoneSansPl" w:cs="Arial"/>
        </w:rPr>
        <w:t>gwarancj</w:t>
      </w:r>
      <w:r w:rsidR="00962144">
        <w:rPr>
          <w:rFonts w:ascii="StoneSansPl" w:hAnsi="StoneSansPl" w:cs="Arial"/>
        </w:rPr>
        <w:t>i</w:t>
      </w:r>
      <w:r w:rsidRPr="00962144">
        <w:rPr>
          <w:rFonts w:ascii="StoneSansPl" w:hAnsi="StoneSansPl" w:cs="Arial"/>
        </w:rPr>
        <w:t xml:space="preserve"> finansow</w:t>
      </w:r>
      <w:r w:rsidR="00962144">
        <w:rPr>
          <w:rFonts w:ascii="StoneSansPl" w:hAnsi="StoneSansPl" w:cs="Arial"/>
        </w:rPr>
        <w:t>ych,</w:t>
      </w:r>
    </w:p>
    <w:p w14:paraId="78C315F3" w14:textId="77777777" w:rsidR="0039150F" w:rsidRPr="00962144" w:rsidRDefault="0039150F" w:rsidP="00FA2083">
      <w:pPr>
        <w:pStyle w:val="Akapitzlist"/>
        <w:numPr>
          <w:ilvl w:val="0"/>
          <w:numId w:val="23"/>
        </w:numPr>
        <w:spacing w:line="276" w:lineRule="auto"/>
        <w:jc w:val="both"/>
        <w:rPr>
          <w:rFonts w:ascii="StoneSansPl" w:hAnsi="StoneSansPl" w:cs="Arial"/>
        </w:rPr>
      </w:pPr>
      <w:r w:rsidRPr="00962144">
        <w:rPr>
          <w:rFonts w:ascii="StoneSansPl" w:hAnsi="StoneSansPl" w:cs="Arial"/>
        </w:rPr>
        <w:t xml:space="preserve">produktu </w:t>
      </w:r>
      <w:r w:rsidR="00962144">
        <w:rPr>
          <w:rFonts w:ascii="StoneSansPl" w:hAnsi="StoneSansPl" w:cs="Arial"/>
        </w:rPr>
        <w:t xml:space="preserve">dla </w:t>
      </w:r>
      <w:r w:rsidRPr="00962144">
        <w:rPr>
          <w:rFonts w:ascii="StoneSansPl" w:hAnsi="StoneSansPl" w:cs="Arial"/>
        </w:rPr>
        <w:t>ma</w:t>
      </w:r>
      <w:r w:rsidR="00962144">
        <w:rPr>
          <w:rFonts w:ascii="StoneSansPl" w:hAnsi="StoneSansPl" w:cs="Arial"/>
        </w:rPr>
        <w:t>łych i średnich przedsiębiorstw.</w:t>
      </w:r>
    </w:p>
    <w:p w14:paraId="6F2E01F6" w14:textId="77777777" w:rsidR="0039150F" w:rsidRDefault="0039150F" w:rsidP="00FA2083">
      <w:pPr>
        <w:spacing w:line="276" w:lineRule="auto"/>
        <w:jc w:val="both"/>
        <w:rPr>
          <w:rFonts w:ascii="StoneSansPl" w:hAnsi="StoneSansPl" w:cs="Arial"/>
          <w:szCs w:val="22"/>
        </w:rPr>
      </w:pPr>
    </w:p>
    <w:p w14:paraId="530E2FC7" w14:textId="77777777" w:rsidR="00962144" w:rsidRDefault="00962144" w:rsidP="00FA2083">
      <w:pPr>
        <w:spacing w:line="276" w:lineRule="auto"/>
        <w:jc w:val="both"/>
        <w:rPr>
          <w:rFonts w:ascii="StoneSansPl" w:hAnsi="StoneSansPl" w:cs="Arial"/>
          <w:szCs w:val="22"/>
        </w:rPr>
      </w:pPr>
    </w:p>
    <w:p w14:paraId="3FDEFD3C" w14:textId="77777777" w:rsidR="00F112DD" w:rsidRDefault="00F112DD" w:rsidP="00FA2083">
      <w:pPr>
        <w:spacing w:line="276" w:lineRule="auto"/>
        <w:jc w:val="both"/>
        <w:rPr>
          <w:rFonts w:ascii="StoneSansPl" w:hAnsi="StoneSansPl" w:cs="Arial"/>
          <w:szCs w:val="22"/>
        </w:rPr>
      </w:pPr>
    </w:p>
    <w:p w14:paraId="4D63EF68" w14:textId="565880A1" w:rsidR="00CE7100" w:rsidRPr="00D93A01" w:rsidRDefault="00F112DD" w:rsidP="00CE7100">
      <w:pPr>
        <w:spacing w:line="276" w:lineRule="auto"/>
        <w:rPr>
          <w:rFonts w:ascii="StoneSansPl" w:hAnsi="StoneSansPl" w:cs="Arial"/>
          <w:szCs w:val="22"/>
        </w:rPr>
      </w:pPr>
      <w:r w:rsidRPr="00D93A01">
        <w:rPr>
          <w:rFonts w:ascii="StoneSansPl" w:hAnsi="StoneSansPl" w:cs="Arial"/>
          <w:i/>
          <w:szCs w:val="22"/>
        </w:rPr>
        <w:t xml:space="preserve">- </w:t>
      </w:r>
      <w:r w:rsidR="00CE7100" w:rsidRPr="00D93A01">
        <w:rPr>
          <w:rFonts w:ascii="StoneSansPl" w:hAnsi="StoneSansPl" w:cs="Arial"/>
          <w:i/>
          <w:szCs w:val="22"/>
        </w:rPr>
        <w:t xml:space="preserve">Podpisaliśmy kilka dużych umów ubezpieczeń technicznych w segmencie korporacyjnym. Dynamicznie nadal rozwijamy się w produktach majątkowych dla sektora mieszkalnictwa. Rośniemy w gwarancjach ubezpieczeniowych oraz ubezpieczeniu dla małych i średnich przedsiębiorstw. Wzrost sprzedaży i rentowności odnotowujemy także w ubezpieczeniach flot – </w:t>
      </w:r>
      <w:r w:rsidR="00CE7100" w:rsidRPr="00D93A01">
        <w:rPr>
          <w:rFonts w:ascii="StoneSansPl" w:hAnsi="StoneSansPl" w:cs="Arial"/>
          <w:szCs w:val="22"/>
        </w:rPr>
        <w:t xml:space="preserve">mówi </w:t>
      </w:r>
      <w:r w:rsidR="00CE7100" w:rsidRPr="00D93A01">
        <w:rPr>
          <w:rFonts w:ascii="StoneSansPl" w:hAnsi="StoneSansPl" w:cs="Arial"/>
          <w:b/>
          <w:szCs w:val="22"/>
        </w:rPr>
        <w:t>Adam Łoziak,</w:t>
      </w:r>
      <w:r w:rsidR="00CE7100" w:rsidRPr="00D93A01">
        <w:rPr>
          <w:rFonts w:ascii="StoneSansPl" w:hAnsi="StoneSansPl" w:cs="Arial"/>
          <w:szCs w:val="22"/>
        </w:rPr>
        <w:t xml:space="preserve"> wiceprezes ds. sprzedaży UNIQA Polska. </w:t>
      </w:r>
    </w:p>
    <w:p w14:paraId="37245E2F" w14:textId="77777777" w:rsidR="00F112DD" w:rsidRPr="00D93A01" w:rsidRDefault="00F112DD" w:rsidP="00FA2083">
      <w:pPr>
        <w:spacing w:line="276" w:lineRule="auto"/>
        <w:jc w:val="both"/>
        <w:rPr>
          <w:rFonts w:ascii="StoneSansPl" w:hAnsi="StoneSansPl" w:cs="Arial"/>
          <w:szCs w:val="22"/>
        </w:rPr>
      </w:pPr>
    </w:p>
    <w:p w14:paraId="624BD768" w14:textId="5224C210" w:rsidR="0014192C" w:rsidRPr="0014192C" w:rsidRDefault="00006422" w:rsidP="00FA2083">
      <w:pPr>
        <w:spacing w:line="276" w:lineRule="auto"/>
        <w:jc w:val="both"/>
        <w:rPr>
          <w:rFonts w:ascii="StoneSansPl" w:hAnsi="StoneSansPl" w:cs="Arial"/>
          <w:szCs w:val="22"/>
        </w:rPr>
      </w:pPr>
      <w:r w:rsidRPr="00D93A01">
        <w:rPr>
          <w:rFonts w:ascii="StoneSansPl" w:hAnsi="StoneSansPl" w:cs="Arial"/>
          <w:szCs w:val="22"/>
        </w:rPr>
        <w:t>Łączna s</w:t>
      </w:r>
      <w:r w:rsidR="0014192C" w:rsidRPr="00D93A01">
        <w:rPr>
          <w:rFonts w:ascii="StoneSansPl" w:hAnsi="StoneSansPl" w:cs="Arial"/>
          <w:szCs w:val="22"/>
        </w:rPr>
        <w:t>kładka przypisana</w:t>
      </w:r>
      <w:r w:rsidR="0014192C" w:rsidRPr="0014192C">
        <w:rPr>
          <w:rFonts w:ascii="StoneSansPl" w:hAnsi="StoneSansPl" w:cs="Arial"/>
          <w:szCs w:val="22"/>
        </w:rPr>
        <w:t xml:space="preserve"> brutto</w:t>
      </w:r>
      <w:r w:rsidR="00962144">
        <w:rPr>
          <w:rFonts w:ascii="StoneSansPl" w:hAnsi="StoneSansPl" w:cs="Arial"/>
          <w:szCs w:val="22"/>
        </w:rPr>
        <w:t xml:space="preserve"> spółki majątkowej</w:t>
      </w:r>
      <w:r w:rsidR="0014192C" w:rsidRPr="0014192C">
        <w:rPr>
          <w:rFonts w:ascii="StoneSansPl" w:hAnsi="StoneSansPl" w:cs="Arial"/>
          <w:szCs w:val="22"/>
        </w:rPr>
        <w:t xml:space="preserve"> wyniosła 897,6 mln zł </w:t>
      </w:r>
      <w:r w:rsidR="00962144" w:rsidRPr="0014192C">
        <w:rPr>
          <w:rFonts w:ascii="StoneSansPl" w:hAnsi="StoneSansPl" w:cs="Arial"/>
          <w:szCs w:val="22"/>
        </w:rPr>
        <w:t xml:space="preserve">za </w:t>
      </w:r>
      <w:r w:rsidR="00962144">
        <w:rPr>
          <w:rFonts w:ascii="StoneSansPl" w:hAnsi="StoneSansPl" w:cs="Arial"/>
          <w:szCs w:val="22"/>
        </w:rPr>
        <w:t>trzy</w:t>
      </w:r>
      <w:r w:rsidR="00962144" w:rsidRPr="0014192C">
        <w:rPr>
          <w:rFonts w:ascii="StoneSansPl" w:hAnsi="StoneSansPl" w:cs="Arial"/>
          <w:szCs w:val="22"/>
        </w:rPr>
        <w:t xml:space="preserve"> kwartały 2018 </w:t>
      </w:r>
      <w:r w:rsidR="00EC33D8">
        <w:rPr>
          <w:rFonts w:ascii="StoneSansPl" w:hAnsi="StoneSansPl" w:cs="Arial"/>
          <w:szCs w:val="22"/>
        </w:rPr>
        <w:t xml:space="preserve">roku </w:t>
      </w:r>
      <w:r w:rsidR="0014192C" w:rsidRPr="0014192C">
        <w:rPr>
          <w:rFonts w:ascii="StoneSansPl" w:hAnsi="StoneSansPl" w:cs="Arial"/>
          <w:szCs w:val="22"/>
        </w:rPr>
        <w:t>i była o 7,8</w:t>
      </w:r>
      <w:r>
        <w:rPr>
          <w:rFonts w:ascii="StoneSansPl" w:hAnsi="StoneSansPl" w:cs="Arial"/>
          <w:szCs w:val="22"/>
        </w:rPr>
        <w:t xml:space="preserve"> proc.</w:t>
      </w:r>
      <w:r w:rsidR="0014192C" w:rsidRPr="0014192C">
        <w:rPr>
          <w:rFonts w:ascii="StoneSansPl" w:hAnsi="StoneSansPl" w:cs="Arial"/>
          <w:szCs w:val="22"/>
        </w:rPr>
        <w:t xml:space="preserve"> wyższa niż w analogicznym okresie roku ubiegłego (832,4 mln zł). Szkodowość brutto wyniosła </w:t>
      </w:r>
      <w:r>
        <w:rPr>
          <w:rFonts w:ascii="StoneSansPl" w:hAnsi="StoneSansPl" w:cs="Arial"/>
          <w:szCs w:val="22"/>
        </w:rPr>
        <w:t xml:space="preserve">w tym okresie </w:t>
      </w:r>
      <w:r w:rsidR="0014192C" w:rsidRPr="0014192C">
        <w:rPr>
          <w:rFonts w:ascii="StoneSansPl" w:hAnsi="StoneSansPl" w:cs="Arial"/>
          <w:szCs w:val="22"/>
        </w:rPr>
        <w:t>64</w:t>
      </w:r>
      <w:r>
        <w:rPr>
          <w:rFonts w:ascii="StoneSansPl" w:hAnsi="StoneSansPl" w:cs="Arial"/>
          <w:szCs w:val="22"/>
        </w:rPr>
        <w:t xml:space="preserve"> proc. </w:t>
      </w:r>
      <w:r w:rsidR="0014192C" w:rsidRPr="0014192C">
        <w:rPr>
          <w:rFonts w:ascii="StoneSansPl" w:hAnsi="StoneSansPl" w:cs="Arial"/>
          <w:szCs w:val="22"/>
        </w:rPr>
        <w:t xml:space="preserve">i była niższa od zanotowanej w analogicznym okresie 2017 </w:t>
      </w:r>
      <w:r w:rsidR="00EC33D8" w:rsidRPr="0014192C">
        <w:rPr>
          <w:rFonts w:ascii="StoneSansPl" w:hAnsi="StoneSansPl" w:cs="Arial"/>
          <w:szCs w:val="22"/>
        </w:rPr>
        <w:t xml:space="preserve">roku </w:t>
      </w:r>
      <w:r w:rsidR="0014192C" w:rsidRPr="0014192C">
        <w:rPr>
          <w:rFonts w:ascii="StoneSansPl" w:hAnsi="StoneSansPl" w:cs="Arial"/>
          <w:szCs w:val="22"/>
        </w:rPr>
        <w:t>(65,3</w:t>
      </w:r>
      <w:r>
        <w:rPr>
          <w:rFonts w:ascii="StoneSansPl" w:hAnsi="StoneSansPl" w:cs="Arial"/>
          <w:szCs w:val="22"/>
        </w:rPr>
        <w:t xml:space="preserve"> proc.</w:t>
      </w:r>
      <w:r w:rsidR="0014192C" w:rsidRPr="0014192C">
        <w:rPr>
          <w:rFonts w:ascii="StoneSansPl" w:hAnsi="StoneSansPl" w:cs="Arial"/>
          <w:szCs w:val="22"/>
        </w:rPr>
        <w:t xml:space="preserve">). Głównym czynnikiem wpływającym na tę zmianę są poprawiające się wyniki szkodowości ubezpieczeń komunikacyjnych. </w:t>
      </w:r>
    </w:p>
    <w:p w14:paraId="1293A320" w14:textId="77777777" w:rsidR="0014192C" w:rsidRPr="0014192C" w:rsidRDefault="0014192C" w:rsidP="00FA2083">
      <w:pPr>
        <w:spacing w:line="276" w:lineRule="auto"/>
        <w:jc w:val="both"/>
        <w:rPr>
          <w:rFonts w:ascii="StoneSansPl" w:hAnsi="StoneSansPl" w:cs="Arial"/>
          <w:szCs w:val="22"/>
        </w:rPr>
      </w:pPr>
      <w:r w:rsidRPr="0014192C">
        <w:rPr>
          <w:rFonts w:ascii="StoneSansPl" w:hAnsi="StoneSansPl" w:cs="Arial"/>
          <w:szCs w:val="22"/>
        </w:rPr>
        <w:t xml:space="preserve">Dynamiczny wzrost sprzedaży w </w:t>
      </w:r>
      <w:r w:rsidR="00962144">
        <w:rPr>
          <w:rFonts w:ascii="StoneSansPl" w:hAnsi="StoneSansPl" w:cs="Arial"/>
          <w:szCs w:val="22"/>
        </w:rPr>
        <w:t>dochodowych</w:t>
      </w:r>
      <w:r w:rsidRPr="0014192C">
        <w:rPr>
          <w:rFonts w:ascii="StoneSansPl" w:hAnsi="StoneSansPl" w:cs="Arial"/>
          <w:szCs w:val="22"/>
        </w:rPr>
        <w:t xml:space="preserve"> ubezpieczeniach mają</w:t>
      </w:r>
      <w:r w:rsidR="00962144">
        <w:rPr>
          <w:rFonts w:ascii="StoneSansPl" w:hAnsi="StoneSansPl" w:cs="Arial"/>
          <w:szCs w:val="22"/>
        </w:rPr>
        <w:t>tkowych oraz poprawiająca się rentowność</w:t>
      </w:r>
      <w:r w:rsidRPr="0014192C">
        <w:rPr>
          <w:rFonts w:ascii="StoneSansPl" w:hAnsi="StoneSansPl" w:cs="Arial"/>
          <w:szCs w:val="22"/>
        </w:rPr>
        <w:t xml:space="preserve"> ubezpieczeń komunikacyjnych pozwolił</w:t>
      </w:r>
      <w:r w:rsidR="00EC33D8">
        <w:rPr>
          <w:rFonts w:ascii="StoneSansPl" w:hAnsi="StoneSansPl" w:cs="Arial"/>
          <w:szCs w:val="22"/>
        </w:rPr>
        <w:t>y</w:t>
      </w:r>
      <w:r w:rsidRPr="0014192C">
        <w:rPr>
          <w:rFonts w:ascii="StoneSansPl" w:hAnsi="StoneSansPl" w:cs="Arial"/>
          <w:szCs w:val="22"/>
        </w:rPr>
        <w:t xml:space="preserve"> na uzyskanie zysku technicznego w kwocie 27,5 mln </w:t>
      </w:r>
      <w:r w:rsidR="00006422">
        <w:rPr>
          <w:rFonts w:ascii="StoneSansPl" w:hAnsi="StoneSansPl" w:cs="Arial"/>
          <w:szCs w:val="22"/>
        </w:rPr>
        <w:t>z</w:t>
      </w:r>
      <w:r w:rsidR="00962144">
        <w:rPr>
          <w:rFonts w:ascii="StoneSansPl" w:hAnsi="StoneSansPl" w:cs="Arial"/>
          <w:szCs w:val="22"/>
        </w:rPr>
        <w:t>ł</w:t>
      </w:r>
      <w:r w:rsidR="00006422">
        <w:rPr>
          <w:rFonts w:ascii="StoneSansPl" w:hAnsi="StoneSansPl" w:cs="Arial"/>
          <w:szCs w:val="22"/>
        </w:rPr>
        <w:t>. D</w:t>
      </w:r>
      <w:r w:rsidRPr="0014192C">
        <w:rPr>
          <w:rFonts w:ascii="StoneSansPl" w:hAnsi="StoneSansPl" w:cs="Arial"/>
          <w:szCs w:val="22"/>
        </w:rPr>
        <w:t>la porównania zysk techniczny za analogiczny okres roku ubiegłego wyniósł</w:t>
      </w:r>
      <w:r w:rsidR="00962144">
        <w:rPr>
          <w:rFonts w:ascii="StoneSansPl" w:hAnsi="StoneSansPl" w:cs="Arial"/>
          <w:szCs w:val="22"/>
        </w:rPr>
        <w:t xml:space="preserve"> zaledwie</w:t>
      </w:r>
      <w:r w:rsidRPr="0014192C">
        <w:rPr>
          <w:rFonts w:ascii="StoneSansPl" w:hAnsi="StoneSansPl" w:cs="Arial"/>
          <w:szCs w:val="22"/>
        </w:rPr>
        <w:t xml:space="preserve"> 0,5 mln</w:t>
      </w:r>
      <w:r w:rsidR="00006422">
        <w:rPr>
          <w:rFonts w:ascii="StoneSansPl" w:hAnsi="StoneSansPl" w:cs="Arial"/>
          <w:szCs w:val="22"/>
        </w:rPr>
        <w:t xml:space="preserve"> zł</w:t>
      </w:r>
      <w:r w:rsidRPr="0014192C">
        <w:rPr>
          <w:rFonts w:ascii="StoneSansPl" w:hAnsi="StoneSansPl" w:cs="Arial"/>
          <w:szCs w:val="22"/>
        </w:rPr>
        <w:t xml:space="preserve">. </w:t>
      </w:r>
    </w:p>
    <w:p w14:paraId="44E5BD25" w14:textId="77777777" w:rsidR="00256D8F" w:rsidRDefault="0014192C" w:rsidP="00FA2083">
      <w:pPr>
        <w:spacing w:line="276" w:lineRule="auto"/>
        <w:jc w:val="both"/>
        <w:rPr>
          <w:rFonts w:ascii="StoneSansPl" w:hAnsi="StoneSansPl" w:cs="Arial"/>
          <w:szCs w:val="22"/>
        </w:rPr>
      </w:pPr>
      <w:r w:rsidRPr="0014192C">
        <w:rPr>
          <w:rFonts w:ascii="StoneSansPl" w:hAnsi="StoneSansPl" w:cs="Arial"/>
          <w:szCs w:val="22"/>
        </w:rPr>
        <w:t>Zysk brutto</w:t>
      </w:r>
      <w:r w:rsidR="00006422">
        <w:rPr>
          <w:rFonts w:ascii="StoneSansPl" w:hAnsi="StoneSansPl" w:cs="Arial"/>
          <w:szCs w:val="22"/>
        </w:rPr>
        <w:t xml:space="preserve"> liczony według międzynarodowych standardów rachunkowości</w:t>
      </w:r>
      <w:r w:rsidRPr="0014192C">
        <w:rPr>
          <w:rFonts w:ascii="StoneSansPl" w:hAnsi="StoneSansPl" w:cs="Arial"/>
          <w:szCs w:val="22"/>
        </w:rPr>
        <w:t xml:space="preserve"> za </w:t>
      </w:r>
      <w:r w:rsidR="002B69EA">
        <w:rPr>
          <w:rFonts w:ascii="StoneSansPl" w:hAnsi="StoneSansPl" w:cs="Arial"/>
          <w:szCs w:val="22"/>
        </w:rPr>
        <w:t>trzy kwartały</w:t>
      </w:r>
      <w:r w:rsidRPr="0014192C">
        <w:rPr>
          <w:rFonts w:ascii="StoneSansPl" w:hAnsi="StoneSansPl" w:cs="Arial"/>
          <w:szCs w:val="22"/>
        </w:rPr>
        <w:t xml:space="preserve"> wyniósł </w:t>
      </w:r>
      <w:r w:rsidR="002B69EA">
        <w:rPr>
          <w:rFonts w:ascii="StoneSansPl" w:hAnsi="StoneSansPl" w:cs="Arial"/>
          <w:szCs w:val="22"/>
        </w:rPr>
        <w:t>43</w:t>
      </w:r>
      <w:r w:rsidRPr="0014192C">
        <w:rPr>
          <w:rFonts w:ascii="StoneSansPl" w:hAnsi="StoneSansPl" w:cs="Arial"/>
          <w:szCs w:val="22"/>
        </w:rPr>
        <w:t xml:space="preserve"> mln zł i był lepszy od wyniku uzyskanego rok wcześniej</w:t>
      </w:r>
      <w:r w:rsidR="002B69EA">
        <w:rPr>
          <w:rFonts w:ascii="StoneSansPl" w:hAnsi="StoneSansPl" w:cs="Arial"/>
          <w:szCs w:val="22"/>
        </w:rPr>
        <w:t xml:space="preserve"> o 36,1 proc. </w:t>
      </w:r>
      <w:r w:rsidRPr="0014192C">
        <w:rPr>
          <w:rFonts w:ascii="StoneSansPl" w:hAnsi="StoneSansPl" w:cs="Arial"/>
          <w:szCs w:val="22"/>
        </w:rPr>
        <w:t xml:space="preserve"> (31,6 mln zł</w:t>
      </w:r>
      <w:r w:rsidR="002B69EA">
        <w:rPr>
          <w:rFonts w:ascii="StoneSansPl" w:hAnsi="StoneSansPl" w:cs="Arial"/>
          <w:szCs w:val="22"/>
        </w:rPr>
        <w:t>)</w:t>
      </w:r>
      <w:r w:rsidRPr="0014192C">
        <w:rPr>
          <w:rFonts w:ascii="StoneSansPl" w:hAnsi="StoneSansPl" w:cs="Arial"/>
          <w:szCs w:val="22"/>
        </w:rPr>
        <w:t>.</w:t>
      </w:r>
      <w:r w:rsidR="002B69EA">
        <w:rPr>
          <w:rFonts w:ascii="StoneSansPl" w:hAnsi="StoneSansPl" w:cs="Arial"/>
          <w:szCs w:val="22"/>
        </w:rPr>
        <w:t xml:space="preserve"> </w:t>
      </w:r>
      <w:r w:rsidRPr="0014192C">
        <w:rPr>
          <w:rFonts w:ascii="StoneSansPl" w:hAnsi="StoneSansPl" w:cs="Arial"/>
          <w:szCs w:val="22"/>
        </w:rPr>
        <w:t xml:space="preserve">Zysk po opodatkowaniu </w:t>
      </w:r>
      <w:r w:rsidR="00962144">
        <w:rPr>
          <w:rFonts w:ascii="StoneSansPl" w:hAnsi="StoneSansPl" w:cs="Arial"/>
          <w:szCs w:val="22"/>
        </w:rPr>
        <w:t>to</w:t>
      </w:r>
      <w:r w:rsidRPr="0014192C">
        <w:rPr>
          <w:rFonts w:ascii="StoneSansPl" w:hAnsi="StoneSansPl" w:cs="Arial"/>
          <w:szCs w:val="22"/>
        </w:rPr>
        <w:t xml:space="preserve"> 34,1</w:t>
      </w:r>
      <w:r w:rsidR="002B69EA">
        <w:rPr>
          <w:rFonts w:ascii="StoneSansPl" w:hAnsi="StoneSansPl" w:cs="Arial"/>
          <w:szCs w:val="22"/>
        </w:rPr>
        <w:t xml:space="preserve"> mln zł, </w:t>
      </w:r>
      <w:r w:rsidRPr="0014192C">
        <w:rPr>
          <w:rFonts w:ascii="StoneSansPl" w:hAnsi="StoneSansPl" w:cs="Arial"/>
          <w:szCs w:val="22"/>
        </w:rPr>
        <w:t>wobec 25,0 mln zł osiągniętych rok wcześniej (wzrost o 36,4</w:t>
      </w:r>
      <w:r w:rsidR="002B69EA">
        <w:rPr>
          <w:rFonts w:ascii="StoneSansPl" w:hAnsi="StoneSansPl" w:cs="Arial"/>
          <w:szCs w:val="22"/>
        </w:rPr>
        <w:t xml:space="preserve"> proc.</w:t>
      </w:r>
      <w:r w:rsidRPr="0014192C">
        <w:rPr>
          <w:rFonts w:ascii="StoneSansPl" w:hAnsi="StoneSansPl" w:cs="Arial"/>
          <w:szCs w:val="22"/>
        </w:rPr>
        <w:t>).</w:t>
      </w:r>
    </w:p>
    <w:p w14:paraId="3C9608F6" w14:textId="27C7F2AD" w:rsidR="00256D8F" w:rsidRPr="002752FB" w:rsidRDefault="00FA2083" w:rsidP="002752FB">
      <w:pPr>
        <w:shd w:val="clear" w:color="auto" w:fill="FFFFFF"/>
        <w:spacing w:after="270" w:line="276" w:lineRule="auto"/>
        <w:jc w:val="both"/>
        <w:rPr>
          <w:rFonts w:ascii="Lato" w:hAnsi="Lato"/>
          <w:color w:val="0A0A0A"/>
          <w:sz w:val="21"/>
          <w:szCs w:val="21"/>
        </w:rPr>
      </w:pPr>
      <w:r>
        <w:rPr>
          <w:rFonts w:ascii="Lato" w:hAnsi="Lato"/>
          <w:color w:val="0A0A0A"/>
          <w:sz w:val="21"/>
          <w:szCs w:val="21"/>
        </w:rPr>
        <w:t>W ciągu dziewięciu</w:t>
      </w:r>
      <w:r w:rsidRPr="00FA2083">
        <w:rPr>
          <w:rFonts w:ascii="Lato" w:hAnsi="Lato"/>
          <w:color w:val="0A0A0A"/>
          <w:sz w:val="21"/>
          <w:szCs w:val="21"/>
        </w:rPr>
        <w:t xml:space="preserve"> miesięcy 2018 roku wypłaciliśmy klientom </w:t>
      </w:r>
      <w:r>
        <w:rPr>
          <w:rFonts w:ascii="Lato" w:hAnsi="Lato"/>
          <w:color w:val="0A0A0A"/>
          <w:sz w:val="21"/>
          <w:szCs w:val="21"/>
        </w:rPr>
        <w:t xml:space="preserve">522 </w:t>
      </w:r>
      <w:r w:rsidRPr="00FA2083">
        <w:rPr>
          <w:rFonts w:ascii="Lato" w:hAnsi="Lato"/>
          <w:color w:val="0A0A0A"/>
          <w:sz w:val="21"/>
          <w:szCs w:val="21"/>
        </w:rPr>
        <w:t>mln zł w formie odszkodowań i świadczeń z ubezpieczeń majątkowych.</w:t>
      </w:r>
    </w:p>
    <w:p w14:paraId="62E29B02" w14:textId="77777777" w:rsidR="0022526C" w:rsidRPr="00980167" w:rsidRDefault="00B93C2F" w:rsidP="00FA2083">
      <w:pPr>
        <w:spacing w:line="276" w:lineRule="auto"/>
        <w:jc w:val="both"/>
        <w:rPr>
          <w:rFonts w:ascii="StoneSansPl" w:hAnsi="StoneSansPl" w:cs="Arial"/>
          <w:b/>
          <w:szCs w:val="22"/>
        </w:rPr>
      </w:pPr>
      <w:r w:rsidRPr="00980167">
        <w:rPr>
          <w:rFonts w:ascii="StoneSansPl" w:hAnsi="StoneSansPl" w:cs="Arial"/>
          <w:b/>
          <w:szCs w:val="22"/>
        </w:rPr>
        <w:t xml:space="preserve">UNIQA </w:t>
      </w:r>
      <w:r w:rsidR="00FF6622" w:rsidRPr="00980167">
        <w:rPr>
          <w:rFonts w:ascii="StoneSansPl" w:hAnsi="StoneSansPl" w:cs="Arial"/>
          <w:b/>
          <w:szCs w:val="22"/>
        </w:rPr>
        <w:t>Towarzystwo Ubezpieczeń na Ż</w:t>
      </w:r>
      <w:r w:rsidR="00941FBA" w:rsidRPr="00980167">
        <w:rPr>
          <w:rFonts w:ascii="StoneSansPl" w:hAnsi="StoneSansPl" w:cs="Arial"/>
          <w:b/>
          <w:szCs w:val="22"/>
        </w:rPr>
        <w:t>ycie</w:t>
      </w:r>
    </w:p>
    <w:p w14:paraId="2A618D2B" w14:textId="77777777" w:rsidR="0014192C" w:rsidRDefault="00980167" w:rsidP="00FA2083">
      <w:pPr>
        <w:spacing w:line="276" w:lineRule="auto"/>
        <w:jc w:val="both"/>
        <w:rPr>
          <w:rFonts w:ascii="StoneSansPl" w:hAnsi="StoneSansPl" w:cs="Arial"/>
          <w:szCs w:val="22"/>
        </w:rPr>
      </w:pPr>
      <w:r>
        <w:rPr>
          <w:rFonts w:ascii="StoneSansPl" w:hAnsi="StoneSansPl" w:cs="Arial"/>
          <w:szCs w:val="22"/>
        </w:rPr>
        <w:t xml:space="preserve">Życiowe towarzystwo </w:t>
      </w:r>
      <w:r w:rsidR="0014192C" w:rsidRPr="0014192C">
        <w:rPr>
          <w:rFonts w:ascii="StoneSansPl" w:hAnsi="StoneSansPl" w:cs="Arial"/>
          <w:szCs w:val="22"/>
        </w:rPr>
        <w:t>UNIQA</w:t>
      </w:r>
      <w:r>
        <w:rPr>
          <w:rFonts w:ascii="StoneSansPl" w:hAnsi="StoneSansPl" w:cs="Arial"/>
          <w:szCs w:val="22"/>
        </w:rPr>
        <w:t xml:space="preserve"> </w:t>
      </w:r>
      <w:r w:rsidR="0014192C" w:rsidRPr="0014192C">
        <w:rPr>
          <w:rFonts w:ascii="StoneSansPl" w:hAnsi="StoneSansPl" w:cs="Arial"/>
          <w:szCs w:val="22"/>
        </w:rPr>
        <w:t>koncentr</w:t>
      </w:r>
      <w:r>
        <w:rPr>
          <w:rFonts w:ascii="StoneSansPl" w:hAnsi="StoneSansPl" w:cs="Arial"/>
          <w:szCs w:val="22"/>
        </w:rPr>
        <w:t xml:space="preserve">owało się </w:t>
      </w:r>
      <w:r w:rsidR="0014192C" w:rsidRPr="0014192C">
        <w:rPr>
          <w:rFonts w:ascii="StoneSansPl" w:hAnsi="StoneSansPl" w:cs="Arial"/>
          <w:szCs w:val="22"/>
        </w:rPr>
        <w:t>na sprzedaży rentownych produktów ze składką regularną. Łączna wartość składki przypisanej w okresie styczeń-wrzesień 2018 roku wyniosła 89,7 mln zł</w:t>
      </w:r>
      <w:r>
        <w:rPr>
          <w:rFonts w:ascii="StoneSansPl" w:hAnsi="StoneSansPl" w:cs="Arial"/>
          <w:szCs w:val="22"/>
        </w:rPr>
        <w:t xml:space="preserve">, </w:t>
      </w:r>
      <w:r w:rsidR="0014192C" w:rsidRPr="0014192C">
        <w:rPr>
          <w:rFonts w:ascii="StoneSansPl" w:hAnsi="StoneSansPl" w:cs="Arial"/>
          <w:szCs w:val="22"/>
        </w:rPr>
        <w:t>wobec 639,6 mln zł w analogicznym okresie 2017 roku.</w:t>
      </w:r>
      <w:r>
        <w:rPr>
          <w:rFonts w:ascii="StoneSansPl" w:hAnsi="StoneSansPl" w:cs="Arial"/>
          <w:szCs w:val="22"/>
        </w:rPr>
        <w:t xml:space="preserve"> S</w:t>
      </w:r>
      <w:r w:rsidR="0014192C" w:rsidRPr="0014192C">
        <w:rPr>
          <w:rFonts w:ascii="StoneSansPl" w:hAnsi="StoneSansPl" w:cs="Arial"/>
          <w:szCs w:val="22"/>
        </w:rPr>
        <w:t xml:space="preserve">padek </w:t>
      </w:r>
      <w:r>
        <w:rPr>
          <w:rFonts w:ascii="StoneSansPl" w:hAnsi="StoneSansPl" w:cs="Arial"/>
          <w:szCs w:val="22"/>
        </w:rPr>
        <w:t xml:space="preserve">sprzedaży wynika </w:t>
      </w:r>
      <w:r w:rsidR="0014192C" w:rsidRPr="0014192C">
        <w:rPr>
          <w:rFonts w:ascii="StoneSansPl" w:hAnsi="StoneSansPl" w:cs="Arial"/>
          <w:szCs w:val="22"/>
        </w:rPr>
        <w:t>z planowanego wycofania ze sprzedaży produktów ze składką jednorazową.</w:t>
      </w:r>
    </w:p>
    <w:p w14:paraId="7D2AD470" w14:textId="77777777" w:rsidR="007F6EDC" w:rsidRDefault="007F6EDC" w:rsidP="00FA2083">
      <w:pPr>
        <w:spacing w:line="276" w:lineRule="auto"/>
        <w:jc w:val="both"/>
        <w:rPr>
          <w:rFonts w:ascii="StoneSansPl" w:hAnsi="StoneSansPl" w:cs="Arial"/>
          <w:szCs w:val="22"/>
        </w:rPr>
      </w:pPr>
    </w:p>
    <w:p w14:paraId="0F577F4F" w14:textId="699FEFB5" w:rsidR="00380694" w:rsidRPr="00380694" w:rsidRDefault="00980167" w:rsidP="00FA2083">
      <w:pPr>
        <w:spacing w:line="276" w:lineRule="auto"/>
        <w:jc w:val="both"/>
        <w:rPr>
          <w:rFonts w:ascii="StoneSansPl" w:hAnsi="StoneSansPl" w:cs="Arial"/>
          <w:b/>
          <w:szCs w:val="22"/>
        </w:rPr>
      </w:pPr>
      <w:r w:rsidRPr="00980167">
        <w:rPr>
          <w:rFonts w:ascii="StoneSansPl" w:hAnsi="StoneSansPl" w:cs="Arial"/>
          <w:i/>
          <w:szCs w:val="22"/>
        </w:rPr>
        <w:t xml:space="preserve">- </w:t>
      </w:r>
      <w:r w:rsidR="00766FDD">
        <w:rPr>
          <w:rFonts w:ascii="StoneSansPl" w:hAnsi="StoneSansPl" w:cs="Arial"/>
          <w:i/>
          <w:szCs w:val="22"/>
        </w:rPr>
        <w:t>Obecny rok</w:t>
      </w:r>
      <w:r w:rsidR="0014192C" w:rsidRPr="00980167">
        <w:rPr>
          <w:rFonts w:ascii="StoneSansPl" w:hAnsi="StoneSansPl" w:cs="Arial"/>
          <w:i/>
          <w:szCs w:val="22"/>
        </w:rPr>
        <w:t xml:space="preserve"> jest kolejnym, w którym </w:t>
      </w:r>
      <w:r w:rsidR="00766FDD">
        <w:rPr>
          <w:rFonts w:ascii="StoneSansPl" w:hAnsi="StoneSansPl" w:cs="Arial"/>
          <w:i/>
          <w:szCs w:val="22"/>
        </w:rPr>
        <w:t>rośniemy w indywidualnych ubezpieczeniach na życie</w:t>
      </w:r>
      <w:r w:rsidR="00921B59">
        <w:rPr>
          <w:rFonts w:ascii="StoneSansPl" w:hAnsi="StoneSansPl" w:cs="Arial"/>
          <w:i/>
          <w:szCs w:val="22"/>
        </w:rPr>
        <w:t xml:space="preserve"> ze składką regularną</w:t>
      </w:r>
      <w:r w:rsidR="00380694">
        <w:rPr>
          <w:rFonts w:ascii="StoneSansPl" w:hAnsi="StoneSansPl" w:cs="Arial"/>
          <w:i/>
          <w:szCs w:val="22"/>
        </w:rPr>
        <w:t>, w tym przede wszystkim w naszym flagowym produkcie Pakiet Bezpieczeństwa</w:t>
      </w:r>
      <w:r w:rsidR="0014192C" w:rsidRPr="00980167">
        <w:rPr>
          <w:rFonts w:ascii="StoneSansPl" w:hAnsi="StoneSansPl" w:cs="Arial"/>
          <w:i/>
          <w:szCs w:val="22"/>
        </w:rPr>
        <w:t xml:space="preserve">. Wskaźnik wzrostu sprzedaży </w:t>
      </w:r>
      <w:r w:rsidRPr="00980167">
        <w:rPr>
          <w:rFonts w:ascii="StoneSansPl" w:hAnsi="StoneSansPl" w:cs="Arial"/>
          <w:i/>
          <w:szCs w:val="22"/>
        </w:rPr>
        <w:t xml:space="preserve">za 2017 rok wyniósł </w:t>
      </w:r>
      <w:r w:rsidR="00EC33D8" w:rsidRPr="00980167">
        <w:rPr>
          <w:rFonts w:ascii="StoneSansPl" w:hAnsi="StoneSansPl" w:cs="Arial"/>
          <w:i/>
          <w:szCs w:val="22"/>
        </w:rPr>
        <w:t xml:space="preserve">w tej grupie </w:t>
      </w:r>
      <w:r w:rsidRPr="00980167">
        <w:rPr>
          <w:rFonts w:ascii="StoneSansPl" w:hAnsi="StoneSansPl" w:cs="Arial"/>
          <w:i/>
          <w:szCs w:val="22"/>
        </w:rPr>
        <w:t>15,</w:t>
      </w:r>
      <w:r w:rsidR="00D55522">
        <w:rPr>
          <w:rFonts w:ascii="StoneSansPl" w:hAnsi="StoneSansPl" w:cs="Arial"/>
          <w:i/>
          <w:szCs w:val="22"/>
        </w:rPr>
        <w:t>7</w:t>
      </w:r>
      <w:r w:rsidRPr="00980167">
        <w:rPr>
          <w:rFonts w:ascii="StoneSansPl" w:hAnsi="StoneSansPl" w:cs="Arial"/>
          <w:i/>
          <w:szCs w:val="22"/>
        </w:rPr>
        <w:t xml:space="preserve"> proc.</w:t>
      </w:r>
      <w:r w:rsidR="0014192C" w:rsidRPr="00980167">
        <w:rPr>
          <w:rFonts w:ascii="StoneSansPl" w:hAnsi="StoneSansPl" w:cs="Arial"/>
          <w:i/>
          <w:szCs w:val="22"/>
        </w:rPr>
        <w:t xml:space="preserve"> </w:t>
      </w:r>
      <w:r w:rsidR="00766FDD">
        <w:rPr>
          <w:rFonts w:ascii="StoneSansPl" w:hAnsi="StoneSansPl" w:cs="Arial"/>
          <w:i/>
          <w:szCs w:val="22"/>
        </w:rPr>
        <w:t xml:space="preserve">Do tego rozszerzamy ofertę ubezpieczeń ochronnych. </w:t>
      </w:r>
      <w:r w:rsidR="00380694">
        <w:rPr>
          <w:rFonts w:ascii="StoneSansPl" w:hAnsi="StoneSansPl" w:cs="Arial"/>
          <w:i/>
          <w:szCs w:val="22"/>
        </w:rPr>
        <w:t xml:space="preserve">W sierpniu </w:t>
      </w:r>
      <w:r w:rsidR="00380694" w:rsidRPr="00380694">
        <w:rPr>
          <w:rFonts w:ascii="StoneSansPl" w:hAnsi="StoneSansPl" w:cs="Arial"/>
          <w:i/>
          <w:szCs w:val="22"/>
        </w:rPr>
        <w:t xml:space="preserve">wprowadziliśmy nowe indywidualne </w:t>
      </w:r>
      <w:r w:rsidR="007F6EDC">
        <w:rPr>
          <w:rFonts w:ascii="StoneSansPl" w:hAnsi="StoneSansPl" w:cs="Arial"/>
          <w:i/>
          <w:szCs w:val="22"/>
        </w:rPr>
        <w:t xml:space="preserve">ubezpieczenie Beztroskie Dziecko </w:t>
      </w:r>
      <w:r w:rsidR="00380694">
        <w:rPr>
          <w:rFonts w:ascii="StoneSansPl" w:hAnsi="StoneSansPl" w:cs="Arial"/>
          <w:i/>
          <w:szCs w:val="22"/>
        </w:rPr>
        <w:t xml:space="preserve">– </w:t>
      </w:r>
      <w:r w:rsidR="00380694" w:rsidRPr="00380694">
        <w:rPr>
          <w:rFonts w:ascii="StoneSansPl" w:hAnsi="StoneSansPl" w:cs="Arial"/>
          <w:szCs w:val="22"/>
        </w:rPr>
        <w:t xml:space="preserve">mówi </w:t>
      </w:r>
      <w:r w:rsidR="00380694" w:rsidRPr="00380694">
        <w:rPr>
          <w:rFonts w:ascii="StoneSansPl" w:hAnsi="StoneSansPl" w:cs="Arial"/>
          <w:b/>
          <w:szCs w:val="22"/>
        </w:rPr>
        <w:t>Jarosław Matusiewicz, prezes UNIQA Polska.</w:t>
      </w:r>
    </w:p>
    <w:p w14:paraId="2ABBA250" w14:textId="77777777" w:rsidR="00380694" w:rsidRDefault="00380694" w:rsidP="00FA2083">
      <w:pPr>
        <w:spacing w:line="276" w:lineRule="auto"/>
        <w:jc w:val="both"/>
        <w:rPr>
          <w:rFonts w:ascii="StoneSansPl" w:hAnsi="StoneSansPl" w:cs="Arial"/>
          <w:szCs w:val="22"/>
        </w:rPr>
      </w:pPr>
    </w:p>
    <w:p w14:paraId="3C5AD76C" w14:textId="46668932" w:rsidR="005F1BD6" w:rsidRDefault="007F6EDC" w:rsidP="0031486F">
      <w:pPr>
        <w:spacing w:line="276" w:lineRule="auto"/>
        <w:jc w:val="both"/>
        <w:rPr>
          <w:rFonts w:ascii="StoneSansPl" w:hAnsi="StoneSansPl" w:cs="Arial"/>
          <w:szCs w:val="22"/>
        </w:rPr>
      </w:pPr>
      <w:r w:rsidRPr="007F6EDC">
        <w:rPr>
          <w:rFonts w:ascii="StoneSansPl" w:hAnsi="StoneSansPl" w:cs="Arial"/>
          <w:szCs w:val="22"/>
        </w:rPr>
        <w:t xml:space="preserve">Nowe ubezpieczenie na życie to </w:t>
      </w:r>
      <w:r w:rsidRPr="007F6EDC">
        <w:rPr>
          <w:rFonts w:ascii="StoneSansPl" w:hAnsi="StoneSansPl" w:cs="Arial"/>
          <w:bCs/>
          <w:szCs w:val="22"/>
        </w:rPr>
        <w:t xml:space="preserve">uzupełnienie NNW szkolnego i równocześnie </w:t>
      </w:r>
      <w:r w:rsidRPr="007F6EDC">
        <w:rPr>
          <w:rFonts w:ascii="StoneSansPl" w:hAnsi="StoneSansPl" w:cs="Arial"/>
          <w:szCs w:val="22"/>
        </w:rPr>
        <w:t>połączenie ochrony zdrowia dziecka przed skutkami chorób i wypadków or</w:t>
      </w:r>
      <w:r>
        <w:rPr>
          <w:rFonts w:ascii="StoneSansPl" w:hAnsi="StoneSansPl" w:cs="Arial"/>
          <w:szCs w:val="22"/>
        </w:rPr>
        <w:t xml:space="preserve">az całej gamy usług dodatkowych. </w:t>
      </w:r>
      <w:r w:rsidR="0031486F" w:rsidRPr="00F112DD">
        <w:rPr>
          <w:rFonts w:ascii="StoneSansPl" w:hAnsi="StoneSansPl" w:cs="Arial"/>
          <w:szCs w:val="22"/>
        </w:rPr>
        <w:t>Beztroskie Dziecko zostało</w:t>
      </w:r>
      <w:r>
        <w:rPr>
          <w:rFonts w:ascii="StoneSansPl" w:hAnsi="StoneSansPl" w:cs="Arial"/>
          <w:szCs w:val="22"/>
        </w:rPr>
        <w:t xml:space="preserve"> już</w:t>
      </w:r>
      <w:r w:rsidR="0031486F" w:rsidRPr="00F112DD">
        <w:rPr>
          <w:rFonts w:ascii="StoneSansPl" w:hAnsi="StoneSansPl" w:cs="Arial"/>
          <w:szCs w:val="22"/>
        </w:rPr>
        <w:t xml:space="preserve"> w listopadzie wyróżnione tytułem Rodzinnej Marki Roku. </w:t>
      </w:r>
      <w:r>
        <w:rPr>
          <w:rFonts w:ascii="StoneSansPl" w:hAnsi="StoneSansPl" w:cs="Arial"/>
          <w:szCs w:val="22"/>
        </w:rPr>
        <w:t>P</w:t>
      </w:r>
      <w:r w:rsidR="0031486F" w:rsidRPr="00F112DD">
        <w:rPr>
          <w:rFonts w:ascii="StoneSansPl" w:hAnsi="StoneSansPl" w:cs="Arial"/>
          <w:szCs w:val="22"/>
        </w:rPr>
        <w:t xml:space="preserve">rodukt uznano za praktyczne i godne polecenia rozwiązanie dla nowoczesnej rodziny, szukającej najlepszych, sprawdzonych i bezpiecznych rozwiązań. </w:t>
      </w:r>
      <w:r w:rsidR="005F1BD6">
        <w:rPr>
          <w:rFonts w:ascii="StoneSansPl" w:hAnsi="StoneSansPl" w:cs="Arial"/>
          <w:szCs w:val="22"/>
        </w:rPr>
        <w:t>Co ważne podkreślenia,</w:t>
      </w:r>
      <w:r w:rsidR="0031486F" w:rsidRPr="00F112DD">
        <w:rPr>
          <w:rFonts w:ascii="StoneSansPl" w:hAnsi="StoneSansPl" w:cs="Arial"/>
          <w:szCs w:val="22"/>
        </w:rPr>
        <w:t xml:space="preserve"> niezależnie od liczby ubezpieczonych dzieci rodzic zapłaci składkę maksymalnie za dwoje </w:t>
      </w:r>
      <w:r w:rsidR="005F1BD6">
        <w:rPr>
          <w:rFonts w:ascii="StoneSansPl" w:hAnsi="StoneSansPl" w:cs="Arial"/>
          <w:szCs w:val="22"/>
        </w:rPr>
        <w:t>z nich</w:t>
      </w:r>
      <w:r w:rsidR="0031486F" w:rsidRPr="00F112DD">
        <w:rPr>
          <w:rFonts w:ascii="StoneSansPl" w:hAnsi="StoneSansPl" w:cs="Arial"/>
          <w:szCs w:val="22"/>
        </w:rPr>
        <w:t>.</w:t>
      </w:r>
      <w:r w:rsidR="0031486F" w:rsidRPr="0031486F">
        <w:rPr>
          <w:rFonts w:ascii="StoneSansPl" w:hAnsi="StoneSansPl" w:cs="Arial"/>
          <w:szCs w:val="22"/>
        </w:rPr>
        <w:t> </w:t>
      </w:r>
    </w:p>
    <w:p w14:paraId="0F632570" w14:textId="77777777" w:rsidR="00921B59" w:rsidRPr="0031486F" w:rsidRDefault="00921B59" w:rsidP="0031486F">
      <w:pPr>
        <w:spacing w:line="276" w:lineRule="auto"/>
        <w:jc w:val="both"/>
        <w:rPr>
          <w:rFonts w:ascii="StoneSansPl" w:hAnsi="StoneSansPl" w:cs="Arial"/>
          <w:szCs w:val="22"/>
        </w:rPr>
      </w:pPr>
    </w:p>
    <w:p w14:paraId="32DE25F6" w14:textId="77777777" w:rsidR="00921B59" w:rsidRDefault="00921B59" w:rsidP="00921B59">
      <w:pPr>
        <w:spacing w:line="276" w:lineRule="auto"/>
        <w:jc w:val="both"/>
        <w:rPr>
          <w:rFonts w:ascii="StoneSansPl" w:hAnsi="StoneSansPl" w:cs="Arial"/>
          <w:szCs w:val="22"/>
        </w:rPr>
      </w:pPr>
      <w:r>
        <w:rPr>
          <w:rFonts w:ascii="StoneSansPl" w:hAnsi="StoneSansPl" w:cs="Arial"/>
          <w:szCs w:val="22"/>
        </w:rPr>
        <w:t xml:space="preserve">Od początku 2018 roku </w:t>
      </w:r>
      <w:r w:rsidRPr="0014192C">
        <w:rPr>
          <w:rFonts w:ascii="StoneSansPl" w:hAnsi="StoneSansPl" w:cs="Arial"/>
          <w:szCs w:val="22"/>
        </w:rPr>
        <w:t xml:space="preserve">wzrost sprzedaży (o 16,6 proc., do 14,3 mln zł.) odnotowują indywidualne produkty na życie. </w:t>
      </w:r>
      <w:r>
        <w:rPr>
          <w:rFonts w:ascii="StoneSansPl" w:hAnsi="StoneSansPl" w:cs="Arial"/>
          <w:szCs w:val="22"/>
        </w:rPr>
        <w:t xml:space="preserve">Niższy przypis spółka życiowa odnotowała w </w:t>
      </w:r>
      <w:r w:rsidRPr="0014192C">
        <w:rPr>
          <w:rFonts w:ascii="StoneSansPl" w:hAnsi="StoneSansPl" w:cs="Arial"/>
          <w:szCs w:val="22"/>
        </w:rPr>
        <w:t>grupowych ubezpiecze</w:t>
      </w:r>
      <w:r>
        <w:rPr>
          <w:rFonts w:ascii="StoneSansPl" w:hAnsi="StoneSansPl" w:cs="Arial"/>
          <w:szCs w:val="22"/>
        </w:rPr>
        <w:t>niach</w:t>
      </w:r>
      <w:r w:rsidRPr="0014192C">
        <w:rPr>
          <w:rFonts w:ascii="StoneSansPl" w:hAnsi="StoneSansPl" w:cs="Arial"/>
          <w:szCs w:val="22"/>
        </w:rPr>
        <w:t xml:space="preserve"> pracowniczych </w:t>
      </w:r>
      <w:r>
        <w:rPr>
          <w:rFonts w:ascii="StoneSansPl" w:hAnsi="StoneSansPl" w:cs="Arial"/>
          <w:szCs w:val="22"/>
        </w:rPr>
        <w:t>(</w:t>
      </w:r>
      <w:r w:rsidRPr="0014192C">
        <w:rPr>
          <w:rFonts w:ascii="StoneSansPl" w:hAnsi="StoneSansPl" w:cs="Arial"/>
          <w:szCs w:val="22"/>
        </w:rPr>
        <w:t xml:space="preserve">spadek </w:t>
      </w:r>
      <w:r>
        <w:rPr>
          <w:rFonts w:ascii="StoneSansPl" w:hAnsi="StoneSansPl" w:cs="Arial"/>
          <w:szCs w:val="22"/>
        </w:rPr>
        <w:t xml:space="preserve">o </w:t>
      </w:r>
      <w:r w:rsidRPr="0014192C">
        <w:rPr>
          <w:rFonts w:ascii="StoneSansPl" w:hAnsi="StoneSansPl" w:cs="Arial"/>
          <w:szCs w:val="22"/>
        </w:rPr>
        <w:t>8,5 proc.</w:t>
      </w:r>
      <w:r>
        <w:rPr>
          <w:rFonts w:ascii="StoneSansPl" w:hAnsi="StoneSansPl" w:cs="Arial"/>
          <w:szCs w:val="22"/>
        </w:rPr>
        <w:t xml:space="preserve">, do 49,7 mln zł). Jest to efekt m.in. </w:t>
      </w:r>
      <w:r w:rsidRPr="00380694">
        <w:rPr>
          <w:rFonts w:ascii="StoneSansPl" w:hAnsi="StoneSansPl" w:cs="Arial"/>
          <w:szCs w:val="22"/>
        </w:rPr>
        <w:t>restrukturyzacji portfela.</w:t>
      </w:r>
    </w:p>
    <w:p w14:paraId="474C088B" w14:textId="4952D6E7" w:rsidR="007F6EDC" w:rsidRDefault="0025645E" w:rsidP="00FA2083">
      <w:pPr>
        <w:spacing w:line="276" w:lineRule="auto"/>
        <w:jc w:val="both"/>
        <w:rPr>
          <w:rFonts w:ascii="StoneSansPl" w:hAnsi="StoneSansPl" w:cs="Arial"/>
          <w:szCs w:val="22"/>
        </w:rPr>
      </w:pPr>
      <w:r>
        <w:rPr>
          <w:rFonts w:ascii="StoneSansPl" w:hAnsi="StoneSansPl" w:cs="Arial"/>
          <w:szCs w:val="22"/>
        </w:rPr>
        <w:t>Wzrósł z kolei w</w:t>
      </w:r>
      <w:r w:rsidR="0014192C" w:rsidRPr="0014192C">
        <w:rPr>
          <w:rFonts w:ascii="StoneSansPl" w:hAnsi="StoneSansPl" w:cs="Arial"/>
          <w:szCs w:val="22"/>
        </w:rPr>
        <w:t xml:space="preserve">ynik finansowy brutto </w:t>
      </w:r>
      <w:r w:rsidR="00980167">
        <w:rPr>
          <w:rFonts w:ascii="StoneSansPl" w:hAnsi="StoneSansPl" w:cs="Arial"/>
          <w:szCs w:val="22"/>
        </w:rPr>
        <w:t xml:space="preserve">spółki </w:t>
      </w:r>
      <w:r>
        <w:rPr>
          <w:rFonts w:ascii="StoneSansPl" w:hAnsi="StoneSansPl" w:cs="Arial"/>
          <w:szCs w:val="22"/>
        </w:rPr>
        <w:t xml:space="preserve">i </w:t>
      </w:r>
      <w:bookmarkStart w:id="0" w:name="_GoBack"/>
      <w:bookmarkEnd w:id="0"/>
      <w:r w:rsidR="00980167">
        <w:rPr>
          <w:rFonts w:ascii="StoneSansPl" w:hAnsi="StoneSansPl" w:cs="Arial"/>
          <w:szCs w:val="22"/>
        </w:rPr>
        <w:t>w</w:t>
      </w:r>
      <w:r w:rsidR="0014192C" w:rsidRPr="0014192C">
        <w:rPr>
          <w:rFonts w:ascii="StoneSansPl" w:hAnsi="StoneSansPl" w:cs="Arial"/>
          <w:szCs w:val="22"/>
        </w:rPr>
        <w:t>yniósł 4,5 mln zł wobec 4,1 mln zł w analogicznym okresie 2017 roku</w:t>
      </w:r>
      <w:r w:rsidR="00980167">
        <w:rPr>
          <w:rFonts w:ascii="StoneSansPl" w:hAnsi="StoneSansPl" w:cs="Arial"/>
          <w:szCs w:val="22"/>
        </w:rPr>
        <w:t>,</w:t>
      </w:r>
      <w:r w:rsidR="0014192C" w:rsidRPr="0014192C">
        <w:rPr>
          <w:rFonts w:ascii="StoneSansPl" w:hAnsi="StoneSansPl" w:cs="Arial"/>
          <w:szCs w:val="22"/>
        </w:rPr>
        <w:t xml:space="preserve"> a wynik po opodatkowaniu 3,5 mln zł wobec 2,6 mln za okres styczeń-wrzesień 2017</w:t>
      </w:r>
      <w:r w:rsidR="00980167">
        <w:rPr>
          <w:rFonts w:ascii="StoneSansPl" w:hAnsi="StoneSansPl" w:cs="Arial"/>
          <w:szCs w:val="22"/>
        </w:rPr>
        <w:t xml:space="preserve"> </w:t>
      </w:r>
      <w:r w:rsidR="0014192C" w:rsidRPr="0014192C">
        <w:rPr>
          <w:rFonts w:ascii="StoneSansPl" w:hAnsi="StoneSansPl" w:cs="Arial"/>
          <w:szCs w:val="22"/>
        </w:rPr>
        <w:t>r</w:t>
      </w:r>
      <w:r w:rsidR="00980167">
        <w:rPr>
          <w:rFonts w:ascii="StoneSansPl" w:hAnsi="StoneSansPl" w:cs="Arial"/>
          <w:szCs w:val="22"/>
        </w:rPr>
        <w:t>oku</w:t>
      </w:r>
      <w:r w:rsidR="0014192C" w:rsidRPr="0014192C">
        <w:rPr>
          <w:rFonts w:ascii="StoneSansPl" w:hAnsi="StoneSansPl" w:cs="Arial"/>
          <w:szCs w:val="22"/>
        </w:rPr>
        <w:t xml:space="preserve">. </w:t>
      </w:r>
    </w:p>
    <w:p w14:paraId="6F24D43B" w14:textId="77777777" w:rsidR="007F6EDC" w:rsidRDefault="007F6EDC" w:rsidP="00FA2083">
      <w:pPr>
        <w:spacing w:line="276" w:lineRule="auto"/>
        <w:jc w:val="both"/>
        <w:rPr>
          <w:rFonts w:ascii="StoneSansPl" w:hAnsi="StoneSansPl" w:cs="Arial"/>
          <w:szCs w:val="22"/>
        </w:rPr>
      </w:pPr>
    </w:p>
    <w:p w14:paraId="11BAC410" w14:textId="4224ADA7" w:rsidR="0014192C" w:rsidRPr="007F6EDC" w:rsidRDefault="007F6EDC" w:rsidP="00FA2083">
      <w:pPr>
        <w:spacing w:line="276" w:lineRule="auto"/>
        <w:jc w:val="both"/>
        <w:rPr>
          <w:rFonts w:ascii="StoneSansPl" w:hAnsi="StoneSansPl" w:cs="Arial"/>
          <w:b/>
          <w:szCs w:val="22"/>
        </w:rPr>
      </w:pPr>
      <w:r w:rsidRPr="007F6EDC">
        <w:rPr>
          <w:rFonts w:ascii="StoneSansPl" w:hAnsi="StoneSansPl" w:cs="Arial"/>
          <w:i/>
          <w:szCs w:val="22"/>
        </w:rPr>
        <w:t xml:space="preserve">- </w:t>
      </w:r>
      <w:r w:rsidR="00380694" w:rsidRPr="007F6EDC">
        <w:rPr>
          <w:rFonts w:ascii="StoneSansPl" w:hAnsi="StoneSansPl" w:cs="Arial"/>
          <w:i/>
          <w:szCs w:val="22"/>
        </w:rPr>
        <w:t>Lepszy</w:t>
      </w:r>
      <w:r w:rsidR="0014192C" w:rsidRPr="007F6EDC">
        <w:rPr>
          <w:rFonts w:ascii="StoneSansPl" w:hAnsi="StoneSansPl" w:cs="Arial"/>
          <w:i/>
          <w:szCs w:val="22"/>
        </w:rPr>
        <w:t xml:space="preserve"> wynik</w:t>
      </w:r>
      <w:r w:rsidR="00380694" w:rsidRPr="007F6EDC">
        <w:rPr>
          <w:rFonts w:ascii="StoneSansPl" w:hAnsi="StoneSansPl" w:cs="Arial"/>
          <w:i/>
          <w:szCs w:val="22"/>
        </w:rPr>
        <w:t xml:space="preserve"> finansowy</w:t>
      </w:r>
      <w:r w:rsidR="0014192C" w:rsidRPr="007F6EDC">
        <w:rPr>
          <w:rFonts w:ascii="StoneSansPl" w:hAnsi="StoneSansPl" w:cs="Arial"/>
          <w:i/>
          <w:szCs w:val="22"/>
        </w:rPr>
        <w:t xml:space="preserve"> </w:t>
      </w:r>
      <w:r w:rsidR="00380694" w:rsidRPr="007F6EDC">
        <w:rPr>
          <w:rFonts w:ascii="StoneSansPl" w:hAnsi="StoneSansPl" w:cs="Arial"/>
          <w:i/>
          <w:szCs w:val="22"/>
        </w:rPr>
        <w:t xml:space="preserve">to rezultat </w:t>
      </w:r>
      <w:r w:rsidR="0014192C" w:rsidRPr="007F6EDC">
        <w:rPr>
          <w:rFonts w:ascii="StoneSansPl" w:hAnsi="StoneSansPl" w:cs="Arial"/>
          <w:i/>
          <w:szCs w:val="22"/>
        </w:rPr>
        <w:t>poprawy szkodowości w ubezpieczeniach grupowych pracowniczych, ścisłej kontroli poziomu ponoszonych kosztów oraz opt</w:t>
      </w:r>
      <w:r w:rsidRPr="007F6EDC">
        <w:rPr>
          <w:rFonts w:ascii="StoneSansPl" w:hAnsi="StoneSansPl" w:cs="Arial"/>
          <w:i/>
          <w:szCs w:val="22"/>
        </w:rPr>
        <w:t>ymalizacji procesów biznesowych</w:t>
      </w:r>
      <w:r>
        <w:rPr>
          <w:rFonts w:ascii="StoneSansPl" w:hAnsi="StoneSansPl" w:cs="Arial"/>
          <w:szCs w:val="22"/>
        </w:rPr>
        <w:t xml:space="preserve"> – mówi </w:t>
      </w:r>
      <w:r w:rsidRPr="007F6EDC">
        <w:rPr>
          <w:rFonts w:ascii="StoneSansPl" w:hAnsi="StoneSansPl" w:cs="Arial"/>
          <w:b/>
          <w:szCs w:val="22"/>
        </w:rPr>
        <w:t xml:space="preserve">Jarosław Matusiewicz. </w:t>
      </w:r>
    </w:p>
    <w:p w14:paraId="45005814" w14:textId="77777777" w:rsidR="00962144" w:rsidRPr="00640A15" w:rsidRDefault="00962144" w:rsidP="00FA2083">
      <w:pPr>
        <w:spacing w:line="276" w:lineRule="auto"/>
        <w:jc w:val="both"/>
        <w:rPr>
          <w:rFonts w:ascii="StoneSansPl" w:hAnsi="StoneSansPl" w:cs="Arial"/>
          <w:szCs w:val="22"/>
        </w:rPr>
      </w:pPr>
    </w:p>
    <w:p w14:paraId="393FCEEF" w14:textId="77777777" w:rsidR="007A7B0A" w:rsidRPr="00640A15" w:rsidRDefault="00284AAB" w:rsidP="00FA2083">
      <w:pPr>
        <w:spacing w:line="276" w:lineRule="auto"/>
        <w:jc w:val="both"/>
        <w:rPr>
          <w:rFonts w:ascii="StoneSansPl" w:hAnsi="StoneSansPl" w:cs="Arial"/>
          <w:b/>
          <w:szCs w:val="22"/>
        </w:rPr>
      </w:pPr>
      <w:r w:rsidRPr="00640A15">
        <w:rPr>
          <w:rFonts w:ascii="StoneSansPl" w:hAnsi="StoneSansPl" w:cs="Arial"/>
          <w:b/>
          <w:szCs w:val="22"/>
        </w:rPr>
        <w:t xml:space="preserve">Wypłacalność II </w:t>
      </w:r>
    </w:p>
    <w:p w14:paraId="5FF26E3B" w14:textId="77777777" w:rsidR="00087722" w:rsidRPr="00087722" w:rsidRDefault="00087722" w:rsidP="00FA2083">
      <w:pPr>
        <w:spacing w:line="276" w:lineRule="auto"/>
        <w:jc w:val="both"/>
        <w:rPr>
          <w:rFonts w:ascii="StoneSansPl" w:hAnsi="StoneSansPl" w:cs="Arial"/>
          <w:szCs w:val="22"/>
        </w:rPr>
      </w:pPr>
      <w:r w:rsidRPr="00087722">
        <w:rPr>
          <w:rFonts w:ascii="StoneSansPl" w:hAnsi="StoneSansPl" w:cs="Arial"/>
          <w:szCs w:val="22"/>
        </w:rPr>
        <w:t>Obie spółki UNIQA w Polsce mogą pochwalić się wysokim współczynnikiem wypłacalności SCR na koniec września 2018 roku. W przypadku spółki majątkowej UNIQA Polska wynosił 158,0 proc. (153,7 proc. na koniec czerwca 2018 roku). Dla życiowego biznesu ukształtował się na poziomie 276,1 proc., wobec 275,8 proc. na koniec czerwca 2018 roku.</w:t>
      </w:r>
    </w:p>
    <w:p w14:paraId="727BAB3E" w14:textId="77777777" w:rsidR="00087722" w:rsidRDefault="00087722" w:rsidP="00FA2083">
      <w:pPr>
        <w:spacing w:line="276" w:lineRule="auto"/>
        <w:jc w:val="both"/>
        <w:rPr>
          <w:rFonts w:ascii="StoneSansPl" w:hAnsi="StoneSansPl" w:cs="Arial"/>
          <w:szCs w:val="22"/>
        </w:rPr>
      </w:pPr>
      <w:r w:rsidRPr="00087722">
        <w:rPr>
          <w:rFonts w:ascii="StoneSansPl" w:hAnsi="StoneSansPl" w:cs="Arial"/>
          <w:szCs w:val="22"/>
        </w:rPr>
        <w:t xml:space="preserve">Oba współczynniki są powyżej ich docelowego poziomu zapisanego w strategii ryzyka - 150 proc. dla spółki majątkowej i 175 proc. dla biznesu życiowego. </w:t>
      </w:r>
    </w:p>
    <w:p w14:paraId="0D655340" w14:textId="77777777" w:rsidR="00E72CA2" w:rsidRPr="00087722" w:rsidRDefault="00E72CA2" w:rsidP="00087722">
      <w:pPr>
        <w:spacing w:line="276" w:lineRule="auto"/>
        <w:jc w:val="both"/>
        <w:rPr>
          <w:rFonts w:ascii="StoneSansPl" w:hAnsi="StoneSansPl" w:cs="Arial"/>
          <w:szCs w:val="22"/>
        </w:rPr>
      </w:pPr>
    </w:p>
    <w:p w14:paraId="03377D1E" w14:textId="77777777" w:rsidR="007C3DCB" w:rsidRPr="00BA4F1D" w:rsidRDefault="007C3DCB" w:rsidP="00892061">
      <w:pPr>
        <w:pBdr>
          <w:bottom w:val="single" w:sz="6" w:space="0" w:color="auto"/>
        </w:pBdr>
        <w:tabs>
          <w:tab w:val="left" w:pos="8865"/>
        </w:tabs>
        <w:spacing w:line="276" w:lineRule="auto"/>
        <w:ind w:right="-168"/>
        <w:jc w:val="both"/>
        <w:rPr>
          <w:rFonts w:ascii="StoneSansPl" w:hAnsi="StoneSansPl"/>
          <w:szCs w:val="22"/>
        </w:rPr>
      </w:pPr>
    </w:p>
    <w:p w14:paraId="02C7AA97" w14:textId="77777777" w:rsidR="00E93285" w:rsidRDefault="00E93285" w:rsidP="00E93285">
      <w:pPr>
        <w:spacing w:line="276" w:lineRule="auto"/>
        <w:jc w:val="both"/>
        <w:rPr>
          <w:rFonts w:ascii="StoneSansPl" w:hAnsi="StoneSansPl" w:cs="Arial"/>
          <w:sz w:val="18"/>
          <w:szCs w:val="22"/>
        </w:rPr>
      </w:pPr>
    </w:p>
    <w:p w14:paraId="40E8094C" w14:textId="77777777" w:rsidR="00E93285" w:rsidRPr="00E93285" w:rsidRDefault="00E93285" w:rsidP="00E93285">
      <w:pPr>
        <w:jc w:val="both"/>
        <w:rPr>
          <w:rFonts w:ascii="StoneSansPl" w:hAnsi="StoneSansPl" w:cs="Arial"/>
          <w:b/>
          <w:sz w:val="18"/>
          <w:szCs w:val="22"/>
        </w:rPr>
      </w:pPr>
      <w:r w:rsidRPr="00E93285">
        <w:rPr>
          <w:rFonts w:ascii="StoneSansPl" w:hAnsi="StoneSansPl" w:cs="Arial"/>
          <w:b/>
          <w:sz w:val="18"/>
          <w:szCs w:val="22"/>
        </w:rPr>
        <w:t>UNIQA Polska</w:t>
      </w:r>
    </w:p>
    <w:p w14:paraId="20B97A0E" w14:textId="77777777" w:rsidR="00E93285" w:rsidRDefault="00E93285" w:rsidP="00E93285">
      <w:pPr>
        <w:jc w:val="both"/>
        <w:rPr>
          <w:rFonts w:ascii="StoneSansPl" w:hAnsi="StoneSansPl" w:cs="Arial"/>
          <w:sz w:val="18"/>
          <w:szCs w:val="22"/>
        </w:rPr>
      </w:pPr>
      <w:r w:rsidRPr="00E93285">
        <w:rPr>
          <w:rFonts w:ascii="StoneSansPl" w:hAnsi="StoneSansPl" w:cs="Arial"/>
          <w:sz w:val="18"/>
          <w:szCs w:val="22"/>
        </w:rPr>
        <w:t>UNIQA w Polsce reprezentują spółki UNIQA TU oraz UNIQA TU na Życie, oferujące ubezpieczenia majątkowe, komunikacyjne i życiowe, zarówno dla klientów indywidualnych, jak i instytucjonalnych. Majątkowe towarzystwo UNIQA jest liderem w ubezpieczeniach majątku spółdzielni i wspólnot mieszkaniowych w Polsce. Ubezpiecza 50 proc. spółdzielni mieszkaniowych, 40 proc. wspólnot mieszkaniowych. Produkty UNIQA można kupić zarówno w ramach sieci wyłącznej, składającej się z 200 placówek, jak też w </w:t>
      </w:r>
      <w:proofErr w:type="spellStart"/>
      <w:r w:rsidRPr="00E93285">
        <w:rPr>
          <w:rFonts w:ascii="StoneSansPl" w:hAnsi="StoneSansPl" w:cs="Arial"/>
          <w:sz w:val="18"/>
          <w:szCs w:val="22"/>
        </w:rPr>
        <w:t>multiagencjach</w:t>
      </w:r>
      <w:proofErr w:type="spellEnd"/>
      <w:r w:rsidRPr="00E93285">
        <w:rPr>
          <w:rFonts w:ascii="StoneSansPl" w:hAnsi="StoneSansPl" w:cs="Arial"/>
          <w:sz w:val="18"/>
          <w:szCs w:val="22"/>
        </w:rPr>
        <w:t xml:space="preserve">, oraz u brokerów i dealerów samochodowych. W 2016, 2017 i 2018 roku UNIQA uzyskała tytuł Instytucji Roku nadany przez niezależny portal MojeBankowanie.pl. Pod koniec 2017 roku ubezpieczenie mienia za składką płatną miesięcznie, które dedykowane jest lokatorom spółdzielni i wspólnot mieszkaniowych, po raz trzeci uzyskało certyfikat „Dobra Polisa”. Inwestorem strategicznym spółek jest europejski holding ubezpieczeniowy o austriackich korzeniach - UNIQA </w:t>
      </w:r>
      <w:proofErr w:type="spellStart"/>
      <w:r w:rsidRPr="00E93285">
        <w:rPr>
          <w:rFonts w:ascii="StoneSansPl" w:hAnsi="StoneSansPl" w:cs="Arial"/>
          <w:sz w:val="18"/>
          <w:szCs w:val="22"/>
        </w:rPr>
        <w:t>Insurance</w:t>
      </w:r>
      <w:proofErr w:type="spellEnd"/>
      <w:r w:rsidRPr="00E93285">
        <w:rPr>
          <w:rFonts w:ascii="StoneSansPl" w:hAnsi="StoneSansPl" w:cs="Arial"/>
          <w:sz w:val="18"/>
          <w:szCs w:val="22"/>
        </w:rPr>
        <w:t xml:space="preserve"> </w:t>
      </w:r>
      <w:proofErr w:type="spellStart"/>
      <w:r w:rsidRPr="00E93285">
        <w:rPr>
          <w:rFonts w:ascii="StoneSansPl" w:hAnsi="StoneSansPl" w:cs="Arial"/>
          <w:sz w:val="18"/>
          <w:szCs w:val="22"/>
        </w:rPr>
        <w:t>Group</w:t>
      </w:r>
      <w:proofErr w:type="spellEnd"/>
      <w:r w:rsidRPr="00E93285">
        <w:rPr>
          <w:rFonts w:ascii="StoneSansPl" w:hAnsi="StoneSansPl" w:cs="Arial"/>
          <w:sz w:val="18"/>
          <w:szCs w:val="22"/>
        </w:rPr>
        <w:t xml:space="preserve"> AG.</w:t>
      </w:r>
    </w:p>
    <w:p w14:paraId="068C27EE" w14:textId="77777777" w:rsidR="00E93285" w:rsidRPr="00E93285" w:rsidRDefault="00E93285" w:rsidP="00E93285">
      <w:pPr>
        <w:jc w:val="both"/>
        <w:rPr>
          <w:rFonts w:ascii="StoneSansPl" w:hAnsi="StoneSansPl" w:cs="Arial"/>
          <w:sz w:val="18"/>
          <w:szCs w:val="22"/>
        </w:rPr>
      </w:pPr>
    </w:p>
    <w:p w14:paraId="49E49BD1" w14:textId="77777777" w:rsidR="00E93285" w:rsidRPr="00E93285" w:rsidRDefault="00E93285" w:rsidP="00E93285">
      <w:pPr>
        <w:jc w:val="both"/>
        <w:rPr>
          <w:rFonts w:ascii="StoneSansPl" w:hAnsi="StoneSansPl" w:cs="Arial"/>
          <w:sz w:val="18"/>
          <w:szCs w:val="22"/>
        </w:rPr>
      </w:pPr>
      <w:r w:rsidRPr="00E93285">
        <w:rPr>
          <w:rFonts w:ascii="StoneSansPl" w:hAnsi="StoneSansPl" w:cs="Arial"/>
          <w:sz w:val="18"/>
          <w:szCs w:val="22"/>
        </w:rPr>
        <w:t>Więcej informacji: </w:t>
      </w:r>
      <w:hyperlink r:id="rId8" w:history="1">
        <w:r w:rsidRPr="00E93285">
          <w:rPr>
            <w:rFonts w:ascii="StoneSansPl" w:hAnsi="StoneSansPl" w:cs="Arial"/>
            <w:sz w:val="18"/>
            <w:szCs w:val="22"/>
          </w:rPr>
          <w:t>www.uniqa.pl</w:t>
        </w:r>
      </w:hyperlink>
    </w:p>
    <w:p w14:paraId="623A9044" w14:textId="77777777" w:rsidR="00E93285" w:rsidRPr="00E93285" w:rsidRDefault="00E93285" w:rsidP="00E93285">
      <w:pPr>
        <w:jc w:val="both"/>
        <w:rPr>
          <w:rFonts w:ascii="StoneSansPl" w:hAnsi="StoneSansPl" w:cs="Arial"/>
          <w:sz w:val="18"/>
          <w:szCs w:val="22"/>
        </w:rPr>
      </w:pPr>
    </w:p>
    <w:p w14:paraId="7BBD7DC1" w14:textId="77777777" w:rsidR="00E93285" w:rsidRPr="00E93285" w:rsidRDefault="00E93285" w:rsidP="00E93285">
      <w:pPr>
        <w:jc w:val="both"/>
        <w:rPr>
          <w:rFonts w:ascii="StoneSansPl" w:hAnsi="StoneSansPl" w:cs="Arial"/>
          <w:b/>
          <w:sz w:val="18"/>
          <w:szCs w:val="22"/>
        </w:rPr>
      </w:pPr>
      <w:r w:rsidRPr="00E93285">
        <w:rPr>
          <w:rFonts w:ascii="StoneSansPl" w:hAnsi="StoneSansPl" w:cs="Arial"/>
          <w:b/>
          <w:sz w:val="18"/>
          <w:szCs w:val="22"/>
        </w:rPr>
        <w:t>Grupa UNIQA</w:t>
      </w:r>
    </w:p>
    <w:p w14:paraId="2F8E5B63" w14:textId="77777777" w:rsidR="00E93285" w:rsidRDefault="00E93285" w:rsidP="00E93285">
      <w:pPr>
        <w:jc w:val="both"/>
        <w:rPr>
          <w:rFonts w:ascii="StoneSansPl" w:hAnsi="StoneSansPl" w:cs="Arial"/>
          <w:sz w:val="18"/>
          <w:szCs w:val="22"/>
        </w:rPr>
      </w:pPr>
      <w:r w:rsidRPr="00E93285">
        <w:rPr>
          <w:rFonts w:ascii="StoneSansPl" w:hAnsi="StoneSansPl" w:cs="Arial"/>
          <w:sz w:val="18"/>
          <w:szCs w:val="22"/>
        </w:rPr>
        <w:t>Grupa UNIQA należy do czołowych grup ubezpieczeniowych na rynkach w Austrii i Europie Środkowo-Wschodniej.  Około 20 tys. pracowników i partnerów wyłącznych obsługuje prawie 10 mln klientów. UNIQA jest drugą co do wielkości grupą ubezpieczeniową w Austrii, posiadającą ok. 21-proc. udział w rynku. W 2017 roku Grupa UNIQA zebrała 5,3 mld euro składki. Jest obecna w 15 krajach w regionie Europy Środkowo-Wschodniej: Albanii, Bośni i Hercegowinie, Bułgarii, Chorwacji, Czechach, na Węgrzech, w Kosowie, Macedonii, Czarnogórze, Polsce, Rumunii, Rosji, Serbii, Słowacji oraz na Ukrainie. Do Grupy UNIQA należą również spółki ubezpieczeniowe w Szwajcarii i Liechtensteinie.</w:t>
      </w:r>
    </w:p>
    <w:p w14:paraId="0354ABA0" w14:textId="77777777" w:rsidR="00E93285" w:rsidRPr="00E93285" w:rsidRDefault="00E93285" w:rsidP="00E93285">
      <w:pPr>
        <w:jc w:val="both"/>
        <w:rPr>
          <w:rFonts w:ascii="StoneSansPl" w:hAnsi="StoneSansPl" w:cs="Arial"/>
          <w:sz w:val="18"/>
          <w:szCs w:val="22"/>
        </w:rPr>
      </w:pPr>
    </w:p>
    <w:p w14:paraId="6248D79D" w14:textId="77777777" w:rsidR="00E93285" w:rsidRPr="00E93285" w:rsidRDefault="00E93285" w:rsidP="00E93285">
      <w:pPr>
        <w:jc w:val="both"/>
        <w:rPr>
          <w:rFonts w:ascii="StoneSansPl" w:hAnsi="StoneSansPl" w:cs="Arial"/>
          <w:sz w:val="18"/>
          <w:szCs w:val="22"/>
        </w:rPr>
      </w:pPr>
      <w:r w:rsidRPr="00E93285">
        <w:rPr>
          <w:rFonts w:ascii="StoneSansPl" w:hAnsi="StoneSansPl" w:cs="Arial"/>
          <w:sz w:val="18"/>
          <w:szCs w:val="22"/>
        </w:rPr>
        <w:t>Więcej informacji: </w:t>
      </w:r>
      <w:hyperlink r:id="rId9" w:history="1">
        <w:r w:rsidRPr="00E93285">
          <w:rPr>
            <w:rFonts w:ascii="StoneSansPl" w:hAnsi="StoneSansPl" w:cs="Arial"/>
            <w:sz w:val="18"/>
            <w:szCs w:val="22"/>
          </w:rPr>
          <w:t>www.uniqagroup.com</w:t>
        </w:r>
      </w:hyperlink>
    </w:p>
    <w:p w14:paraId="1F848E9C" w14:textId="77777777" w:rsidR="00E93285" w:rsidRPr="00E93285" w:rsidRDefault="00E93285" w:rsidP="00E93285">
      <w:pPr>
        <w:jc w:val="both"/>
        <w:rPr>
          <w:rFonts w:ascii="StoneSansPl" w:hAnsi="StoneSansPl" w:cs="Arial"/>
          <w:sz w:val="18"/>
          <w:szCs w:val="22"/>
        </w:rPr>
      </w:pPr>
    </w:p>
    <w:p w14:paraId="3B5FC8B8" w14:textId="77777777" w:rsidR="00E93285" w:rsidRDefault="00E93285" w:rsidP="00E93285">
      <w:pPr>
        <w:jc w:val="both"/>
        <w:rPr>
          <w:rFonts w:ascii="StoneSansPl" w:hAnsi="StoneSansPl" w:cs="Arial"/>
          <w:b/>
          <w:sz w:val="18"/>
          <w:szCs w:val="22"/>
        </w:rPr>
      </w:pPr>
    </w:p>
    <w:p w14:paraId="64A410B6" w14:textId="77777777" w:rsidR="00E93285" w:rsidRPr="00E93285" w:rsidRDefault="00E93285" w:rsidP="00E93285">
      <w:pPr>
        <w:spacing w:line="276" w:lineRule="auto"/>
        <w:jc w:val="both"/>
        <w:rPr>
          <w:rFonts w:ascii="StoneSansPl" w:hAnsi="StoneSansPl" w:cs="Arial"/>
          <w:b/>
          <w:sz w:val="18"/>
          <w:szCs w:val="22"/>
        </w:rPr>
      </w:pPr>
      <w:r w:rsidRPr="00E93285">
        <w:rPr>
          <w:rFonts w:ascii="StoneSansPl" w:hAnsi="StoneSansPl" w:cs="Arial"/>
          <w:b/>
          <w:sz w:val="18"/>
          <w:szCs w:val="22"/>
        </w:rPr>
        <w:t>KONTAKT DLA MEDIÓW:</w:t>
      </w:r>
    </w:p>
    <w:p w14:paraId="0521F61B" w14:textId="77777777" w:rsidR="00E93285" w:rsidRPr="00E93285" w:rsidRDefault="00E93285" w:rsidP="00E93285">
      <w:pPr>
        <w:spacing w:line="276" w:lineRule="auto"/>
        <w:jc w:val="both"/>
        <w:rPr>
          <w:rFonts w:ascii="StoneSansPl" w:hAnsi="StoneSansPl" w:cs="Arial"/>
          <w:sz w:val="18"/>
          <w:szCs w:val="22"/>
        </w:rPr>
      </w:pPr>
      <w:r w:rsidRPr="00E93285">
        <w:rPr>
          <w:rFonts w:ascii="StoneSansPl" w:hAnsi="StoneSansPl" w:cs="Arial"/>
          <w:sz w:val="18"/>
          <w:szCs w:val="22"/>
        </w:rPr>
        <w:t>Katarzyna Ostrowska</w:t>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br/>
        <w:t xml:space="preserve">rzeczniczka prasowa UNIQA </w:t>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p>
    <w:p w14:paraId="02EB1113" w14:textId="77777777" w:rsidR="00E93285" w:rsidRPr="00721F6A" w:rsidRDefault="00E93285" w:rsidP="00E93285">
      <w:pPr>
        <w:spacing w:line="276" w:lineRule="auto"/>
        <w:jc w:val="both"/>
        <w:rPr>
          <w:rFonts w:ascii="StoneSansPl" w:hAnsi="StoneSansPl" w:cs="Arial"/>
          <w:sz w:val="18"/>
          <w:szCs w:val="22"/>
          <w:lang w:val="de-AT"/>
        </w:rPr>
      </w:pPr>
      <w:r w:rsidRPr="00721F6A">
        <w:rPr>
          <w:rFonts w:ascii="StoneSansPl" w:hAnsi="StoneSansPl" w:cs="Arial"/>
          <w:sz w:val="18"/>
          <w:szCs w:val="22"/>
          <w:lang w:val="de-AT"/>
        </w:rPr>
        <w:t>tel. (+48) 697 770</w:t>
      </w:r>
      <w:r w:rsidRPr="00721F6A">
        <w:rPr>
          <w:rFonts w:ascii="StoneSansPl" w:hAnsi="StoneSansPl" w:cs="Arial" w:hint="eastAsia"/>
          <w:sz w:val="18"/>
          <w:szCs w:val="22"/>
          <w:lang w:val="de-AT"/>
        </w:rPr>
        <w:t> </w:t>
      </w:r>
      <w:r w:rsidRPr="00721F6A">
        <w:rPr>
          <w:rFonts w:ascii="StoneSansPl" w:hAnsi="StoneSansPl" w:cs="Arial"/>
          <w:sz w:val="18"/>
          <w:szCs w:val="22"/>
          <w:lang w:val="de-AT"/>
        </w:rPr>
        <w:t xml:space="preserve">498 </w:t>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t xml:space="preserve"> </w:t>
      </w:r>
    </w:p>
    <w:p w14:paraId="0EFAC046" w14:textId="77777777" w:rsidR="00E93285" w:rsidRPr="00721F6A" w:rsidRDefault="00E93285" w:rsidP="00E93285">
      <w:pPr>
        <w:spacing w:line="276" w:lineRule="auto"/>
        <w:jc w:val="both"/>
        <w:rPr>
          <w:rFonts w:ascii="StoneSansPl" w:hAnsi="StoneSansPl" w:cs="Arial"/>
          <w:sz w:val="18"/>
          <w:szCs w:val="22"/>
          <w:lang w:val="de-AT"/>
        </w:rPr>
      </w:pPr>
      <w:proofErr w:type="spellStart"/>
      <w:r w:rsidRPr="00721F6A">
        <w:rPr>
          <w:rFonts w:ascii="StoneSansPl" w:hAnsi="StoneSansPl" w:cs="Arial"/>
          <w:sz w:val="18"/>
          <w:szCs w:val="22"/>
          <w:lang w:val="de-AT"/>
        </w:rPr>
        <w:t>e-mail</w:t>
      </w:r>
      <w:proofErr w:type="spellEnd"/>
      <w:r w:rsidRPr="00721F6A">
        <w:rPr>
          <w:rFonts w:ascii="StoneSansPl" w:hAnsi="StoneSansPl" w:cs="Arial"/>
          <w:sz w:val="18"/>
          <w:szCs w:val="22"/>
          <w:lang w:val="de-AT"/>
        </w:rPr>
        <w:t xml:space="preserve">: </w:t>
      </w:r>
      <w:hyperlink r:id="rId10" w:history="1">
        <w:r w:rsidRPr="00721F6A">
          <w:rPr>
            <w:rFonts w:ascii="StoneSansPl" w:hAnsi="StoneSansPl" w:cs="Arial"/>
            <w:sz w:val="18"/>
            <w:szCs w:val="22"/>
            <w:lang w:val="de-AT"/>
          </w:rPr>
          <w:t>katarzyna.ostrowska@uniqa.pl</w:t>
        </w:r>
      </w:hyperlink>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r w:rsidRPr="00721F6A">
        <w:rPr>
          <w:rFonts w:ascii="StoneSansPl" w:hAnsi="StoneSansPl" w:cs="Arial"/>
          <w:sz w:val="18"/>
          <w:szCs w:val="22"/>
          <w:lang w:val="de-AT"/>
        </w:rPr>
        <w:tab/>
      </w:r>
    </w:p>
    <w:p w14:paraId="44AF0404" w14:textId="77777777" w:rsidR="00E93285" w:rsidRPr="00E93285" w:rsidRDefault="00E93285" w:rsidP="00E93285">
      <w:pPr>
        <w:spacing w:line="276" w:lineRule="auto"/>
        <w:jc w:val="both"/>
        <w:rPr>
          <w:rFonts w:ascii="StoneSansPl" w:hAnsi="StoneSansPl" w:cs="Arial"/>
          <w:sz w:val="18"/>
          <w:szCs w:val="22"/>
        </w:rPr>
      </w:pPr>
      <w:proofErr w:type="spellStart"/>
      <w:r w:rsidRPr="00E93285">
        <w:rPr>
          <w:rFonts w:ascii="StoneSansPl" w:hAnsi="StoneSansPl" w:cs="Arial"/>
          <w:sz w:val="18"/>
          <w:szCs w:val="22"/>
        </w:rPr>
        <w:t>tt</w:t>
      </w:r>
      <w:proofErr w:type="spellEnd"/>
      <w:r w:rsidRPr="00E93285">
        <w:rPr>
          <w:rFonts w:ascii="StoneSansPl" w:hAnsi="StoneSansPl" w:cs="Arial"/>
          <w:sz w:val="18"/>
          <w:szCs w:val="22"/>
        </w:rPr>
        <w:t>/</w:t>
      </w:r>
      <w:proofErr w:type="spellStart"/>
      <w:r w:rsidRPr="00E93285">
        <w:rPr>
          <w:rFonts w:ascii="StoneSansPl" w:hAnsi="StoneSansPl" w:cs="Arial"/>
          <w:sz w:val="18"/>
          <w:szCs w:val="22"/>
        </w:rPr>
        <w:t>instagram</w:t>
      </w:r>
      <w:proofErr w:type="spellEnd"/>
      <w:r w:rsidRPr="00E93285">
        <w:rPr>
          <w:rFonts w:ascii="StoneSansPl" w:hAnsi="StoneSansPl" w:cs="Arial"/>
          <w:sz w:val="18"/>
          <w:szCs w:val="22"/>
        </w:rPr>
        <w:t xml:space="preserve"> @</w:t>
      </w:r>
      <w:proofErr w:type="spellStart"/>
      <w:r w:rsidRPr="00E93285">
        <w:rPr>
          <w:rFonts w:ascii="StoneSansPl" w:hAnsi="StoneSansPl" w:cs="Arial"/>
          <w:sz w:val="18"/>
          <w:szCs w:val="22"/>
        </w:rPr>
        <w:t>uniqapolska</w:t>
      </w:r>
      <w:proofErr w:type="spellEnd"/>
      <w:r w:rsidRPr="00E93285">
        <w:rPr>
          <w:rFonts w:ascii="StoneSansPl" w:hAnsi="StoneSansPl" w:cs="Arial"/>
          <w:sz w:val="18"/>
          <w:szCs w:val="22"/>
        </w:rPr>
        <w:t xml:space="preserve"> </w:t>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r w:rsidRPr="00E93285">
        <w:rPr>
          <w:rFonts w:ascii="StoneSansPl" w:hAnsi="StoneSansPl" w:cs="Arial"/>
          <w:sz w:val="18"/>
          <w:szCs w:val="22"/>
        </w:rPr>
        <w:tab/>
      </w:r>
    </w:p>
    <w:sectPr w:rsidR="00E93285" w:rsidRPr="00E93285" w:rsidSect="003B0090">
      <w:headerReference w:type="default" r:id="rId11"/>
      <w:footerReference w:type="default" r:id="rId12"/>
      <w:pgSz w:w="11906" w:h="16838"/>
      <w:pgMar w:top="226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CF9F" w14:textId="77777777" w:rsidR="00C20023" w:rsidRDefault="00C20023">
      <w:r>
        <w:separator/>
      </w:r>
    </w:p>
  </w:endnote>
  <w:endnote w:type="continuationSeparator" w:id="0">
    <w:p w14:paraId="0186924C" w14:textId="77777777" w:rsidR="00C20023" w:rsidRDefault="00C2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oneSansPl">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7888D" w14:textId="77777777" w:rsidR="00640A15" w:rsidRDefault="00640A15" w:rsidP="007D5D2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28C5" w14:textId="77777777" w:rsidR="00C20023" w:rsidRDefault="00C20023">
      <w:r>
        <w:separator/>
      </w:r>
    </w:p>
  </w:footnote>
  <w:footnote w:type="continuationSeparator" w:id="0">
    <w:p w14:paraId="312A1F9B" w14:textId="77777777" w:rsidR="00C20023" w:rsidRDefault="00C2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F157" w14:textId="77777777" w:rsidR="00640A15" w:rsidRDefault="00640A15">
    <w:pPr>
      <w:pStyle w:val="Nagwek"/>
    </w:pPr>
    <w:r>
      <w:rPr>
        <w:noProof/>
      </w:rPr>
      <w:drawing>
        <wp:anchor distT="0" distB="0" distL="114300" distR="114300" simplePos="0" relativeHeight="251659264" behindDoc="1" locked="0" layoutInCell="1" allowOverlap="1" wp14:anchorId="4A802336" wp14:editId="30D3BBCA">
          <wp:simplePos x="0" y="0"/>
          <wp:positionH relativeFrom="column">
            <wp:posOffset>-739140</wp:posOffset>
          </wp:positionH>
          <wp:positionV relativeFrom="paragraph">
            <wp:posOffset>-449579</wp:posOffset>
          </wp:positionV>
          <wp:extent cx="7576185" cy="9563100"/>
          <wp:effectExtent l="0" t="0" r="5715" b="0"/>
          <wp:wrapNone/>
          <wp:docPr id="17" name="Obraz 17" descr="JA:Users:ja:Prace:UNIQA:Manual 2017:papier listowy 2017-maj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sers:ja:Prace:UNIQA:Manual 2017:papier listowy 2017-majate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1" b="8587"/>
                  <a:stretch/>
                </pic:blipFill>
                <pic:spPr bwMode="auto">
                  <a:xfrm>
                    <a:off x="0" y="0"/>
                    <a:ext cx="7576185"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C0C7A"/>
    <w:multiLevelType w:val="hybridMultilevel"/>
    <w:tmpl w:val="A6D4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0647F2"/>
    <w:multiLevelType w:val="multilevel"/>
    <w:tmpl w:val="861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54401"/>
    <w:multiLevelType w:val="hybridMultilevel"/>
    <w:tmpl w:val="27A40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3D7A2A"/>
    <w:multiLevelType w:val="hybridMultilevel"/>
    <w:tmpl w:val="0994D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E24309"/>
    <w:multiLevelType w:val="hybridMultilevel"/>
    <w:tmpl w:val="26DAE816"/>
    <w:lvl w:ilvl="0" w:tplc="A8568B9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502687"/>
    <w:multiLevelType w:val="hybridMultilevel"/>
    <w:tmpl w:val="72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74187E"/>
    <w:multiLevelType w:val="hybridMultilevel"/>
    <w:tmpl w:val="B1602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D454121"/>
    <w:multiLevelType w:val="hybridMultilevel"/>
    <w:tmpl w:val="8D98AB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2F3215"/>
    <w:multiLevelType w:val="singleLevel"/>
    <w:tmpl w:val="2FD678E2"/>
    <w:lvl w:ilvl="0">
      <w:start w:val="1"/>
      <w:numFmt w:val="lowerLetter"/>
      <w:lvlText w:val="%1)"/>
      <w:lvlJc w:val="left"/>
      <w:pPr>
        <w:tabs>
          <w:tab w:val="num" w:pos="375"/>
        </w:tabs>
        <w:ind w:left="375" w:hanging="375"/>
      </w:pPr>
      <w:rPr>
        <w:rFonts w:hint="default"/>
      </w:rPr>
    </w:lvl>
  </w:abstractNum>
  <w:abstractNum w:abstractNumId="10" w15:restartNumberingAfterBreak="0">
    <w:nsid w:val="501A28FA"/>
    <w:multiLevelType w:val="hybridMultilevel"/>
    <w:tmpl w:val="96C0E8EC"/>
    <w:lvl w:ilvl="0" w:tplc="3A786168">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0BD3857"/>
    <w:multiLevelType w:val="hybridMultilevel"/>
    <w:tmpl w:val="F474C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CE1187"/>
    <w:multiLevelType w:val="hybridMultilevel"/>
    <w:tmpl w:val="EF44B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984397"/>
    <w:multiLevelType w:val="multilevel"/>
    <w:tmpl w:val="91B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F385B"/>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5C920BEA"/>
    <w:multiLevelType w:val="multilevel"/>
    <w:tmpl w:val="9CF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F79CC"/>
    <w:multiLevelType w:val="hybridMultilevel"/>
    <w:tmpl w:val="C45467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7DC322D"/>
    <w:multiLevelType w:val="hybridMultilevel"/>
    <w:tmpl w:val="318041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DB1C1F"/>
    <w:multiLevelType w:val="multilevel"/>
    <w:tmpl w:val="31A86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3A5037"/>
    <w:multiLevelType w:val="hybridMultilevel"/>
    <w:tmpl w:val="1D2A43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8DD7F04"/>
    <w:multiLevelType w:val="hybridMultilevel"/>
    <w:tmpl w:val="294464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2"/>
  </w:num>
  <w:num w:numId="8">
    <w:abstractNumId w:val="0"/>
  </w:num>
  <w:num w:numId="9">
    <w:abstractNumId w:val="12"/>
  </w:num>
  <w:num w:numId="10">
    <w:abstractNumId w:val="18"/>
  </w:num>
  <w:num w:numId="11">
    <w:abstractNumId w:val="7"/>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7"/>
  </w:num>
  <w:num w:numId="17">
    <w:abstractNumId w:val="6"/>
  </w:num>
  <w:num w:numId="18">
    <w:abstractNumId w:val="19"/>
  </w:num>
  <w:num w:numId="19">
    <w:abstractNumId w:val="16"/>
  </w:num>
  <w:num w:numId="20">
    <w:abstractNumId w:val="15"/>
  </w:num>
  <w:num w:numId="21">
    <w:abstractNumId w:val="4"/>
  </w:num>
  <w:num w:numId="22">
    <w:abstractNumId w:val="20"/>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4C"/>
    <w:rsid w:val="00000B41"/>
    <w:rsid w:val="000010E0"/>
    <w:rsid w:val="000013C2"/>
    <w:rsid w:val="0000195C"/>
    <w:rsid w:val="00002D44"/>
    <w:rsid w:val="00006422"/>
    <w:rsid w:val="000108D0"/>
    <w:rsid w:val="00023B73"/>
    <w:rsid w:val="00030C27"/>
    <w:rsid w:val="00033100"/>
    <w:rsid w:val="00034112"/>
    <w:rsid w:val="00037B74"/>
    <w:rsid w:val="00037E0F"/>
    <w:rsid w:val="0005030E"/>
    <w:rsid w:val="00053B83"/>
    <w:rsid w:val="00062BFD"/>
    <w:rsid w:val="00066792"/>
    <w:rsid w:val="00070041"/>
    <w:rsid w:val="000800A3"/>
    <w:rsid w:val="00087722"/>
    <w:rsid w:val="000A19DA"/>
    <w:rsid w:val="000B0461"/>
    <w:rsid w:val="000B46FA"/>
    <w:rsid w:val="000C2E49"/>
    <w:rsid w:val="000C61C3"/>
    <w:rsid w:val="000D01BF"/>
    <w:rsid w:val="000E0D8B"/>
    <w:rsid w:val="000E584B"/>
    <w:rsid w:val="00105453"/>
    <w:rsid w:val="00124B15"/>
    <w:rsid w:val="00125D56"/>
    <w:rsid w:val="00130E87"/>
    <w:rsid w:val="0014192C"/>
    <w:rsid w:val="0014498B"/>
    <w:rsid w:val="00150A55"/>
    <w:rsid w:val="00150C3C"/>
    <w:rsid w:val="00154CBD"/>
    <w:rsid w:val="001574D9"/>
    <w:rsid w:val="0016070B"/>
    <w:rsid w:val="001615AA"/>
    <w:rsid w:val="001731EE"/>
    <w:rsid w:val="00173751"/>
    <w:rsid w:val="0017590E"/>
    <w:rsid w:val="00182B18"/>
    <w:rsid w:val="00185FC1"/>
    <w:rsid w:val="0019188F"/>
    <w:rsid w:val="00193BA0"/>
    <w:rsid w:val="00193CBE"/>
    <w:rsid w:val="00195C24"/>
    <w:rsid w:val="001A5401"/>
    <w:rsid w:val="001B5978"/>
    <w:rsid w:val="001C0C59"/>
    <w:rsid w:val="001C16EA"/>
    <w:rsid w:val="001C2F58"/>
    <w:rsid w:val="001E5FEF"/>
    <w:rsid w:val="001E7518"/>
    <w:rsid w:val="001F09A7"/>
    <w:rsid w:val="001F0F1E"/>
    <w:rsid w:val="001F6377"/>
    <w:rsid w:val="00201358"/>
    <w:rsid w:val="00207BBE"/>
    <w:rsid w:val="00220021"/>
    <w:rsid w:val="0022046F"/>
    <w:rsid w:val="0022526C"/>
    <w:rsid w:val="002253E2"/>
    <w:rsid w:val="002363CE"/>
    <w:rsid w:val="00250011"/>
    <w:rsid w:val="0025645E"/>
    <w:rsid w:val="00256D8F"/>
    <w:rsid w:val="00262198"/>
    <w:rsid w:val="0026366E"/>
    <w:rsid w:val="00263882"/>
    <w:rsid w:val="00266CB1"/>
    <w:rsid w:val="002752FB"/>
    <w:rsid w:val="00284AAB"/>
    <w:rsid w:val="0028527E"/>
    <w:rsid w:val="002875B8"/>
    <w:rsid w:val="0029266C"/>
    <w:rsid w:val="00296FE4"/>
    <w:rsid w:val="002A6DF9"/>
    <w:rsid w:val="002B2306"/>
    <w:rsid w:val="002B69EA"/>
    <w:rsid w:val="002B7D17"/>
    <w:rsid w:val="002C4244"/>
    <w:rsid w:val="002C6556"/>
    <w:rsid w:val="002D293F"/>
    <w:rsid w:val="002D3101"/>
    <w:rsid w:val="002D51E1"/>
    <w:rsid w:val="002D5F2A"/>
    <w:rsid w:val="002E0E65"/>
    <w:rsid w:val="002E1553"/>
    <w:rsid w:val="002F52C8"/>
    <w:rsid w:val="00301ABE"/>
    <w:rsid w:val="003068C0"/>
    <w:rsid w:val="0031486F"/>
    <w:rsid w:val="00314C63"/>
    <w:rsid w:val="0033065F"/>
    <w:rsid w:val="00331F0F"/>
    <w:rsid w:val="0033725B"/>
    <w:rsid w:val="00340F07"/>
    <w:rsid w:val="0034301D"/>
    <w:rsid w:val="00362289"/>
    <w:rsid w:val="0036668A"/>
    <w:rsid w:val="00374423"/>
    <w:rsid w:val="00374AF7"/>
    <w:rsid w:val="00380694"/>
    <w:rsid w:val="0038504D"/>
    <w:rsid w:val="0039150F"/>
    <w:rsid w:val="003935F7"/>
    <w:rsid w:val="003A1950"/>
    <w:rsid w:val="003A20AA"/>
    <w:rsid w:val="003B0090"/>
    <w:rsid w:val="003B1EA2"/>
    <w:rsid w:val="003B3FDE"/>
    <w:rsid w:val="003B64A0"/>
    <w:rsid w:val="003C7318"/>
    <w:rsid w:val="003D156B"/>
    <w:rsid w:val="003D1985"/>
    <w:rsid w:val="003D48AF"/>
    <w:rsid w:val="003D7410"/>
    <w:rsid w:val="003E158E"/>
    <w:rsid w:val="003E2593"/>
    <w:rsid w:val="003E4CCF"/>
    <w:rsid w:val="003E54F3"/>
    <w:rsid w:val="003F25E4"/>
    <w:rsid w:val="003F57CB"/>
    <w:rsid w:val="004071D8"/>
    <w:rsid w:val="0041039E"/>
    <w:rsid w:val="00410C7E"/>
    <w:rsid w:val="004153BB"/>
    <w:rsid w:val="00416099"/>
    <w:rsid w:val="00425C4E"/>
    <w:rsid w:val="0042724C"/>
    <w:rsid w:val="00431CE7"/>
    <w:rsid w:val="00433910"/>
    <w:rsid w:val="00440F98"/>
    <w:rsid w:val="004468EC"/>
    <w:rsid w:val="00446E85"/>
    <w:rsid w:val="00447D7B"/>
    <w:rsid w:val="004514DF"/>
    <w:rsid w:val="00455758"/>
    <w:rsid w:val="00460D4B"/>
    <w:rsid w:val="00463692"/>
    <w:rsid w:val="00464BC5"/>
    <w:rsid w:val="00467DBA"/>
    <w:rsid w:val="004717BA"/>
    <w:rsid w:val="004727D8"/>
    <w:rsid w:val="00473666"/>
    <w:rsid w:val="004738C0"/>
    <w:rsid w:val="00475F17"/>
    <w:rsid w:val="004820A1"/>
    <w:rsid w:val="004914AE"/>
    <w:rsid w:val="004A00EA"/>
    <w:rsid w:val="004B4A7A"/>
    <w:rsid w:val="004C0103"/>
    <w:rsid w:val="004C2D2F"/>
    <w:rsid w:val="004C7E39"/>
    <w:rsid w:val="004F1B45"/>
    <w:rsid w:val="004F39B2"/>
    <w:rsid w:val="004F4FD6"/>
    <w:rsid w:val="004F5755"/>
    <w:rsid w:val="00501EB0"/>
    <w:rsid w:val="0050784F"/>
    <w:rsid w:val="0051465A"/>
    <w:rsid w:val="00515467"/>
    <w:rsid w:val="00522082"/>
    <w:rsid w:val="0052265A"/>
    <w:rsid w:val="00523A74"/>
    <w:rsid w:val="00525219"/>
    <w:rsid w:val="005308F6"/>
    <w:rsid w:val="005400EE"/>
    <w:rsid w:val="00542AD9"/>
    <w:rsid w:val="00544C70"/>
    <w:rsid w:val="0055181B"/>
    <w:rsid w:val="00551B79"/>
    <w:rsid w:val="0055314D"/>
    <w:rsid w:val="005538A3"/>
    <w:rsid w:val="00555855"/>
    <w:rsid w:val="00557E0F"/>
    <w:rsid w:val="00562785"/>
    <w:rsid w:val="00563F13"/>
    <w:rsid w:val="005663A6"/>
    <w:rsid w:val="005701DC"/>
    <w:rsid w:val="00571DA1"/>
    <w:rsid w:val="005B0C0E"/>
    <w:rsid w:val="005B4D8C"/>
    <w:rsid w:val="005C62F8"/>
    <w:rsid w:val="005C671E"/>
    <w:rsid w:val="005D5E84"/>
    <w:rsid w:val="005F0D35"/>
    <w:rsid w:val="005F1BD6"/>
    <w:rsid w:val="005F22FE"/>
    <w:rsid w:val="005F40E5"/>
    <w:rsid w:val="005F6EE1"/>
    <w:rsid w:val="00601642"/>
    <w:rsid w:val="00604A77"/>
    <w:rsid w:val="006056FE"/>
    <w:rsid w:val="006124E4"/>
    <w:rsid w:val="00627289"/>
    <w:rsid w:val="00631782"/>
    <w:rsid w:val="006324D9"/>
    <w:rsid w:val="00640A15"/>
    <w:rsid w:val="0064214F"/>
    <w:rsid w:val="0064699A"/>
    <w:rsid w:val="00653D32"/>
    <w:rsid w:val="00656FAF"/>
    <w:rsid w:val="006608BE"/>
    <w:rsid w:val="00664D91"/>
    <w:rsid w:val="006713BA"/>
    <w:rsid w:val="00676129"/>
    <w:rsid w:val="006779A6"/>
    <w:rsid w:val="00683D9D"/>
    <w:rsid w:val="006876FB"/>
    <w:rsid w:val="006A2EB6"/>
    <w:rsid w:val="006C0462"/>
    <w:rsid w:val="006D1E78"/>
    <w:rsid w:val="006D2241"/>
    <w:rsid w:val="006D35DA"/>
    <w:rsid w:val="006D7B3E"/>
    <w:rsid w:val="006E3121"/>
    <w:rsid w:val="006F26C9"/>
    <w:rsid w:val="006F540B"/>
    <w:rsid w:val="00701480"/>
    <w:rsid w:val="00701506"/>
    <w:rsid w:val="0070435E"/>
    <w:rsid w:val="00711E68"/>
    <w:rsid w:val="00714BA6"/>
    <w:rsid w:val="00721F6A"/>
    <w:rsid w:val="0073015C"/>
    <w:rsid w:val="00733DB3"/>
    <w:rsid w:val="00754398"/>
    <w:rsid w:val="0075634D"/>
    <w:rsid w:val="0075682B"/>
    <w:rsid w:val="00766FDD"/>
    <w:rsid w:val="00774FD6"/>
    <w:rsid w:val="00786F45"/>
    <w:rsid w:val="007920EC"/>
    <w:rsid w:val="007A08C6"/>
    <w:rsid w:val="007A30BC"/>
    <w:rsid w:val="007A5829"/>
    <w:rsid w:val="007A7B0A"/>
    <w:rsid w:val="007A7E58"/>
    <w:rsid w:val="007B7684"/>
    <w:rsid w:val="007C104D"/>
    <w:rsid w:val="007C3DCB"/>
    <w:rsid w:val="007D01B4"/>
    <w:rsid w:val="007D089F"/>
    <w:rsid w:val="007D3714"/>
    <w:rsid w:val="007D3BA6"/>
    <w:rsid w:val="007D5D22"/>
    <w:rsid w:val="007D6F9A"/>
    <w:rsid w:val="007E07C7"/>
    <w:rsid w:val="007E12A5"/>
    <w:rsid w:val="007E1BAE"/>
    <w:rsid w:val="007E5565"/>
    <w:rsid w:val="007F6EDC"/>
    <w:rsid w:val="00802F11"/>
    <w:rsid w:val="00803151"/>
    <w:rsid w:val="00804190"/>
    <w:rsid w:val="00806F0F"/>
    <w:rsid w:val="00824380"/>
    <w:rsid w:val="0084676F"/>
    <w:rsid w:val="00857A4C"/>
    <w:rsid w:val="00866DC1"/>
    <w:rsid w:val="00867679"/>
    <w:rsid w:val="00876BCC"/>
    <w:rsid w:val="00892061"/>
    <w:rsid w:val="00897FE6"/>
    <w:rsid w:val="008A0D3B"/>
    <w:rsid w:val="008A3CD2"/>
    <w:rsid w:val="008A7C43"/>
    <w:rsid w:val="008B424A"/>
    <w:rsid w:val="008C3E1A"/>
    <w:rsid w:val="008C62A4"/>
    <w:rsid w:val="008E3308"/>
    <w:rsid w:val="008F409C"/>
    <w:rsid w:val="008F5964"/>
    <w:rsid w:val="008F709F"/>
    <w:rsid w:val="00905E1E"/>
    <w:rsid w:val="0090716D"/>
    <w:rsid w:val="00921B59"/>
    <w:rsid w:val="00930B36"/>
    <w:rsid w:val="00933B67"/>
    <w:rsid w:val="00940297"/>
    <w:rsid w:val="009419D3"/>
    <w:rsid w:val="00941FB5"/>
    <w:rsid w:val="00941FBA"/>
    <w:rsid w:val="00944068"/>
    <w:rsid w:val="00952304"/>
    <w:rsid w:val="00952BC1"/>
    <w:rsid w:val="0095320A"/>
    <w:rsid w:val="00962144"/>
    <w:rsid w:val="00971665"/>
    <w:rsid w:val="009757E7"/>
    <w:rsid w:val="00980167"/>
    <w:rsid w:val="00980B68"/>
    <w:rsid w:val="00984299"/>
    <w:rsid w:val="009A6FB5"/>
    <w:rsid w:val="009B0360"/>
    <w:rsid w:val="009B3500"/>
    <w:rsid w:val="009C5E92"/>
    <w:rsid w:val="009C7739"/>
    <w:rsid w:val="009E1E25"/>
    <w:rsid w:val="009E4739"/>
    <w:rsid w:val="009F00DA"/>
    <w:rsid w:val="009F7EC7"/>
    <w:rsid w:val="00A00124"/>
    <w:rsid w:val="00A02347"/>
    <w:rsid w:val="00A039FF"/>
    <w:rsid w:val="00A04A91"/>
    <w:rsid w:val="00A07A99"/>
    <w:rsid w:val="00A07BD1"/>
    <w:rsid w:val="00A204AB"/>
    <w:rsid w:val="00A362FD"/>
    <w:rsid w:val="00A43D48"/>
    <w:rsid w:val="00A476E4"/>
    <w:rsid w:val="00A525A8"/>
    <w:rsid w:val="00A7394E"/>
    <w:rsid w:val="00A742E2"/>
    <w:rsid w:val="00A754E0"/>
    <w:rsid w:val="00A82389"/>
    <w:rsid w:val="00A82861"/>
    <w:rsid w:val="00A9394D"/>
    <w:rsid w:val="00A946AB"/>
    <w:rsid w:val="00AC037A"/>
    <w:rsid w:val="00AE0300"/>
    <w:rsid w:val="00AF0D83"/>
    <w:rsid w:val="00AF605D"/>
    <w:rsid w:val="00AF7F0E"/>
    <w:rsid w:val="00B12770"/>
    <w:rsid w:val="00B16E25"/>
    <w:rsid w:val="00B34D65"/>
    <w:rsid w:val="00B36B8B"/>
    <w:rsid w:val="00B36FA4"/>
    <w:rsid w:val="00B42721"/>
    <w:rsid w:val="00B45F5D"/>
    <w:rsid w:val="00B56D6A"/>
    <w:rsid w:val="00B56F7F"/>
    <w:rsid w:val="00B62A9A"/>
    <w:rsid w:val="00B67757"/>
    <w:rsid w:val="00B825F8"/>
    <w:rsid w:val="00B849E0"/>
    <w:rsid w:val="00B93C2F"/>
    <w:rsid w:val="00B9742C"/>
    <w:rsid w:val="00BA4F1D"/>
    <w:rsid w:val="00BA76EE"/>
    <w:rsid w:val="00BC5660"/>
    <w:rsid w:val="00BC5A1D"/>
    <w:rsid w:val="00BC7680"/>
    <w:rsid w:val="00BE5CC7"/>
    <w:rsid w:val="00BF0292"/>
    <w:rsid w:val="00BF59E1"/>
    <w:rsid w:val="00BF7FAF"/>
    <w:rsid w:val="00C04408"/>
    <w:rsid w:val="00C0480F"/>
    <w:rsid w:val="00C20023"/>
    <w:rsid w:val="00C226AA"/>
    <w:rsid w:val="00C3652E"/>
    <w:rsid w:val="00C45998"/>
    <w:rsid w:val="00C51386"/>
    <w:rsid w:val="00C521CC"/>
    <w:rsid w:val="00C53AF4"/>
    <w:rsid w:val="00C56A77"/>
    <w:rsid w:val="00C62245"/>
    <w:rsid w:val="00C7315A"/>
    <w:rsid w:val="00C740CF"/>
    <w:rsid w:val="00C82E07"/>
    <w:rsid w:val="00C87B1F"/>
    <w:rsid w:val="00C9056E"/>
    <w:rsid w:val="00C90E91"/>
    <w:rsid w:val="00C9525B"/>
    <w:rsid w:val="00CA714F"/>
    <w:rsid w:val="00CB4355"/>
    <w:rsid w:val="00CB4681"/>
    <w:rsid w:val="00CB6BD0"/>
    <w:rsid w:val="00CC5316"/>
    <w:rsid w:val="00CD4855"/>
    <w:rsid w:val="00CE1C67"/>
    <w:rsid w:val="00CE3A0A"/>
    <w:rsid w:val="00CE4A70"/>
    <w:rsid w:val="00CE7100"/>
    <w:rsid w:val="00CF5EAE"/>
    <w:rsid w:val="00D12707"/>
    <w:rsid w:val="00D21412"/>
    <w:rsid w:val="00D26481"/>
    <w:rsid w:val="00D274FC"/>
    <w:rsid w:val="00D27EEF"/>
    <w:rsid w:val="00D34A98"/>
    <w:rsid w:val="00D44E13"/>
    <w:rsid w:val="00D51096"/>
    <w:rsid w:val="00D55522"/>
    <w:rsid w:val="00D61958"/>
    <w:rsid w:val="00D70805"/>
    <w:rsid w:val="00D70F18"/>
    <w:rsid w:val="00D715D4"/>
    <w:rsid w:val="00D75D23"/>
    <w:rsid w:val="00D8151A"/>
    <w:rsid w:val="00D90A66"/>
    <w:rsid w:val="00D93A01"/>
    <w:rsid w:val="00DA0014"/>
    <w:rsid w:val="00DA7172"/>
    <w:rsid w:val="00DB025D"/>
    <w:rsid w:val="00DB5C6D"/>
    <w:rsid w:val="00DD396B"/>
    <w:rsid w:val="00DD4389"/>
    <w:rsid w:val="00DE06B9"/>
    <w:rsid w:val="00DE2E79"/>
    <w:rsid w:val="00DE5750"/>
    <w:rsid w:val="00DE5969"/>
    <w:rsid w:val="00E01ADE"/>
    <w:rsid w:val="00E01CBE"/>
    <w:rsid w:val="00E040F9"/>
    <w:rsid w:val="00E11983"/>
    <w:rsid w:val="00E16CB0"/>
    <w:rsid w:val="00E21A35"/>
    <w:rsid w:val="00E24F6D"/>
    <w:rsid w:val="00E32446"/>
    <w:rsid w:val="00E416DE"/>
    <w:rsid w:val="00E446A8"/>
    <w:rsid w:val="00E56852"/>
    <w:rsid w:val="00E70FC2"/>
    <w:rsid w:val="00E72CA2"/>
    <w:rsid w:val="00E72E9A"/>
    <w:rsid w:val="00E776B8"/>
    <w:rsid w:val="00E834B2"/>
    <w:rsid w:val="00E86992"/>
    <w:rsid w:val="00E93285"/>
    <w:rsid w:val="00EA73C5"/>
    <w:rsid w:val="00EC2BB2"/>
    <w:rsid w:val="00EC33D8"/>
    <w:rsid w:val="00EE74DA"/>
    <w:rsid w:val="00EF12C0"/>
    <w:rsid w:val="00EF1EEC"/>
    <w:rsid w:val="00EF2605"/>
    <w:rsid w:val="00F029D9"/>
    <w:rsid w:val="00F04327"/>
    <w:rsid w:val="00F05DB9"/>
    <w:rsid w:val="00F07665"/>
    <w:rsid w:val="00F112DD"/>
    <w:rsid w:val="00F13FE7"/>
    <w:rsid w:val="00F206B1"/>
    <w:rsid w:val="00F233A2"/>
    <w:rsid w:val="00F262CD"/>
    <w:rsid w:val="00F27FEF"/>
    <w:rsid w:val="00F30EC0"/>
    <w:rsid w:val="00F30ECD"/>
    <w:rsid w:val="00F33C4A"/>
    <w:rsid w:val="00F3482D"/>
    <w:rsid w:val="00F35977"/>
    <w:rsid w:val="00F40951"/>
    <w:rsid w:val="00F41E71"/>
    <w:rsid w:val="00F43378"/>
    <w:rsid w:val="00F5068B"/>
    <w:rsid w:val="00F60240"/>
    <w:rsid w:val="00F81C0D"/>
    <w:rsid w:val="00F879B4"/>
    <w:rsid w:val="00FA1D84"/>
    <w:rsid w:val="00FA2083"/>
    <w:rsid w:val="00FA5EF5"/>
    <w:rsid w:val="00FC2A92"/>
    <w:rsid w:val="00FD3A37"/>
    <w:rsid w:val="00FF140B"/>
    <w:rsid w:val="00FF4A6B"/>
    <w:rsid w:val="00FF66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3E988"/>
  <w14:defaultImageDpi w14:val="300"/>
  <w15:docId w15:val="{59BFB598-6DED-4B28-98A0-2D492F2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855"/>
    <w:rPr>
      <w:rFonts w:ascii="Arial" w:hAnsi="Arial"/>
      <w:sz w:val="22"/>
      <w:szCs w:val="24"/>
      <w:lang w:val="pl-PL"/>
    </w:rPr>
  </w:style>
  <w:style w:type="paragraph" w:styleId="Nagwek1">
    <w:name w:val="heading 1"/>
    <w:basedOn w:val="Normalny"/>
    <w:next w:val="Normalny"/>
    <w:link w:val="Nagwek1Znak"/>
    <w:uiPriority w:val="9"/>
    <w:qFormat/>
    <w:rsid w:val="00704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F0292"/>
    <w:pPr>
      <w:spacing w:before="100" w:beforeAutospacing="1" w:after="100" w:afterAutospacing="1"/>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basedOn w:val="Normalny"/>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styleId="Tekstpodstawowy2">
    <w:name w:val="Body Text 2"/>
    <w:basedOn w:val="Normalny"/>
    <w:link w:val="Tekstpodstawowy2Znak"/>
    <w:uiPriority w:val="99"/>
    <w:unhideWhenUsed/>
    <w:rsid w:val="003E158E"/>
    <w:pPr>
      <w:spacing w:after="120" w:line="480" w:lineRule="auto"/>
    </w:pPr>
  </w:style>
  <w:style w:type="character" w:customStyle="1" w:styleId="Tekstpodstawowy2Znak">
    <w:name w:val="Tekst podstawowy 2 Znak"/>
    <w:basedOn w:val="Domylnaczcionkaakapitu"/>
    <w:link w:val="Tekstpodstawowy2"/>
    <w:uiPriority w:val="99"/>
    <w:rsid w:val="003E158E"/>
    <w:rPr>
      <w:rFonts w:ascii="Arial" w:hAnsi="Arial"/>
      <w:sz w:val="22"/>
      <w:szCs w:val="24"/>
      <w:lang w:val="pl-PL"/>
    </w:rPr>
  </w:style>
  <w:style w:type="character" w:styleId="Pogrubienie">
    <w:name w:val="Strong"/>
    <w:basedOn w:val="Domylnaczcionkaakapitu"/>
    <w:uiPriority w:val="22"/>
    <w:qFormat/>
    <w:rsid w:val="003E158E"/>
    <w:rPr>
      <w:b/>
      <w:bCs/>
    </w:rPr>
  </w:style>
  <w:style w:type="paragraph" w:styleId="Tekstprzypisukocowego">
    <w:name w:val="endnote text"/>
    <w:basedOn w:val="Normalny"/>
    <w:link w:val="TekstprzypisukocowegoZnak"/>
    <w:uiPriority w:val="99"/>
    <w:semiHidden/>
    <w:unhideWhenUsed/>
    <w:rsid w:val="007E07C7"/>
    <w:rPr>
      <w:sz w:val="20"/>
      <w:szCs w:val="20"/>
    </w:rPr>
  </w:style>
  <w:style w:type="character" w:customStyle="1" w:styleId="TekstprzypisukocowegoZnak">
    <w:name w:val="Tekst przypisu końcowego Znak"/>
    <w:basedOn w:val="Domylnaczcionkaakapitu"/>
    <w:link w:val="Tekstprzypisukocowego"/>
    <w:uiPriority w:val="99"/>
    <w:semiHidden/>
    <w:rsid w:val="007E07C7"/>
    <w:rPr>
      <w:rFonts w:ascii="Arial" w:hAnsi="Arial"/>
      <w:lang w:val="pl-PL"/>
    </w:rPr>
  </w:style>
  <w:style w:type="character" w:styleId="Odwoanieprzypisukocowego">
    <w:name w:val="endnote reference"/>
    <w:basedOn w:val="Domylnaczcionkaakapitu"/>
    <w:uiPriority w:val="99"/>
    <w:semiHidden/>
    <w:unhideWhenUsed/>
    <w:rsid w:val="007E07C7"/>
    <w:rPr>
      <w:vertAlign w:val="superscript"/>
    </w:rPr>
  </w:style>
  <w:style w:type="character" w:styleId="Uwydatnienie">
    <w:name w:val="Emphasis"/>
    <w:basedOn w:val="Domylnaczcionkaakapitu"/>
    <w:uiPriority w:val="20"/>
    <w:qFormat/>
    <w:rsid w:val="00195C24"/>
    <w:rPr>
      <w:i/>
      <w:iCs/>
    </w:rPr>
  </w:style>
  <w:style w:type="character" w:customStyle="1" w:styleId="apple-converted-space">
    <w:name w:val="apple-converted-space"/>
    <w:basedOn w:val="Domylnaczcionkaakapitu"/>
    <w:rsid w:val="00195C24"/>
  </w:style>
  <w:style w:type="character" w:styleId="Odwoaniedokomentarza">
    <w:name w:val="annotation reference"/>
    <w:basedOn w:val="Domylnaczcionkaakapitu"/>
    <w:uiPriority w:val="99"/>
    <w:semiHidden/>
    <w:unhideWhenUsed/>
    <w:rsid w:val="00CC5316"/>
    <w:rPr>
      <w:sz w:val="16"/>
      <w:szCs w:val="16"/>
    </w:rPr>
  </w:style>
  <w:style w:type="paragraph" w:styleId="Tekstkomentarza">
    <w:name w:val="annotation text"/>
    <w:basedOn w:val="Normalny"/>
    <w:link w:val="TekstkomentarzaZnak"/>
    <w:uiPriority w:val="99"/>
    <w:unhideWhenUsed/>
    <w:rsid w:val="00CC5316"/>
    <w:rPr>
      <w:sz w:val="20"/>
      <w:szCs w:val="20"/>
    </w:rPr>
  </w:style>
  <w:style w:type="character" w:customStyle="1" w:styleId="TekstkomentarzaZnak">
    <w:name w:val="Tekst komentarza Znak"/>
    <w:basedOn w:val="Domylnaczcionkaakapitu"/>
    <w:link w:val="Tekstkomentarza"/>
    <w:uiPriority w:val="99"/>
    <w:rsid w:val="00CC5316"/>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CC5316"/>
    <w:rPr>
      <w:b/>
      <w:bCs/>
    </w:rPr>
  </w:style>
  <w:style w:type="character" w:customStyle="1" w:styleId="TematkomentarzaZnak">
    <w:name w:val="Temat komentarza Znak"/>
    <w:basedOn w:val="TekstkomentarzaZnak"/>
    <w:link w:val="Tematkomentarza"/>
    <w:uiPriority w:val="99"/>
    <w:semiHidden/>
    <w:rsid w:val="00CC5316"/>
    <w:rPr>
      <w:rFonts w:ascii="Arial" w:hAnsi="Arial"/>
      <w:b/>
      <w:bCs/>
      <w:lang w:val="pl-PL"/>
    </w:rPr>
  </w:style>
  <w:style w:type="paragraph" w:styleId="Tekstdymka">
    <w:name w:val="Balloon Text"/>
    <w:basedOn w:val="Normalny"/>
    <w:link w:val="TekstdymkaZnak"/>
    <w:uiPriority w:val="99"/>
    <w:semiHidden/>
    <w:unhideWhenUsed/>
    <w:rsid w:val="00CC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16"/>
    <w:rPr>
      <w:rFonts w:ascii="Segoe UI" w:hAnsi="Segoe UI" w:cs="Segoe UI"/>
      <w:sz w:val="18"/>
      <w:szCs w:val="18"/>
      <w:lang w:val="pl-PL"/>
    </w:rPr>
  </w:style>
  <w:style w:type="paragraph" w:styleId="Listapunktowana">
    <w:name w:val="List Bullet"/>
    <w:basedOn w:val="Normalny"/>
    <w:uiPriority w:val="99"/>
    <w:unhideWhenUsed/>
    <w:rsid w:val="00AF7F0E"/>
    <w:pPr>
      <w:numPr>
        <w:numId w:val="8"/>
      </w:numPr>
      <w:contextualSpacing/>
    </w:pPr>
  </w:style>
  <w:style w:type="character" w:customStyle="1" w:styleId="Nagwek1Znak">
    <w:name w:val="Nagłówek 1 Znak"/>
    <w:basedOn w:val="Domylnaczcionkaakapitu"/>
    <w:link w:val="Nagwek1"/>
    <w:uiPriority w:val="9"/>
    <w:rsid w:val="0070435E"/>
    <w:rPr>
      <w:rFonts w:asciiTheme="majorHAnsi" w:eastAsiaTheme="majorEastAsia" w:hAnsiTheme="majorHAnsi" w:cstheme="majorBidi"/>
      <w:color w:val="365F91" w:themeColor="accent1" w:themeShade="BF"/>
      <w:sz w:val="32"/>
      <w:szCs w:val="32"/>
      <w:lang w:val="pl-PL"/>
    </w:rPr>
  </w:style>
  <w:style w:type="character" w:customStyle="1" w:styleId="Brak">
    <w:name w:val="Brak"/>
    <w:rsid w:val="00E93285"/>
  </w:style>
  <w:style w:type="character" w:customStyle="1" w:styleId="Hyperlink0">
    <w:name w:val="Hyperlink.0"/>
    <w:basedOn w:val="Brak"/>
    <w:rsid w:val="00E93285"/>
    <w:rPr>
      <w:sz w:val="20"/>
      <w:szCs w:val="20"/>
    </w:rPr>
  </w:style>
  <w:style w:type="character" w:customStyle="1" w:styleId="Hyperlink1">
    <w:name w:val="Hyperlink.1"/>
    <w:basedOn w:val="Brak"/>
    <w:rsid w:val="00E93285"/>
    <w:rPr>
      <w:rFonts w:ascii="Times New Roman" w:eastAsia="Times New Roman" w:hAnsi="Times New Roman" w:cs="Times New Roman" w:hint="default"/>
      <w:i/>
      <w:iCs/>
      <w:sz w:val="20"/>
      <w:szCs w:val="20"/>
    </w:rPr>
  </w:style>
  <w:style w:type="character" w:customStyle="1" w:styleId="cze">
    <w:name w:val="Łącze"/>
    <w:rsid w:val="00E93285"/>
    <w:rPr>
      <w:color w:val="0000FF"/>
      <w:u w:val="single" w:color="0000FF"/>
    </w:rPr>
  </w:style>
  <w:style w:type="character" w:customStyle="1" w:styleId="Hyperlink2">
    <w:name w:val="Hyperlink.2"/>
    <w:basedOn w:val="cze"/>
    <w:rsid w:val="00E93285"/>
    <w:rPr>
      <w:rFonts w:ascii="Times New Roman" w:eastAsia="Times New Roman" w:hAnsi="Times New Roman" w:cs="Times New Roman" w:hint="default"/>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306">
      <w:bodyDiv w:val="1"/>
      <w:marLeft w:val="0"/>
      <w:marRight w:val="0"/>
      <w:marTop w:val="0"/>
      <w:marBottom w:val="0"/>
      <w:divBdr>
        <w:top w:val="none" w:sz="0" w:space="0" w:color="auto"/>
        <w:left w:val="none" w:sz="0" w:space="0" w:color="auto"/>
        <w:bottom w:val="none" w:sz="0" w:space="0" w:color="auto"/>
        <w:right w:val="none" w:sz="0" w:space="0" w:color="auto"/>
      </w:divBdr>
    </w:div>
    <w:div w:id="25717635">
      <w:bodyDiv w:val="1"/>
      <w:marLeft w:val="0"/>
      <w:marRight w:val="0"/>
      <w:marTop w:val="0"/>
      <w:marBottom w:val="0"/>
      <w:divBdr>
        <w:top w:val="none" w:sz="0" w:space="0" w:color="auto"/>
        <w:left w:val="none" w:sz="0" w:space="0" w:color="auto"/>
        <w:bottom w:val="none" w:sz="0" w:space="0" w:color="auto"/>
        <w:right w:val="none" w:sz="0" w:space="0" w:color="auto"/>
      </w:divBdr>
    </w:div>
    <w:div w:id="126552384">
      <w:bodyDiv w:val="1"/>
      <w:marLeft w:val="0"/>
      <w:marRight w:val="0"/>
      <w:marTop w:val="0"/>
      <w:marBottom w:val="0"/>
      <w:divBdr>
        <w:top w:val="none" w:sz="0" w:space="0" w:color="auto"/>
        <w:left w:val="none" w:sz="0" w:space="0" w:color="auto"/>
        <w:bottom w:val="none" w:sz="0" w:space="0" w:color="auto"/>
        <w:right w:val="none" w:sz="0" w:space="0" w:color="auto"/>
      </w:divBdr>
    </w:div>
    <w:div w:id="151068104">
      <w:bodyDiv w:val="1"/>
      <w:marLeft w:val="0"/>
      <w:marRight w:val="0"/>
      <w:marTop w:val="0"/>
      <w:marBottom w:val="0"/>
      <w:divBdr>
        <w:top w:val="none" w:sz="0" w:space="0" w:color="auto"/>
        <w:left w:val="none" w:sz="0" w:space="0" w:color="auto"/>
        <w:bottom w:val="none" w:sz="0" w:space="0" w:color="auto"/>
        <w:right w:val="none" w:sz="0" w:space="0" w:color="auto"/>
      </w:divBdr>
    </w:div>
    <w:div w:id="255749243">
      <w:bodyDiv w:val="1"/>
      <w:marLeft w:val="0"/>
      <w:marRight w:val="0"/>
      <w:marTop w:val="0"/>
      <w:marBottom w:val="0"/>
      <w:divBdr>
        <w:top w:val="none" w:sz="0" w:space="0" w:color="auto"/>
        <w:left w:val="none" w:sz="0" w:space="0" w:color="auto"/>
        <w:bottom w:val="none" w:sz="0" w:space="0" w:color="auto"/>
        <w:right w:val="none" w:sz="0" w:space="0" w:color="auto"/>
      </w:divBdr>
    </w:div>
    <w:div w:id="260456939">
      <w:bodyDiv w:val="1"/>
      <w:marLeft w:val="0"/>
      <w:marRight w:val="0"/>
      <w:marTop w:val="0"/>
      <w:marBottom w:val="0"/>
      <w:divBdr>
        <w:top w:val="none" w:sz="0" w:space="0" w:color="auto"/>
        <w:left w:val="none" w:sz="0" w:space="0" w:color="auto"/>
        <w:bottom w:val="none" w:sz="0" w:space="0" w:color="auto"/>
        <w:right w:val="none" w:sz="0" w:space="0" w:color="auto"/>
      </w:divBdr>
    </w:div>
    <w:div w:id="280770909">
      <w:bodyDiv w:val="1"/>
      <w:marLeft w:val="0"/>
      <w:marRight w:val="0"/>
      <w:marTop w:val="0"/>
      <w:marBottom w:val="0"/>
      <w:divBdr>
        <w:top w:val="none" w:sz="0" w:space="0" w:color="auto"/>
        <w:left w:val="none" w:sz="0" w:space="0" w:color="auto"/>
        <w:bottom w:val="none" w:sz="0" w:space="0" w:color="auto"/>
        <w:right w:val="none" w:sz="0" w:space="0" w:color="auto"/>
      </w:divBdr>
    </w:div>
    <w:div w:id="297809068">
      <w:bodyDiv w:val="1"/>
      <w:marLeft w:val="0"/>
      <w:marRight w:val="0"/>
      <w:marTop w:val="0"/>
      <w:marBottom w:val="0"/>
      <w:divBdr>
        <w:top w:val="none" w:sz="0" w:space="0" w:color="auto"/>
        <w:left w:val="none" w:sz="0" w:space="0" w:color="auto"/>
        <w:bottom w:val="none" w:sz="0" w:space="0" w:color="auto"/>
        <w:right w:val="none" w:sz="0" w:space="0" w:color="auto"/>
      </w:divBdr>
    </w:div>
    <w:div w:id="36826095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471873315">
      <w:bodyDiv w:val="1"/>
      <w:marLeft w:val="0"/>
      <w:marRight w:val="0"/>
      <w:marTop w:val="0"/>
      <w:marBottom w:val="0"/>
      <w:divBdr>
        <w:top w:val="none" w:sz="0" w:space="0" w:color="auto"/>
        <w:left w:val="none" w:sz="0" w:space="0" w:color="auto"/>
        <w:bottom w:val="none" w:sz="0" w:space="0" w:color="auto"/>
        <w:right w:val="none" w:sz="0" w:space="0" w:color="auto"/>
      </w:divBdr>
    </w:div>
    <w:div w:id="612635206">
      <w:bodyDiv w:val="1"/>
      <w:marLeft w:val="0"/>
      <w:marRight w:val="0"/>
      <w:marTop w:val="0"/>
      <w:marBottom w:val="0"/>
      <w:divBdr>
        <w:top w:val="none" w:sz="0" w:space="0" w:color="auto"/>
        <w:left w:val="none" w:sz="0" w:space="0" w:color="auto"/>
        <w:bottom w:val="none" w:sz="0" w:space="0" w:color="auto"/>
        <w:right w:val="none" w:sz="0" w:space="0" w:color="auto"/>
      </w:divBdr>
    </w:div>
    <w:div w:id="623731296">
      <w:bodyDiv w:val="1"/>
      <w:marLeft w:val="0"/>
      <w:marRight w:val="0"/>
      <w:marTop w:val="0"/>
      <w:marBottom w:val="0"/>
      <w:divBdr>
        <w:top w:val="none" w:sz="0" w:space="0" w:color="auto"/>
        <w:left w:val="none" w:sz="0" w:space="0" w:color="auto"/>
        <w:bottom w:val="none" w:sz="0" w:space="0" w:color="auto"/>
        <w:right w:val="none" w:sz="0" w:space="0" w:color="auto"/>
      </w:divBdr>
    </w:div>
    <w:div w:id="630138067">
      <w:bodyDiv w:val="1"/>
      <w:marLeft w:val="0"/>
      <w:marRight w:val="0"/>
      <w:marTop w:val="0"/>
      <w:marBottom w:val="0"/>
      <w:divBdr>
        <w:top w:val="none" w:sz="0" w:space="0" w:color="auto"/>
        <w:left w:val="none" w:sz="0" w:space="0" w:color="auto"/>
        <w:bottom w:val="none" w:sz="0" w:space="0" w:color="auto"/>
        <w:right w:val="none" w:sz="0" w:space="0" w:color="auto"/>
      </w:divBdr>
    </w:div>
    <w:div w:id="653141193">
      <w:bodyDiv w:val="1"/>
      <w:marLeft w:val="0"/>
      <w:marRight w:val="0"/>
      <w:marTop w:val="0"/>
      <w:marBottom w:val="0"/>
      <w:divBdr>
        <w:top w:val="none" w:sz="0" w:space="0" w:color="auto"/>
        <w:left w:val="none" w:sz="0" w:space="0" w:color="auto"/>
        <w:bottom w:val="none" w:sz="0" w:space="0" w:color="auto"/>
        <w:right w:val="none" w:sz="0" w:space="0" w:color="auto"/>
      </w:divBdr>
    </w:div>
    <w:div w:id="657880232">
      <w:bodyDiv w:val="1"/>
      <w:marLeft w:val="0"/>
      <w:marRight w:val="0"/>
      <w:marTop w:val="0"/>
      <w:marBottom w:val="0"/>
      <w:divBdr>
        <w:top w:val="none" w:sz="0" w:space="0" w:color="auto"/>
        <w:left w:val="none" w:sz="0" w:space="0" w:color="auto"/>
        <w:bottom w:val="none" w:sz="0" w:space="0" w:color="auto"/>
        <w:right w:val="none" w:sz="0" w:space="0" w:color="auto"/>
      </w:divBdr>
    </w:div>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687559181">
      <w:bodyDiv w:val="1"/>
      <w:marLeft w:val="0"/>
      <w:marRight w:val="0"/>
      <w:marTop w:val="0"/>
      <w:marBottom w:val="0"/>
      <w:divBdr>
        <w:top w:val="none" w:sz="0" w:space="0" w:color="auto"/>
        <w:left w:val="none" w:sz="0" w:space="0" w:color="auto"/>
        <w:bottom w:val="none" w:sz="0" w:space="0" w:color="auto"/>
        <w:right w:val="none" w:sz="0" w:space="0" w:color="auto"/>
      </w:divBdr>
    </w:div>
    <w:div w:id="807019014">
      <w:bodyDiv w:val="1"/>
      <w:marLeft w:val="0"/>
      <w:marRight w:val="0"/>
      <w:marTop w:val="0"/>
      <w:marBottom w:val="0"/>
      <w:divBdr>
        <w:top w:val="none" w:sz="0" w:space="0" w:color="auto"/>
        <w:left w:val="none" w:sz="0" w:space="0" w:color="auto"/>
        <w:bottom w:val="none" w:sz="0" w:space="0" w:color="auto"/>
        <w:right w:val="none" w:sz="0" w:space="0" w:color="auto"/>
      </w:divBdr>
    </w:div>
    <w:div w:id="820579817">
      <w:bodyDiv w:val="1"/>
      <w:marLeft w:val="0"/>
      <w:marRight w:val="0"/>
      <w:marTop w:val="0"/>
      <w:marBottom w:val="0"/>
      <w:divBdr>
        <w:top w:val="none" w:sz="0" w:space="0" w:color="auto"/>
        <w:left w:val="none" w:sz="0" w:space="0" w:color="auto"/>
        <w:bottom w:val="none" w:sz="0" w:space="0" w:color="auto"/>
        <w:right w:val="none" w:sz="0" w:space="0" w:color="auto"/>
      </w:divBdr>
    </w:div>
    <w:div w:id="826703080">
      <w:bodyDiv w:val="1"/>
      <w:marLeft w:val="0"/>
      <w:marRight w:val="0"/>
      <w:marTop w:val="0"/>
      <w:marBottom w:val="0"/>
      <w:divBdr>
        <w:top w:val="none" w:sz="0" w:space="0" w:color="auto"/>
        <w:left w:val="none" w:sz="0" w:space="0" w:color="auto"/>
        <w:bottom w:val="none" w:sz="0" w:space="0" w:color="auto"/>
        <w:right w:val="none" w:sz="0" w:space="0" w:color="auto"/>
      </w:divBdr>
    </w:div>
    <w:div w:id="827283147">
      <w:bodyDiv w:val="1"/>
      <w:marLeft w:val="0"/>
      <w:marRight w:val="0"/>
      <w:marTop w:val="0"/>
      <w:marBottom w:val="0"/>
      <w:divBdr>
        <w:top w:val="none" w:sz="0" w:space="0" w:color="auto"/>
        <w:left w:val="none" w:sz="0" w:space="0" w:color="auto"/>
        <w:bottom w:val="none" w:sz="0" w:space="0" w:color="auto"/>
        <w:right w:val="none" w:sz="0" w:space="0" w:color="auto"/>
      </w:divBdr>
    </w:div>
    <w:div w:id="851066314">
      <w:bodyDiv w:val="1"/>
      <w:marLeft w:val="0"/>
      <w:marRight w:val="0"/>
      <w:marTop w:val="0"/>
      <w:marBottom w:val="0"/>
      <w:divBdr>
        <w:top w:val="none" w:sz="0" w:space="0" w:color="auto"/>
        <w:left w:val="none" w:sz="0" w:space="0" w:color="auto"/>
        <w:bottom w:val="none" w:sz="0" w:space="0" w:color="auto"/>
        <w:right w:val="none" w:sz="0" w:space="0" w:color="auto"/>
      </w:divBdr>
    </w:div>
    <w:div w:id="875846447">
      <w:bodyDiv w:val="1"/>
      <w:marLeft w:val="0"/>
      <w:marRight w:val="0"/>
      <w:marTop w:val="0"/>
      <w:marBottom w:val="0"/>
      <w:divBdr>
        <w:top w:val="none" w:sz="0" w:space="0" w:color="auto"/>
        <w:left w:val="none" w:sz="0" w:space="0" w:color="auto"/>
        <w:bottom w:val="none" w:sz="0" w:space="0" w:color="auto"/>
        <w:right w:val="none" w:sz="0" w:space="0" w:color="auto"/>
      </w:divBdr>
    </w:div>
    <w:div w:id="884366674">
      <w:bodyDiv w:val="1"/>
      <w:marLeft w:val="0"/>
      <w:marRight w:val="0"/>
      <w:marTop w:val="0"/>
      <w:marBottom w:val="0"/>
      <w:divBdr>
        <w:top w:val="none" w:sz="0" w:space="0" w:color="auto"/>
        <w:left w:val="none" w:sz="0" w:space="0" w:color="auto"/>
        <w:bottom w:val="none" w:sz="0" w:space="0" w:color="auto"/>
        <w:right w:val="none" w:sz="0" w:space="0" w:color="auto"/>
      </w:divBdr>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1008826337">
      <w:bodyDiv w:val="1"/>
      <w:marLeft w:val="0"/>
      <w:marRight w:val="0"/>
      <w:marTop w:val="0"/>
      <w:marBottom w:val="0"/>
      <w:divBdr>
        <w:top w:val="none" w:sz="0" w:space="0" w:color="auto"/>
        <w:left w:val="none" w:sz="0" w:space="0" w:color="auto"/>
        <w:bottom w:val="none" w:sz="0" w:space="0" w:color="auto"/>
        <w:right w:val="none" w:sz="0" w:space="0" w:color="auto"/>
      </w:divBdr>
    </w:div>
    <w:div w:id="1020163367">
      <w:bodyDiv w:val="1"/>
      <w:marLeft w:val="0"/>
      <w:marRight w:val="0"/>
      <w:marTop w:val="0"/>
      <w:marBottom w:val="0"/>
      <w:divBdr>
        <w:top w:val="none" w:sz="0" w:space="0" w:color="auto"/>
        <w:left w:val="none" w:sz="0" w:space="0" w:color="auto"/>
        <w:bottom w:val="none" w:sz="0" w:space="0" w:color="auto"/>
        <w:right w:val="none" w:sz="0" w:space="0" w:color="auto"/>
      </w:divBdr>
    </w:div>
    <w:div w:id="1070082768">
      <w:bodyDiv w:val="1"/>
      <w:marLeft w:val="0"/>
      <w:marRight w:val="0"/>
      <w:marTop w:val="0"/>
      <w:marBottom w:val="0"/>
      <w:divBdr>
        <w:top w:val="none" w:sz="0" w:space="0" w:color="auto"/>
        <w:left w:val="none" w:sz="0" w:space="0" w:color="auto"/>
        <w:bottom w:val="none" w:sz="0" w:space="0" w:color="auto"/>
        <w:right w:val="none" w:sz="0" w:space="0" w:color="auto"/>
      </w:divBdr>
    </w:div>
    <w:div w:id="1168328285">
      <w:bodyDiv w:val="1"/>
      <w:marLeft w:val="0"/>
      <w:marRight w:val="0"/>
      <w:marTop w:val="0"/>
      <w:marBottom w:val="0"/>
      <w:divBdr>
        <w:top w:val="none" w:sz="0" w:space="0" w:color="auto"/>
        <w:left w:val="none" w:sz="0" w:space="0" w:color="auto"/>
        <w:bottom w:val="none" w:sz="0" w:space="0" w:color="auto"/>
        <w:right w:val="none" w:sz="0" w:space="0" w:color="auto"/>
      </w:divBdr>
    </w:div>
    <w:div w:id="1210335176">
      <w:bodyDiv w:val="1"/>
      <w:marLeft w:val="0"/>
      <w:marRight w:val="0"/>
      <w:marTop w:val="0"/>
      <w:marBottom w:val="0"/>
      <w:divBdr>
        <w:top w:val="none" w:sz="0" w:space="0" w:color="auto"/>
        <w:left w:val="none" w:sz="0" w:space="0" w:color="auto"/>
        <w:bottom w:val="none" w:sz="0" w:space="0" w:color="auto"/>
        <w:right w:val="none" w:sz="0" w:space="0" w:color="auto"/>
      </w:divBdr>
    </w:div>
    <w:div w:id="1288009635">
      <w:bodyDiv w:val="1"/>
      <w:marLeft w:val="0"/>
      <w:marRight w:val="0"/>
      <w:marTop w:val="0"/>
      <w:marBottom w:val="0"/>
      <w:divBdr>
        <w:top w:val="none" w:sz="0" w:space="0" w:color="auto"/>
        <w:left w:val="none" w:sz="0" w:space="0" w:color="auto"/>
        <w:bottom w:val="none" w:sz="0" w:space="0" w:color="auto"/>
        <w:right w:val="none" w:sz="0" w:space="0" w:color="auto"/>
      </w:divBdr>
    </w:div>
    <w:div w:id="1304970675">
      <w:bodyDiv w:val="1"/>
      <w:marLeft w:val="0"/>
      <w:marRight w:val="0"/>
      <w:marTop w:val="0"/>
      <w:marBottom w:val="0"/>
      <w:divBdr>
        <w:top w:val="none" w:sz="0" w:space="0" w:color="auto"/>
        <w:left w:val="none" w:sz="0" w:space="0" w:color="auto"/>
        <w:bottom w:val="none" w:sz="0" w:space="0" w:color="auto"/>
        <w:right w:val="none" w:sz="0" w:space="0" w:color="auto"/>
      </w:divBdr>
    </w:div>
    <w:div w:id="1313563615">
      <w:bodyDiv w:val="1"/>
      <w:marLeft w:val="0"/>
      <w:marRight w:val="0"/>
      <w:marTop w:val="0"/>
      <w:marBottom w:val="0"/>
      <w:divBdr>
        <w:top w:val="none" w:sz="0" w:space="0" w:color="auto"/>
        <w:left w:val="none" w:sz="0" w:space="0" w:color="auto"/>
        <w:bottom w:val="none" w:sz="0" w:space="0" w:color="auto"/>
        <w:right w:val="none" w:sz="0" w:space="0" w:color="auto"/>
      </w:divBdr>
    </w:div>
    <w:div w:id="1365181002">
      <w:bodyDiv w:val="1"/>
      <w:marLeft w:val="0"/>
      <w:marRight w:val="0"/>
      <w:marTop w:val="0"/>
      <w:marBottom w:val="0"/>
      <w:divBdr>
        <w:top w:val="none" w:sz="0" w:space="0" w:color="auto"/>
        <w:left w:val="none" w:sz="0" w:space="0" w:color="auto"/>
        <w:bottom w:val="none" w:sz="0" w:space="0" w:color="auto"/>
        <w:right w:val="none" w:sz="0" w:space="0" w:color="auto"/>
      </w:divBdr>
    </w:div>
    <w:div w:id="1367414192">
      <w:bodyDiv w:val="1"/>
      <w:marLeft w:val="0"/>
      <w:marRight w:val="0"/>
      <w:marTop w:val="0"/>
      <w:marBottom w:val="0"/>
      <w:divBdr>
        <w:top w:val="none" w:sz="0" w:space="0" w:color="auto"/>
        <w:left w:val="none" w:sz="0" w:space="0" w:color="auto"/>
        <w:bottom w:val="none" w:sz="0" w:space="0" w:color="auto"/>
        <w:right w:val="none" w:sz="0" w:space="0" w:color="auto"/>
      </w:divBdr>
    </w:div>
    <w:div w:id="1383213810">
      <w:bodyDiv w:val="1"/>
      <w:marLeft w:val="0"/>
      <w:marRight w:val="0"/>
      <w:marTop w:val="0"/>
      <w:marBottom w:val="0"/>
      <w:divBdr>
        <w:top w:val="none" w:sz="0" w:space="0" w:color="auto"/>
        <w:left w:val="none" w:sz="0" w:space="0" w:color="auto"/>
        <w:bottom w:val="none" w:sz="0" w:space="0" w:color="auto"/>
        <w:right w:val="none" w:sz="0" w:space="0" w:color="auto"/>
      </w:divBdr>
    </w:div>
    <w:div w:id="1389956166">
      <w:bodyDiv w:val="1"/>
      <w:marLeft w:val="0"/>
      <w:marRight w:val="0"/>
      <w:marTop w:val="0"/>
      <w:marBottom w:val="0"/>
      <w:divBdr>
        <w:top w:val="none" w:sz="0" w:space="0" w:color="auto"/>
        <w:left w:val="none" w:sz="0" w:space="0" w:color="auto"/>
        <w:bottom w:val="none" w:sz="0" w:space="0" w:color="auto"/>
        <w:right w:val="none" w:sz="0" w:space="0" w:color="auto"/>
      </w:divBdr>
    </w:div>
    <w:div w:id="1471434243">
      <w:bodyDiv w:val="1"/>
      <w:marLeft w:val="0"/>
      <w:marRight w:val="0"/>
      <w:marTop w:val="0"/>
      <w:marBottom w:val="0"/>
      <w:divBdr>
        <w:top w:val="none" w:sz="0" w:space="0" w:color="auto"/>
        <w:left w:val="none" w:sz="0" w:space="0" w:color="auto"/>
        <w:bottom w:val="none" w:sz="0" w:space="0" w:color="auto"/>
        <w:right w:val="none" w:sz="0" w:space="0" w:color="auto"/>
      </w:divBdr>
    </w:div>
    <w:div w:id="1513838019">
      <w:bodyDiv w:val="1"/>
      <w:marLeft w:val="0"/>
      <w:marRight w:val="0"/>
      <w:marTop w:val="0"/>
      <w:marBottom w:val="0"/>
      <w:divBdr>
        <w:top w:val="none" w:sz="0" w:space="0" w:color="auto"/>
        <w:left w:val="none" w:sz="0" w:space="0" w:color="auto"/>
        <w:bottom w:val="none" w:sz="0" w:space="0" w:color="auto"/>
        <w:right w:val="none" w:sz="0" w:space="0" w:color="auto"/>
      </w:divBdr>
    </w:div>
    <w:div w:id="1517184332">
      <w:bodyDiv w:val="1"/>
      <w:marLeft w:val="0"/>
      <w:marRight w:val="0"/>
      <w:marTop w:val="0"/>
      <w:marBottom w:val="0"/>
      <w:divBdr>
        <w:top w:val="none" w:sz="0" w:space="0" w:color="auto"/>
        <w:left w:val="none" w:sz="0" w:space="0" w:color="auto"/>
        <w:bottom w:val="none" w:sz="0" w:space="0" w:color="auto"/>
        <w:right w:val="none" w:sz="0" w:space="0" w:color="auto"/>
      </w:divBdr>
    </w:div>
    <w:div w:id="1547136876">
      <w:bodyDiv w:val="1"/>
      <w:marLeft w:val="0"/>
      <w:marRight w:val="0"/>
      <w:marTop w:val="0"/>
      <w:marBottom w:val="0"/>
      <w:divBdr>
        <w:top w:val="none" w:sz="0" w:space="0" w:color="auto"/>
        <w:left w:val="none" w:sz="0" w:space="0" w:color="auto"/>
        <w:bottom w:val="none" w:sz="0" w:space="0" w:color="auto"/>
        <w:right w:val="none" w:sz="0" w:space="0" w:color="auto"/>
      </w:divBdr>
    </w:div>
    <w:div w:id="167499402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779328191">
      <w:bodyDiv w:val="1"/>
      <w:marLeft w:val="0"/>
      <w:marRight w:val="0"/>
      <w:marTop w:val="0"/>
      <w:marBottom w:val="0"/>
      <w:divBdr>
        <w:top w:val="none" w:sz="0" w:space="0" w:color="auto"/>
        <w:left w:val="none" w:sz="0" w:space="0" w:color="auto"/>
        <w:bottom w:val="none" w:sz="0" w:space="0" w:color="auto"/>
        <w:right w:val="none" w:sz="0" w:space="0" w:color="auto"/>
      </w:divBdr>
    </w:div>
    <w:div w:id="1792817760">
      <w:bodyDiv w:val="1"/>
      <w:marLeft w:val="0"/>
      <w:marRight w:val="0"/>
      <w:marTop w:val="0"/>
      <w:marBottom w:val="0"/>
      <w:divBdr>
        <w:top w:val="none" w:sz="0" w:space="0" w:color="auto"/>
        <w:left w:val="none" w:sz="0" w:space="0" w:color="auto"/>
        <w:bottom w:val="none" w:sz="0" w:space="0" w:color="auto"/>
        <w:right w:val="none" w:sz="0" w:space="0" w:color="auto"/>
      </w:divBdr>
    </w:div>
    <w:div w:id="1794516329">
      <w:bodyDiv w:val="1"/>
      <w:marLeft w:val="0"/>
      <w:marRight w:val="0"/>
      <w:marTop w:val="0"/>
      <w:marBottom w:val="0"/>
      <w:divBdr>
        <w:top w:val="none" w:sz="0" w:space="0" w:color="auto"/>
        <w:left w:val="none" w:sz="0" w:space="0" w:color="auto"/>
        <w:bottom w:val="none" w:sz="0" w:space="0" w:color="auto"/>
        <w:right w:val="none" w:sz="0" w:space="0" w:color="auto"/>
      </w:divBdr>
    </w:div>
    <w:div w:id="1851022185">
      <w:bodyDiv w:val="1"/>
      <w:marLeft w:val="0"/>
      <w:marRight w:val="0"/>
      <w:marTop w:val="0"/>
      <w:marBottom w:val="0"/>
      <w:divBdr>
        <w:top w:val="none" w:sz="0" w:space="0" w:color="auto"/>
        <w:left w:val="none" w:sz="0" w:space="0" w:color="auto"/>
        <w:bottom w:val="none" w:sz="0" w:space="0" w:color="auto"/>
        <w:right w:val="none" w:sz="0" w:space="0" w:color="auto"/>
      </w:divBdr>
    </w:div>
    <w:div w:id="1957053523">
      <w:bodyDiv w:val="1"/>
      <w:marLeft w:val="0"/>
      <w:marRight w:val="0"/>
      <w:marTop w:val="0"/>
      <w:marBottom w:val="0"/>
      <w:divBdr>
        <w:top w:val="none" w:sz="0" w:space="0" w:color="auto"/>
        <w:left w:val="none" w:sz="0" w:space="0" w:color="auto"/>
        <w:bottom w:val="none" w:sz="0" w:space="0" w:color="auto"/>
        <w:right w:val="none" w:sz="0" w:space="0" w:color="auto"/>
      </w:divBdr>
    </w:div>
    <w:div w:id="1960837415">
      <w:bodyDiv w:val="1"/>
      <w:marLeft w:val="0"/>
      <w:marRight w:val="0"/>
      <w:marTop w:val="0"/>
      <w:marBottom w:val="0"/>
      <w:divBdr>
        <w:top w:val="none" w:sz="0" w:space="0" w:color="auto"/>
        <w:left w:val="none" w:sz="0" w:space="0" w:color="auto"/>
        <w:bottom w:val="none" w:sz="0" w:space="0" w:color="auto"/>
        <w:right w:val="none" w:sz="0" w:space="0" w:color="auto"/>
      </w:divBdr>
    </w:div>
    <w:div w:id="2007826916">
      <w:bodyDiv w:val="1"/>
      <w:marLeft w:val="0"/>
      <w:marRight w:val="0"/>
      <w:marTop w:val="0"/>
      <w:marBottom w:val="0"/>
      <w:divBdr>
        <w:top w:val="none" w:sz="0" w:space="0" w:color="auto"/>
        <w:left w:val="none" w:sz="0" w:space="0" w:color="auto"/>
        <w:bottom w:val="none" w:sz="0" w:space="0" w:color="auto"/>
        <w:right w:val="none" w:sz="0" w:space="0" w:color="auto"/>
      </w:divBdr>
    </w:div>
    <w:div w:id="205037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q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ostrowska@uniqa.pl" TargetMode="External"/><Relationship Id="rId4" Type="http://schemas.openxmlformats.org/officeDocument/2006/relationships/settings" Target="settings.xml"/><Relationship Id="rId9" Type="http://schemas.openxmlformats.org/officeDocument/2006/relationships/hyperlink" Target="http://www.uniqa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80DA-7CD8-48FD-B048-A1B7AA50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1133</Words>
  <Characters>6799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Jan Kowalski</vt:lpstr>
    </vt:vector>
  </TitlesOfParts>
  <Company>dom</Company>
  <LinksUpToDate>false</LinksUpToDate>
  <CharactersWithSpaces>7917</CharactersWithSpaces>
  <SharedDoc>false</SharedDoc>
  <HLinks>
    <vt:vector size="6" baseType="variant">
      <vt:variant>
        <vt:i4>6553615</vt:i4>
      </vt:variant>
      <vt:variant>
        <vt:i4>-1</vt:i4>
      </vt:variant>
      <vt:variant>
        <vt:i4>2056</vt:i4>
      </vt:variant>
      <vt:variant>
        <vt:i4>1</vt:i4>
      </vt:variant>
      <vt:variant>
        <vt:lpwstr>papier firmowy 2015 jasny zycie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dc:title>
  <dc:subject/>
  <dc:creator>Marcin</dc:creator>
  <cp:keywords/>
  <dc:description/>
  <cp:lastModifiedBy>Ostrowska Katarzyna - u00kost</cp:lastModifiedBy>
  <cp:revision>16</cp:revision>
  <cp:lastPrinted>2018-09-10T12:15:00Z</cp:lastPrinted>
  <dcterms:created xsi:type="dcterms:W3CDTF">2018-11-27T11:00:00Z</dcterms:created>
  <dcterms:modified xsi:type="dcterms:W3CDTF">2018-12-12T10:11:00Z</dcterms:modified>
</cp:coreProperties>
</file>