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456A" w14:textId="77777777" w:rsidR="003E158E" w:rsidRPr="00BA4F1D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BA4F1D">
        <w:rPr>
          <w:rFonts w:ascii="StoneSansPl" w:hAnsi="StoneSansPl" w:cs="Arial"/>
          <w:bCs/>
          <w:color w:val="000000"/>
          <w:szCs w:val="22"/>
        </w:rPr>
        <w:t>Informacja prasowa</w:t>
      </w:r>
    </w:p>
    <w:p w14:paraId="25F6A02B" w14:textId="2ABCA636" w:rsidR="003E158E" w:rsidRPr="00BA4F1D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  <w:r w:rsidRPr="00BA4F1D">
        <w:rPr>
          <w:rFonts w:ascii="StoneSansPl" w:hAnsi="StoneSansPl" w:cs="Arial"/>
          <w:bCs/>
          <w:color w:val="000000"/>
          <w:szCs w:val="22"/>
        </w:rPr>
        <w:t xml:space="preserve">  Warszawa, </w:t>
      </w:r>
      <w:r w:rsidR="00027F6C">
        <w:rPr>
          <w:rFonts w:ascii="StoneSansPl" w:hAnsi="StoneSansPl" w:cs="Arial"/>
          <w:bCs/>
          <w:color w:val="000000"/>
          <w:szCs w:val="22"/>
        </w:rPr>
        <w:t>3</w:t>
      </w:r>
      <w:r w:rsidR="00027F6C">
        <w:rPr>
          <w:rFonts w:ascii="StoneSansPl" w:hAnsi="StoneSansPl" w:cs="Arial"/>
          <w:bCs/>
          <w:color w:val="000000"/>
          <w:szCs w:val="22"/>
        </w:rPr>
        <w:t xml:space="preserve"> </w:t>
      </w:r>
      <w:r w:rsidR="009F13E6">
        <w:rPr>
          <w:rFonts w:ascii="StoneSansPl" w:hAnsi="StoneSansPl" w:cs="Arial"/>
          <w:bCs/>
          <w:color w:val="000000"/>
          <w:szCs w:val="22"/>
        </w:rPr>
        <w:t xml:space="preserve">stycznia </w:t>
      </w:r>
      <w:r w:rsidR="00475F17" w:rsidRPr="00BA4F1D">
        <w:rPr>
          <w:rFonts w:ascii="StoneSansPl" w:hAnsi="StoneSansPl" w:cs="Arial"/>
          <w:bCs/>
          <w:color w:val="000000"/>
          <w:szCs w:val="22"/>
        </w:rPr>
        <w:t>201</w:t>
      </w:r>
      <w:r w:rsidR="009F13E6">
        <w:rPr>
          <w:rFonts w:ascii="StoneSansPl" w:hAnsi="StoneSansPl" w:cs="Arial"/>
          <w:bCs/>
          <w:color w:val="000000"/>
          <w:szCs w:val="22"/>
        </w:rPr>
        <w:t>9</w:t>
      </w:r>
      <w:r w:rsidRPr="00BA4F1D">
        <w:rPr>
          <w:rFonts w:ascii="StoneSansPl" w:hAnsi="StoneSansPl" w:cs="Arial"/>
          <w:bCs/>
          <w:szCs w:val="22"/>
        </w:rPr>
        <w:t xml:space="preserve"> r.</w:t>
      </w:r>
    </w:p>
    <w:p w14:paraId="016B4EFE" w14:textId="77777777" w:rsidR="003E158E" w:rsidRPr="00BA4F1D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</w:p>
    <w:p w14:paraId="0CC210B0" w14:textId="77777777" w:rsidR="00416099" w:rsidRPr="00BA4F1D" w:rsidRDefault="00E93285" w:rsidP="0070435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>
        <w:rPr>
          <w:rFonts w:ascii="StoneSansPl" w:hAnsi="StoneSansPl" w:cs="Arial"/>
          <w:b/>
          <w:sz w:val="32"/>
          <w:szCs w:val="22"/>
        </w:rPr>
        <w:t xml:space="preserve"> </w:t>
      </w:r>
    </w:p>
    <w:p w14:paraId="0C06DC13" w14:textId="5D5E43CC" w:rsidR="006056FE" w:rsidRPr="00BA4F1D" w:rsidRDefault="005C7D39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>
        <w:rPr>
          <w:rFonts w:ascii="StoneSansPl" w:hAnsi="StoneSansPl" w:cs="Arial"/>
          <w:b/>
          <w:sz w:val="32"/>
          <w:szCs w:val="22"/>
        </w:rPr>
        <w:t xml:space="preserve">Radość Odkrywania w nowej odsłonie </w:t>
      </w:r>
    </w:p>
    <w:p w14:paraId="7E35835A" w14:textId="77777777" w:rsidR="007D01B4" w:rsidRPr="00BA4F1D" w:rsidRDefault="007D01B4" w:rsidP="001B339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65FD0FF6" w14:textId="77777777" w:rsidR="00416099" w:rsidRPr="00BA4F1D" w:rsidRDefault="00416099" w:rsidP="001B339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53E32C60" w14:textId="4D2A381D" w:rsidR="005C7D39" w:rsidRDefault="005C7D39" w:rsidP="00B87A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UNIQA Polska wprowadziła zmiany w ubezpieczeniu turystycznym Radość Odkrywania</w:t>
      </w:r>
    </w:p>
    <w:p w14:paraId="727F7B48" w14:textId="0CAD6347" w:rsidR="00474123" w:rsidRDefault="002D3A30" w:rsidP="00B87A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Do 1,5 mln zł w</w:t>
      </w:r>
      <w:r w:rsidR="005C7D39">
        <w:rPr>
          <w:rFonts w:ascii="StoneSansPl" w:hAnsi="StoneSansPl"/>
          <w:b/>
          <w:sz w:val="28"/>
          <w:szCs w:val="28"/>
        </w:rPr>
        <w:t xml:space="preserve">zrosły sumy </w:t>
      </w:r>
      <w:r w:rsidR="009F550F">
        <w:rPr>
          <w:rFonts w:ascii="StoneSansPl" w:hAnsi="StoneSansPl"/>
          <w:b/>
          <w:sz w:val="28"/>
          <w:szCs w:val="28"/>
        </w:rPr>
        <w:t>związane ze zwrotem</w:t>
      </w:r>
      <w:r w:rsidR="005C7D39">
        <w:rPr>
          <w:rFonts w:ascii="StoneSansPl" w:hAnsi="StoneSansPl"/>
          <w:b/>
          <w:sz w:val="28"/>
          <w:szCs w:val="28"/>
        </w:rPr>
        <w:t xml:space="preserve"> </w:t>
      </w:r>
      <w:r w:rsidR="009F550F">
        <w:rPr>
          <w:rFonts w:ascii="StoneSansPl" w:hAnsi="StoneSansPl"/>
          <w:b/>
          <w:sz w:val="28"/>
          <w:szCs w:val="28"/>
        </w:rPr>
        <w:t>kosztów leczenia</w:t>
      </w:r>
      <w:r>
        <w:rPr>
          <w:rFonts w:ascii="StoneSansPl" w:hAnsi="StoneSansPl"/>
          <w:b/>
          <w:sz w:val="28"/>
          <w:szCs w:val="28"/>
        </w:rPr>
        <w:t xml:space="preserve"> </w:t>
      </w:r>
    </w:p>
    <w:p w14:paraId="355EFB38" w14:textId="37251FA9" w:rsidR="0065589B" w:rsidRDefault="002D3A30" w:rsidP="005C7D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Do 72 godzin w</w:t>
      </w:r>
      <w:r w:rsidR="005C7D39">
        <w:rPr>
          <w:rFonts w:ascii="StoneSansPl" w:hAnsi="StoneSansPl"/>
          <w:b/>
          <w:sz w:val="28"/>
          <w:szCs w:val="28"/>
        </w:rPr>
        <w:t>ydłużyła się</w:t>
      </w:r>
      <w:r>
        <w:rPr>
          <w:rFonts w:ascii="StoneSansPl" w:hAnsi="StoneSansPl"/>
          <w:b/>
          <w:sz w:val="28"/>
          <w:szCs w:val="28"/>
        </w:rPr>
        <w:t xml:space="preserve"> </w:t>
      </w:r>
      <w:r w:rsidR="00460D15" w:rsidRPr="005C7D39">
        <w:rPr>
          <w:rFonts w:ascii="StoneSansPl" w:hAnsi="StoneSansPl"/>
          <w:b/>
          <w:sz w:val="28"/>
          <w:szCs w:val="28"/>
        </w:rPr>
        <w:t>ochron</w:t>
      </w:r>
      <w:r w:rsidR="00AC7B99">
        <w:rPr>
          <w:rFonts w:ascii="StoneSansPl" w:hAnsi="StoneSansPl"/>
          <w:b/>
          <w:sz w:val="28"/>
          <w:szCs w:val="28"/>
        </w:rPr>
        <w:t>a w </w:t>
      </w:r>
      <w:r w:rsidR="00DA3574">
        <w:rPr>
          <w:rFonts w:ascii="StoneSansPl" w:hAnsi="StoneSansPl"/>
          <w:b/>
          <w:sz w:val="28"/>
          <w:szCs w:val="28"/>
        </w:rPr>
        <w:t xml:space="preserve">nagłych </w:t>
      </w:r>
      <w:r w:rsidR="00AC7B99">
        <w:rPr>
          <w:rFonts w:ascii="StoneSansPl" w:hAnsi="StoneSansPl"/>
          <w:b/>
          <w:sz w:val="28"/>
          <w:szCs w:val="28"/>
        </w:rPr>
        <w:t xml:space="preserve">sytuacjach </w:t>
      </w:r>
    </w:p>
    <w:p w14:paraId="1DF48EFC" w14:textId="0F7F99C8" w:rsidR="009F550F" w:rsidRPr="009F550F" w:rsidRDefault="002D3A30" w:rsidP="009F550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D</w:t>
      </w:r>
      <w:r w:rsidR="00820DE6">
        <w:rPr>
          <w:rFonts w:ascii="StoneSansPl" w:hAnsi="StoneSansPl"/>
          <w:b/>
          <w:sz w:val="28"/>
          <w:szCs w:val="28"/>
        </w:rPr>
        <w:t>o</w:t>
      </w:r>
      <w:r>
        <w:rPr>
          <w:rFonts w:ascii="StoneSansPl" w:hAnsi="StoneSansPl"/>
          <w:b/>
          <w:sz w:val="28"/>
          <w:szCs w:val="28"/>
        </w:rPr>
        <w:t xml:space="preserve"> nawet 15 tys. euro </w:t>
      </w:r>
      <w:r w:rsidR="009530EE">
        <w:rPr>
          <w:rFonts w:ascii="StoneSansPl" w:hAnsi="StoneSansPl"/>
          <w:b/>
          <w:sz w:val="28"/>
          <w:szCs w:val="28"/>
        </w:rPr>
        <w:t>z</w:t>
      </w:r>
      <w:r w:rsidR="006758DC">
        <w:rPr>
          <w:rFonts w:ascii="StoneSansPl" w:hAnsi="StoneSansPl"/>
          <w:b/>
          <w:sz w:val="28"/>
          <w:szCs w:val="28"/>
        </w:rPr>
        <w:t>większyły się</w:t>
      </w:r>
      <w:r w:rsidR="006758DC" w:rsidRPr="009F550F">
        <w:rPr>
          <w:rFonts w:ascii="StoneSansPl" w:hAnsi="StoneSansPl"/>
          <w:b/>
          <w:sz w:val="28"/>
          <w:szCs w:val="28"/>
        </w:rPr>
        <w:t xml:space="preserve"> </w:t>
      </w:r>
      <w:r w:rsidR="009F550F" w:rsidRPr="009F550F">
        <w:rPr>
          <w:rFonts w:ascii="StoneSansPl" w:hAnsi="StoneSansPl"/>
          <w:b/>
          <w:sz w:val="28"/>
          <w:szCs w:val="28"/>
        </w:rPr>
        <w:t xml:space="preserve">limity </w:t>
      </w:r>
      <w:r w:rsidR="009F550F">
        <w:rPr>
          <w:rFonts w:ascii="StoneSansPl" w:hAnsi="StoneSansPl"/>
          <w:b/>
          <w:sz w:val="28"/>
          <w:szCs w:val="28"/>
        </w:rPr>
        <w:t>kosztów</w:t>
      </w:r>
      <w:r w:rsidR="00460D15" w:rsidRPr="009F550F">
        <w:rPr>
          <w:rFonts w:ascii="StoneSansPl" w:hAnsi="StoneSansPl"/>
          <w:b/>
          <w:sz w:val="28"/>
          <w:szCs w:val="28"/>
        </w:rPr>
        <w:t xml:space="preserve"> akcji ratowniczej </w:t>
      </w:r>
    </w:p>
    <w:p w14:paraId="560CC395" w14:textId="47B21A88" w:rsidR="0065589B" w:rsidRPr="009F550F" w:rsidRDefault="009F550F" w:rsidP="009F550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Zmianie uległ</w:t>
      </w:r>
      <w:r w:rsidR="002D3A30">
        <w:rPr>
          <w:rFonts w:ascii="StoneSansPl" w:hAnsi="StoneSansPl"/>
          <w:b/>
          <w:sz w:val="28"/>
          <w:szCs w:val="28"/>
        </w:rPr>
        <w:t xml:space="preserve"> także</w:t>
      </w:r>
      <w:r>
        <w:rPr>
          <w:rFonts w:ascii="StoneSansPl" w:hAnsi="StoneSansPl"/>
          <w:b/>
          <w:sz w:val="28"/>
          <w:szCs w:val="28"/>
        </w:rPr>
        <w:t xml:space="preserve"> zapis dotyczący</w:t>
      </w:r>
      <w:r w:rsidR="00460D15" w:rsidRPr="009F550F">
        <w:rPr>
          <w:rFonts w:ascii="StoneSansPl" w:hAnsi="StoneSansPl"/>
          <w:b/>
          <w:sz w:val="28"/>
          <w:szCs w:val="28"/>
        </w:rPr>
        <w:t xml:space="preserve"> zagrożenia terrorystycznego</w:t>
      </w:r>
      <w:r w:rsidR="006758DC">
        <w:rPr>
          <w:rFonts w:ascii="StoneSansPl" w:hAnsi="StoneSansPl"/>
          <w:b/>
          <w:sz w:val="28"/>
          <w:szCs w:val="28"/>
        </w:rPr>
        <w:t>.</w:t>
      </w:r>
    </w:p>
    <w:p w14:paraId="4610385A" w14:textId="77777777" w:rsidR="009F550F" w:rsidRPr="005C7D39" w:rsidRDefault="009F550F" w:rsidP="009F550F">
      <w:pPr>
        <w:pStyle w:val="Akapitzlist"/>
        <w:spacing w:line="276" w:lineRule="auto"/>
        <w:jc w:val="both"/>
        <w:rPr>
          <w:rFonts w:ascii="StoneSansPl" w:hAnsi="StoneSansPl"/>
          <w:b/>
          <w:sz w:val="28"/>
          <w:szCs w:val="28"/>
        </w:rPr>
      </w:pPr>
    </w:p>
    <w:p w14:paraId="1FA964FB" w14:textId="77777777" w:rsidR="00474123" w:rsidRPr="001C2F58" w:rsidRDefault="00474123" w:rsidP="00B87A8E">
      <w:pPr>
        <w:pStyle w:val="Akapitzlist"/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</w:p>
    <w:p w14:paraId="0C923A62" w14:textId="22413D96" w:rsidR="001F45A2" w:rsidRPr="00027F6C" w:rsidRDefault="00AC7B99" w:rsidP="00027F6C">
      <w:pPr>
        <w:spacing w:line="276" w:lineRule="auto"/>
        <w:contextualSpacing/>
        <w:jc w:val="both"/>
        <w:rPr>
          <w:rFonts w:ascii="StoneSansPl" w:hAnsi="StoneSansPl"/>
          <w:b/>
          <w:sz w:val="24"/>
        </w:rPr>
      </w:pPr>
      <w:r>
        <w:rPr>
          <w:rFonts w:ascii="StoneSansPl" w:hAnsi="StoneSansPl"/>
          <w:b/>
          <w:sz w:val="24"/>
        </w:rPr>
        <w:t xml:space="preserve">UNIQA Polska wprowadziła zmiany do ubezpieczenia turystycznego Radość Odkrywania. </w:t>
      </w:r>
      <w:r w:rsidR="00DA3574">
        <w:rPr>
          <w:rFonts w:ascii="StoneSansPl" w:hAnsi="StoneSansPl"/>
          <w:b/>
          <w:sz w:val="24"/>
        </w:rPr>
        <w:t xml:space="preserve">To szereg </w:t>
      </w:r>
      <w:r w:rsidR="002D3A30">
        <w:rPr>
          <w:rFonts w:ascii="StoneSansPl" w:hAnsi="StoneSansPl"/>
          <w:b/>
          <w:sz w:val="24"/>
        </w:rPr>
        <w:t>ulepszeń</w:t>
      </w:r>
      <w:r w:rsidR="00DA3574">
        <w:rPr>
          <w:rFonts w:ascii="StoneSansPl" w:hAnsi="StoneSansPl"/>
          <w:b/>
          <w:sz w:val="24"/>
        </w:rPr>
        <w:t xml:space="preserve">, które mają jeszcze bardziej uatrakcyjnić produkt dla podróżujących za granicę. </w:t>
      </w:r>
      <w:r w:rsidR="009F13E6">
        <w:rPr>
          <w:rFonts w:ascii="StoneSansPl" w:hAnsi="StoneSansPl"/>
          <w:b/>
          <w:sz w:val="24"/>
        </w:rPr>
        <w:t xml:space="preserve">Jedną ze zmian jest zwiększenie do 1,5 mln zł maksymalnej </w:t>
      </w:r>
      <w:r w:rsidR="00820DE6">
        <w:rPr>
          <w:rFonts w:ascii="StoneSansPl" w:hAnsi="StoneSansPl"/>
          <w:b/>
          <w:sz w:val="24"/>
        </w:rPr>
        <w:t xml:space="preserve">sumy </w:t>
      </w:r>
      <w:r w:rsidR="009F13E6">
        <w:rPr>
          <w:rFonts w:ascii="StoneSansPl" w:hAnsi="StoneSansPl"/>
          <w:b/>
          <w:sz w:val="24"/>
        </w:rPr>
        <w:t>ubezpieczenia kosztów leczenia.</w:t>
      </w:r>
    </w:p>
    <w:p w14:paraId="645AFD9A" w14:textId="375A87B8" w:rsidR="00924975" w:rsidRPr="002D3A30" w:rsidRDefault="00924975" w:rsidP="00027F6C">
      <w:pPr>
        <w:spacing w:line="276" w:lineRule="auto"/>
        <w:jc w:val="both"/>
        <w:rPr>
          <w:rFonts w:ascii="StoneSansPl" w:eastAsiaTheme="majorEastAsia" w:hAnsi="StoneSansPl" w:cstheme="majorBidi" w:hint="eastAsia"/>
        </w:rPr>
      </w:pPr>
    </w:p>
    <w:p w14:paraId="5ED9C9AE" w14:textId="551B9E1F" w:rsidR="00AC7B99" w:rsidRDefault="00924975" w:rsidP="00027F6C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 xml:space="preserve">W sezonie zimowym 2018/2019 wyjazd </w:t>
      </w:r>
      <w:r w:rsidRPr="00924975">
        <w:rPr>
          <w:rFonts w:ascii="StoneSansPl" w:hAnsi="StoneSansPl"/>
        </w:rPr>
        <w:t xml:space="preserve">turystyczny zadeklarowała ponad jedna czwarta Polaków w wieku </w:t>
      </w:r>
      <w:r w:rsidR="00B13F3F">
        <w:rPr>
          <w:rFonts w:ascii="StoneSansPl" w:hAnsi="StoneSansPl"/>
        </w:rPr>
        <w:t xml:space="preserve">od </w:t>
      </w:r>
      <w:r w:rsidRPr="00924975">
        <w:rPr>
          <w:rFonts w:ascii="StoneSansPl" w:hAnsi="StoneSansPl"/>
        </w:rPr>
        <w:t xml:space="preserve">15 </w:t>
      </w:r>
      <w:r w:rsidR="00B13F3F">
        <w:rPr>
          <w:rFonts w:ascii="StoneSansPl" w:hAnsi="StoneSansPl"/>
        </w:rPr>
        <w:t>r.ż.</w:t>
      </w:r>
      <w:r w:rsidRPr="00924975">
        <w:rPr>
          <w:rFonts w:ascii="StoneSansPl" w:hAnsi="StoneSansPl"/>
        </w:rPr>
        <w:t xml:space="preserve"> (28 proc.) - wynika z raportu Kantar Public dla Polskiej Organizacji Turystycznej</w:t>
      </w:r>
      <w:r>
        <w:rPr>
          <w:rFonts w:ascii="StoneSansPl" w:hAnsi="StoneSansPl"/>
        </w:rPr>
        <w:t>*</w:t>
      </w:r>
      <w:r w:rsidRPr="00924975">
        <w:rPr>
          <w:rFonts w:ascii="StoneSansPl" w:hAnsi="StoneSansPl"/>
        </w:rPr>
        <w:t>. W tej grupie 7 proc. zamierza wyjechać za granicę, kolejne 7 proc. planuje wyjazd zarówno w kraju</w:t>
      </w:r>
      <w:r>
        <w:rPr>
          <w:rFonts w:ascii="StoneSansPl" w:hAnsi="StoneSansPl"/>
        </w:rPr>
        <w:t>,</w:t>
      </w:r>
      <w:r w:rsidRPr="00924975">
        <w:rPr>
          <w:rFonts w:ascii="StoneSansPl" w:hAnsi="StoneSansPl"/>
        </w:rPr>
        <w:t xml:space="preserve"> jak i poza nasze granice. </w:t>
      </w:r>
      <w:r>
        <w:rPr>
          <w:rFonts w:ascii="StoneSansPl" w:hAnsi="StoneSansPl"/>
        </w:rPr>
        <w:t>Dla osób planujących wyjazd za granicę ważnym punktem powinien być wybór odpowiedniego u</w:t>
      </w:r>
      <w:r w:rsidR="00AC7B99" w:rsidRPr="00AC7B99">
        <w:rPr>
          <w:rFonts w:ascii="StoneSansPl" w:hAnsi="StoneSansPl"/>
        </w:rPr>
        <w:t>bezpieczeni</w:t>
      </w:r>
      <w:r>
        <w:rPr>
          <w:rFonts w:ascii="StoneSansPl" w:hAnsi="StoneSansPl"/>
        </w:rPr>
        <w:t>a</w:t>
      </w:r>
      <w:r w:rsidR="00AC7B99" w:rsidRPr="00AC7B99">
        <w:rPr>
          <w:rFonts w:ascii="StoneSansPl" w:hAnsi="StoneSansPl"/>
        </w:rPr>
        <w:t xml:space="preserve"> turystyczne</w:t>
      </w:r>
      <w:r>
        <w:rPr>
          <w:rFonts w:ascii="StoneSansPl" w:hAnsi="StoneSansPl"/>
        </w:rPr>
        <w:t>go i to bez względu na to</w:t>
      </w:r>
      <w:r w:rsidR="00B13F3F">
        <w:rPr>
          <w:rFonts w:ascii="StoneSansPl" w:hAnsi="StoneSansPl"/>
        </w:rPr>
        <w:t>,</w:t>
      </w:r>
      <w:r>
        <w:rPr>
          <w:rFonts w:ascii="StoneSansPl" w:hAnsi="StoneSansPl"/>
        </w:rPr>
        <w:t xml:space="preserve"> czy planują uprawianie zimowych sportów</w:t>
      </w:r>
      <w:r w:rsidR="00B13F3F">
        <w:rPr>
          <w:rFonts w:ascii="StoneSansPl" w:hAnsi="StoneSansPl"/>
        </w:rPr>
        <w:t>, czy nie</w:t>
      </w:r>
      <w:r w:rsidR="00DA3574">
        <w:rPr>
          <w:rFonts w:ascii="StoneSansPl" w:hAnsi="StoneSansPl"/>
        </w:rPr>
        <w:t>.</w:t>
      </w:r>
      <w:r w:rsidR="00AC7B99" w:rsidRPr="00AC7B99">
        <w:rPr>
          <w:rFonts w:ascii="StoneSansPl" w:hAnsi="StoneSansPl"/>
        </w:rPr>
        <w:t xml:space="preserve"> Należy wybrać taki</w:t>
      </w:r>
      <w:r w:rsidR="00B13F3F">
        <w:rPr>
          <w:rFonts w:ascii="StoneSansPl" w:hAnsi="StoneSansPl"/>
        </w:rPr>
        <w:t xml:space="preserve"> produkt</w:t>
      </w:r>
      <w:r w:rsidR="00AC7B99" w:rsidRPr="00AC7B99">
        <w:rPr>
          <w:rFonts w:ascii="StoneSansPl" w:hAnsi="StoneSansPl"/>
        </w:rPr>
        <w:t>, któr</w:t>
      </w:r>
      <w:r w:rsidR="00B13F3F">
        <w:rPr>
          <w:rFonts w:ascii="StoneSansPl" w:hAnsi="StoneSansPl"/>
        </w:rPr>
        <w:t>y</w:t>
      </w:r>
      <w:r w:rsidR="00AC7B99" w:rsidRPr="00AC7B99">
        <w:rPr>
          <w:rFonts w:ascii="StoneSansPl" w:hAnsi="StoneSansPl"/>
        </w:rPr>
        <w:t xml:space="preserve"> zapewni pełną ochronę w przypadku wystąpienia nagłych i niepożądanych sytuacji. </w:t>
      </w:r>
    </w:p>
    <w:p w14:paraId="3124ADDE" w14:textId="77777777" w:rsidR="00DA3574" w:rsidRDefault="00DA3574" w:rsidP="00027F6C">
      <w:pPr>
        <w:spacing w:line="276" w:lineRule="auto"/>
        <w:jc w:val="both"/>
        <w:rPr>
          <w:rFonts w:ascii="StoneSansPl" w:hAnsi="StoneSansPl"/>
        </w:rPr>
      </w:pPr>
    </w:p>
    <w:p w14:paraId="4D5CB8C3" w14:textId="207E54EC" w:rsidR="00DA3574" w:rsidRPr="00AC7B99" w:rsidRDefault="00DA3574" w:rsidP="00027F6C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 xml:space="preserve">- </w:t>
      </w:r>
      <w:r w:rsidR="00B13F3F" w:rsidRPr="00027F6C">
        <w:rPr>
          <w:rFonts w:ascii="StoneSansPl" w:hAnsi="StoneSansPl"/>
          <w:i/>
        </w:rPr>
        <w:t>Stale</w:t>
      </w:r>
      <w:r w:rsidR="00B13F3F">
        <w:rPr>
          <w:rFonts w:ascii="StoneSansPl" w:hAnsi="StoneSansPl"/>
        </w:rPr>
        <w:t xml:space="preserve"> p</w:t>
      </w:r>
      <w:r w:rsidRPr="00DA3574">
        <w:rPr>
          <w:rFonts w:ascii="StoneSansPl" w:hAnsi="StoneSansPl"/>
          <w:i/>
        </w:rPr>
        <w:t>oprawia</w:t>
      </w:r>
      <w:r w:rsidR="00B13F3F">
        <w:rPr>
          <w:rFonts w:ascii="StoneSansPl" w:hAnsi="StoneSansPl"/>
          <w:i/>
        </w:rPr>
        <w:t>my</w:t>
      </w:r>
      <w:r w:rsidRPr="00DA3574">
        <w:rPr>
          <w:rFonts w:ascii="StoneSansPl" w:hAnsi="StoneSansPl"/>
          <w:i/>
        </w:rPr>
        <w:t xml:space="preserve"> nasze ubezpieczenia</w:t>
      </w:r>
      <w:r w:rsidR="00B13F3F">
        <w:rPr>
          <w:rFonts w:ascii="StoneSansPl" w:hAnsi="StoneSansPl"/>
          <w:i/>
        </w:rPr>
        <w:t xml:space="preserve"> tak</w:t>
      </w:r>
      <w:r w:rsidR="00A46148">
        <w:rPr>
          <w:rFonts w:ascii="StoneSansPl" w:hAnsi="StoneSansPl"/>
          <w:i/>
        </w:rPr>
        <w:t>,</w:t>
      </w:r>
      <w:r w:rsidRPr="00DA3574">
        <w:rPr>
          <w:rFonts w:ascii="StoneSansPl" w:hAnsi="StoneSansPl"/>
          <w:i/>
        </w:rPr>
        <w:t xml:space="preserve"> by odpowiadały na rosnące oczekiwania klientów</w:t>
      </w:r>
      <w:r w:rsidR="009F550F">
        <w:rPr>
          <w:rFonts w:ascii="StoneSansPl" w:hAnsi="StoneSansPl"/>
          <w:i/>
        </w:rPr>
        <w:t xml:space="preserve"> i </w:t>
      </w:r>
      <w:r w:rsidR="00AC2AED">
        <w:rPr>
          <w:rFonts w:ascii="StoneSansPl" w:hAnsi="StoneSansPl"/>
          <w:i/>
        </w:rPr>
        <w:t>podążały za</w:t>
      </w:r>
      <w:r w:rsidR="00A46148">
        <w:rPr>
          <w:rFonts w:ascii="StoneSansPl" w:hAnsi="StoneSansPl"/>
          <w:i/>
        </w:rPr>
        <w:t xml:space="preserve"> </w:t>
      </w:r>
      <w:r w:rsidR="009F550F">
        <w:rPr>
          <w:rFonts w:ascii="StoneSansPl" w:hAnsi="StoneSansPl"/>
          <w:i/>
        </w:rPr>
        <w:t>trend</w:t>
      </w:r>
      <w:r w:rsidR="00AC2AED">
        <w:rPr>
          <w:rFonts w:ascii="StoneSansPl" w:hAnsi="StoneSansPl"/>
          <w:i/>
        </w:rPr>
        <w:t>ami</w:t>
      </w:r>
      <w:r w:rsidR="009F550F">
        <w:rPr>
          <w:rFonts w:ascii="StoneSansPl" w:hAnsi="StoneSansPl"/>
          <w:i/>
        </w:rPr>
        <w:t xml:space="preserve"> rynkow</w:t>
      </w:r>
      <w:r w:rsidR="00AC2AED">
        <w:rPr>
          <w:rFonts w:ascii="StoneSansPl" w:hAnsi="StoneSansPl"/>
          <w:i/>
        </w:rPr>
        <w:t>ymi</w:t>
      </w:r>
      <w:r w:rsidRPr="00DA3574">
        <w:rPr>
          <w:rFonts w:ascii="StoneSansPl" w:hAnsi="StoneSansPl"/>
          <w:i/>
        </w:rPr>
        <w:t xml:space="preserve">. </w:t>
      </w:r>
      <w:r w:rsidR="002D3A30">
        <w:rPr>
          <w:rFonts w:ascii="StoneSansPl" w:hAnsi="StoneSansPl"/>
          <w:i/>
        </w:rPr>
        <w:t>Taki był cel zmian w ubezpieczeniu</w:t>
      </w:r>
      <w:r w:rsidRPr="00DA3574">
        <w:rPr>
          <w:rFonts w:ascii="StoneSansPl" w:hAnsi="StoneSansPl"/>
          <w:i/>
        </w:rPr>
        <w:t xml:space="preserve"> Radoś</w:t>
      </w:r>
      <w:r w:rsidR="002D3A30">
        <w:rPr>
          <w:rFonts w:ascii="StoneSansPl" w:hAnsi="StoneSansPl"/>
          <w:i/>
        </w:rPr>
        <w:t>ć</w:t>
      </w:r>
      <w:r w:rsidRPr="00DA3574">
        <w:rPr>
          <w:rFonts w:ascii="StoneSansPl" w:hAnsi="StoneSansPl"/>
          <w:i/>
        </w:rPr>
        <w:t xml:space="preserve"> Odkrywania</w:t>
      </w:r>
      <w:r w:rsidR="002D3A30">
        <w:rPr>
          <w:rFonts w:ascii="StoneSansPl" w:hAnsi="StoneSansPl"/>
          <w:i/>
        </w:rPr>
        <w:t xml:space="preserve"> </w:t>
      </w:r>
      <w:r>
        <w:rPr>
          <w:rFonts w:ascii="StoneSansPl" w:hAnsi="StoneSansPl"/>
        </w:rPr>
        <w:t xml:space="preserve"> – mówi </w:t>
      </w:r>
      <w:r w:rsidRPr="00DA3574">
        <w:rPr>
          <w:rFonts w:ascii="StoneSansPl" w:hAnsi="StoneSansPl"/>
          <w:b/>
        </w:rPr>
        <w:t>Katarzyna Ruman</w:t>
      </w:r>
      <w:r>
        <w:rPr>
          <w:rFonts w:ascii="StoneSansPl" w:hAnsi="StoneSansPl"/>
        </w:rPr>
        <w:t xml:space="preserve">, dyrektor Departamentu Rozwoju Produktów UNIQA. </w:t>
      </w:r>
    </w:p>
    <w:p w14:paraId="6FF44A74" w14:textId="77777777" w:rsidR="00AC7B99" w:rsidRDefault="00AC7B99" w:rsidP="00027F6C">
      <w:pPr>
        <w:spacing w:line="276" w:lineRule="auto"/>
        <w:jc w:val="both"/>
        <w:rPr>
          <w:rFonts w:ascii="StoneSansPl" w:hAnsi="StoneSansPl"/>
        </w:rPr>
      </w:pPr>
    </w:p>
    <w:p w14:paraId="5CF64013" w14:textId="1AD37E65" w:rsidR="00DA3574" w:rsidRDefault="00DA3574" w:rsidP="00027F6C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>Co zmieni</w:t>
      </w:r>
      <w:r w:rsidR="009F13E6">
        <w:rPr>
          <w:rFonts w:ascii="StoneSansPl" w:hAnsi="StoneSansPl"/>
        </w:rPr>
        <w:t>liśmy</w:t>
      </w:r>
      <w:r>
        <w:rPr>
          <w:rFonts w:ascii="StoneSansPl" w:hAnsi="StoneSansPl"/>
        </w:rPr>
        <w:t xml:space="preserve"> w ubezpieczeniu turystycznym? Przede wszystkim </w:t>
      </w:r>
      <w:r w:rsidR="002D3A30">
        <w:rPr>
          <w:rFonts w:ascii="StoneSansPl" w:hAnsi="StoneSansPl"/>
        </w:rPr>
        <w:t xml:space="preserve">podnieśliśmy </w:t>
      </w:r>
      <w:r>
        <w:rPr>
          <w:rFonts w:ascii="StoneSansPl" w:hAnsi="StoneSansPl"/>
        </w:rPr>
        <w:t xml:space="preserve">sumy ubezpieczenia. </w:t>
      </w:r>
    </w:p>
    <w:p w14:paraId="5C633946" w14:textId="77777777" w:rsidR="00DA3574" w:rsidRDefault="00DA3574" w:rsidP="00027F6C">
      <w:pPr>
        <w:spacing w:line="276" w:lineRule="auto"/>
        <w:jc w:val="both"/>
        <w:rPr>
          <w:rFonts w:ascii="StoneSansPl" w:hAnsi="StoneSansPl"/>
        </w:rPr>
      </w:pPr>
    </w:p>
    <w:p w14:paraId="65990F1D" w14:textId="6A371F26" w:rsidR="00DA3574" w:rsidRPr="00AC2AED" w:rsidRDefault="00DA3574" w:rsidP="00027F6C">
      <w:pPr>
        <w:spacing w:line="276" w:lineRule="auto"/>
        <w:jc w:val="both"/>
        <w:rPr>
          <w:rFonts w:ascii="StoneSansPl" w:hAnsi="StoneSansPl"/>
          <w:i/>
        </w:rPr>
      </w:pPr>
      <w:r>
        <w:rPr>
          <w:rFonts w:ascii="StoneSansPl" w:hAnsi="StoneSansPl"/>
        </w:rPr>
        <w:t xml:space="preserve">- </w:t>
      </w:r>
      <w:r w:rsidRPr="005434D0">
        <w:rPr>
          <w:rFonts w:ascii="StoneSansPl" w:hAnsi="StoneSansPl"/>
          <w:i/>
        </w:rPr>
        <w:t xml:space="preserve">Klienci </w:t>
      </w:r>
      <w:r w:rsidR="009F550F">
        <w:rPr>
          <w:rFonts w:ascii="StoneSansPl" w:hAnsi="StoneSansPl"/>
          <w:i/>
        </w:rPr>
        <w:t>najczęściej</w:t>
      </w:r>
      <w:r w:rsidRPr="005434D0">
        <w:rPr>
          <w:rFonts w:ascii="StoneSansPl" w:hAnsi="StoneSansPl"/>
          <w:i/>
        </w:rPr>
        <w:t xml:space="preserve"> wybierają </w:t>
      </w:r>
      <w:r w:rsidRPr="00AC2AED">
        <w:rPr>
          <w:rFonts w:ascii="StoneSansPl" w:hAnsi="StoneSansPl"/>
          <w:i/>
        </w:rPr>
        <w:t xml:space="preserve">sumę ubezpieczenia zwrotu kosztów leczenia </w:t>
      </w:r>
      <w:r w:rsidR="00604ED1">
        <w:rPr>
          <w:rFonts w:ascii="StoneSansPl" w:hAnsi="StoneSansPl"/>
          <w:i/>
        </w:rPr>
        <w:t>n</w:t>
      </w:r>
      <w:r w:rsidR="00604ED1" w:rsidRPr="00AC2AED">
        <w:rPr>
          <w:rFonts w:ascii="StoneSansPl" w:hAnsi="StoneSansPl"/>
          <w:i/>
        </w:rPr>
        <w:t xml:space="preserve">a </w:t>
      </w:r>
      <w:r w:rsidRPr="00AC2AED">
        <w:rPr>
          <w:rFonts w:ascii="StoneSansPl" w:hAnsi="StoneSansPl"/>
          <w:i/>
        </w:rPr>
        <w:t xml:space="preserve">poziomie 200 tys. zł. I </w:t>
      </w:r>
      <w:r w:rsidR="00B13F3F" w:rsidRPr="00AC2AED">
        <w:rPr>
          <w:rFonts w:ascii="StoneSansPl" w:hAnsi="StoneSansPl"/>
          <w:i/>
        </w:rPr>
        <w:t xml:space="preserve">zwykle </w:t>
      </w:r>
      <w:r w:rsidR="005434D0" w:rsidRPr="00AC2AED">
        <w:rPr>
          <w:rFonts w:ascii="StoneSansPl" w:hAnsi="StoneSansPl"/>
          <w:i/>
        </w:rPr>
        <w:t>jest to wystarczając</w:t>
      </w:r>
      <w:r w:rsidR="00B13F3F">
        <w:rPr>
          <w:rFonts w:ascii="StoneSansPl" w:hAnsi="StoneSansPl"/>
          <w:i/>
        </w:rPr>
        <w:t>a</w:t>
      </w:r>
      <w:r w:rsidR="005434D0" w:rsidRPr="00AC2AED">
        <w:rPr>
          <w:rFonts w:ascii="StoneSansPl" w:hAnsi="StoneSansPl"/>
          <w:i/>
        </w:rPr>
        <w:t xml:space="preserve"> kwot</w:t>
      </w:r>
      <w:r w:rsidR="00B13F3F">
        <w:rPr>
          <w:rFonts w:ascii="StoneSansPl" w:hAnsi="StoneSansPl"/>
          <w:i/>
        </w:rPr>
        <w:t>a</w:t>
      </w:r>
      <w:r w:rsidR="005434D0" w:rsidRPr="00AC2AED">
        <w:rPr>
          <w:rFonts w:ascii="StoneSansPl" w:hAnsi="StoneSansPl"/>
          <w:i/>
        </w:rPr>
        <w:t xml:space="preserve">. Wśród naszych klientów są jednak i tacy, którzy </w:t>
      </w:r>
      <w:r w:rsidR="009F550F" w:rsidRPr="00AC2AED">
        <w:rPr>
          <w:rFonts w:ascii="StoneSansPl" w:hAnsi="StoneSansPl"/>
          <w:i/>
        </w:rPr>
        <w:t>chcą</w:t>
      </w:r>
      <w:r w:rsidR="005434D0" w:rsidRPr="00AC2AED">
        <w:rPr>
          <w:rFonts w:ascii="StoneSansPl" w:hAnsi="StoneSansPl"/>
          <w:i/>
        </w:rPr>
        <w:t xml:space="preserve"> ubezpieczyć się na wyższe kwoty. Zwiększamy sumę </w:t>
      </w:r>
      <w:r w:rsidR="00AC2AED" w:rsidRPr="00AC2AED">
        <w:rPr>
          <w:rFonts w:ascii="StoneSansPl" w:hAnsi="StoneSansPl"/>
          <w:i/>
        </w:rPr>
        <w:t>ubezpieczeni</w:t>
      </w:r>
      <w:r w:rsidR="00AC2AED">
        <w:rPr>
          <w:rFonts w:ascii="StoneSansPl" w:hAnsi="StoneSansPl"/>
          <w:i/>
        </w:rPr>
        <w:t>a</w:t>
      </w:r>
      <w:r w:rsidR="00AC2AED" w:rsidRPr="00AC2AED">
        <w:rPr>
          <w:rFonts w:ascii="StoneSansPl" w:hAnsi="StoneSansPl"/>
          <w:i/>
        </w:rPr>
        <w:t xml:space="preserve"> </w:t>
      </w:r>
      <w:r w:rsidR="005434D0" w:rsidRPr="00AC2AED">
        <w:rPr>
          <w:rFonts w:ascii="StoneSansPl" w:hAnsi="StoneSansPl"/>
          <w:i/>
        </w:rPr>
        <w:t xml:space="preserve">z dotychczasowych maksymalnie 500 tys. zł </w:t>
      </w:r>
      <w:r w:rsidR="00B13F3F">
        <w:rPr>
          <w:rFonts w:ascii="StoneSansPl" w:hAnsi="StoneSansPl"/>
          <w:i/>
        </w:rPr>
        <w:t>do</w:t>
      </w:r>
      <w:r w:rsidR="00B13F3F" w:rsidRPr="00AC2AED">
        <w:rPr>
          <w:rFonts w:ascii="StoneSansPl" w:hAnsi="StoneSansPl"/>
          <w:i/>
        </w:rPr>
        <w:t xml:space="preserve"> </w:t>
      </w:r>
      <w:r w:rsidR="009F550F" w:rsidRPr="00AC2AED">
        <w:rPr>
          <w:rFonts w:ascii="StoneSansPl" w:hAnsi="StoneSansPl"/>
          <w:i/>
        </w:rPr>
        <w:t>aż</w:t>
      </w:r>
      <w:r w:rsidR="005434D0" w:rsidRPr="00AC2AED">
        <w:rPr>
          <w:rFonts w:ascii="StoneSansPl" w:hAnsi="StoneSansPl"/>
          <w:i/>
        </w:rPr>
        <w:t xml:space="preserve"> 1,5 mln zł – mówi Katarzyna Ruman. </w:t>
      </w:r>
    </w:p>
    <w:p w14:paraId="77FCD7E4" w14:textId="77777777" w:rsidR="00DA3574" w:rsidRDefault="00DA3574" w:rsidP="00027F6C">
      <w:pPr>
        <w:spacing w:line="276" w:lineRule="auto"/>
        <w:jc w:val="both"/>
        <w:rPr>
          <w:rFonts w:ascii="StoneSansPl" w:hAnsi="StoneSansPl"/>
        </w:rPr>
      </w:pPr>
    </w:p>
    <w:p w14:paraId="37FE55E8" w14:textId="275CC908" w:rsidR="005434D0" w:rsidRDefault="002D3A30" w:rsidP="00027F6C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lastRenderedPageBreak/>
        <w:t xml:space="preserve">Klient może także wybrać sumę ubezpieczenia na poziomie 750 tys. zł lub 1 mln zł. </w:t>
      </w:r>
      <w:r w:rsidR="00BE2E8E">
        <w:rPr>
          <w:rFonts w:ascii="StoneSansPl" w:hAnsi="StoneSansPl"/>
        </w:rPr>
        <w:t xml:space="preserve">I to zarówno bezpośrednio u agenta, jak i kupując ubezpieczenie online przez stronę </w:t>
      </w:r>
      <w:hyperlink r:id="rId8" w:history="1">
        <w:r w:rsidR="00BE2E8E" w:rsidRPr="007B40F9">
          <w:rPr>
            <w:rStyle w:val="Hipercze"/>
            <w:rFonts w:ascii="StoneSansPl" w:hAnsi="StoneSansPl"/>
          </w:rPr>
          <w:t>www.uniqa.pl</w:t>
        </w:r>
      </w:hyperlink>
      <w:r w:rsidR="00BE2E8E">
        <w:rPr>
          <w:rFonts w:ascii="StoneSansPl" w:hAnsi="StoneSansPl"/>
        </w:rPr>
        <w:t xml:space="preserve">. </w:t>
      </w:r>
      <w:r w:rsidR="005434D0" w:rsidRPr="007F1C68">
        <w:rPr>
          <w:rFonts w:ascii="StoneSansPl" w:hAnsi="StoneSansPl"/>
        </w:rPr>
        <w:t>Na tym jednak nie koniec zmian</w:t>
      </w:r>
      <w:r w:rsidR="00BE2E8E">
        <w:rPr>
          <w:rFonts w:ascii="StoneSansPl" w:hAnsi="StoneSansPl"/>
        </w:rPr>
        <w:t xml:space="preserve"> w produkcie</w:t>
      </w:r>
      <w:r w:rsidR="005434D0" w:rsidRPr="007F1C68">
        <w:rPr>
          <w:rFonts w:ascii="StoneSansPl" w:hAnsi="StoneSansPl"/>
        </w:rPr>
        <w:t xml:space="preserve">. </w:t>
      </w:r>
      <w:r w:rsidR="005434D0">
        <w:rPr>
          <w:rFonts w:ascii="StoneSansPl" w:hAnsi="StoneSansPl"/>
        </w:rPr>
        <w:t>Przedłuż</w:t>
      </w:r>
      <w:r>
        <w:rPr>
          <w:rFonts w:ascii="StoneSansPl" w:hAnsi="StoneSansPl"/>
        </w:rPr>
        <w:t>yliśmy</w:t>
      </w:r>
      <w:r w:rsidR="005434D0">
        <w:rPr>
          <w:rFonts w:ascii="StoneSansPl" w:hAnsi="StoneSansPl"/>
        </w:rPr>
        <w:t xml:space="preserve"> ochronę w </w:t>
      </w:r>
      <w:r w:rsidR="005434D0" w:rsidRPr="001F45A2">
        <w:rPr>
          <w:rFonts w:ascii="StoneSansPl" w:hAnsi="StoneSansPl"/>
        </w:rPr>
        <w:t xml:space="preserve">sytuacjach nagłych – </w:t>
      </w:r>
      <w:r w:rsidR="005434D0">
        <w:rPr>
          <w:rFonts w:ascii="StoneSansPl" w:hAnsi="StoneSansPl"/>
        </w:rPr>
        <w:t xml:space="preserve">z </w:t>
      </w:r>
      <w:r w:rsidR="005434D0" w:rsidRPr="007F1C68">
        <w:rPr>
          <w:rFonts w:ascii="StoneSansPl" w:hAnsi="StoneSansPl"/>
        </w:rPr>
        <w:t>24</w:t>
      </w:r>
      <w:r w:rsidR="005434D0">
        <w:rPr>
          <w:rFonts w:ascii="StoneSansPl" w:hAnsi="StoneSansPl"/>
        </w:rPr>
        <w:t xml:space="preserve"> do </w:t>
      </w:r>
      <w:r w:rsidR="005434D0" w:rsidRPr="001F45A2">
        <w:rPr>
          <w:rFonts w:ascii="StoneSansPl" w:hAnsi="StoneSansPl"/>
        </w:rPr>
        <w:t>72</w:t>
      </w:r>
      <w:r w:rsidR="005434D0">
        <w:rPr>
          <w:rFonts w:ascii="StoneSansPl" w:hAnsi="StoneSansPl"/>
        </w:rPr>
        <w:t xml:space="preserve"> godzin</w:t>
      </w:r>
      <w:r w:rsidR="005434D0" w:rsidRPr="001F45A2">
        <w:rPr>
          <w:rFonts w:ascii="StoneSansPl" w:hAnsi="StoneSansPl"/>
        </w:rPr>
        <w:t xml:space="preserve">. </w:t>
      </w:r>
    </w:p>
    <w:p w14:paraId="1F02A377" w14:textId="77777777" w:rsidR="005434D0" w:rsidRDefault="005434D0" w:rsidP="00027F6C">
      <w:pPr>
        <w:spacing w:line="276" w:lineRule="auto"/>
        <w:jc w:val="both"/>
        <w:rPr>
          <w:rFonts w:ascii="StoneSansPl" w:hAnsi="StoneSansPl"/>
        </w:rPr>
      </w:pPr>
    </w:p>
    <w:p w14:paraId="384A210C" w14:textId="4B175E51" w:rsidR="005434D0" w:rsidRPr="00027F6C" w:rsidRDefault="005434D0" w:rsidP="00027F6C">
      <w:pPr>
        <w:spacing w:line="276" w:lineRule="auto"/>
        <w:jc w:val="both"/>
        <w:rPr>
          <w:rFonts w:ascii="StoneSansPl" w:hAnsi="StoneSansPl"/>
          <w:b/>
        </w:rPr>
      </w:pPr>
      <w:r>
        <w:rPr>
          <w:rFonts w:ascii="StoneSansPl" w:hAnsi="StoneSansPl"/>
        </w:rPr>
        <w:t xml:space="preserve">- </w:t>
      </w:r>
      <w:r w:rsidRPr="005434D0">
        <w:rPr>
          <w:rFonts w:ascii="StoneSansPl" w:hAnsi="StoneSansPl"/>
          <w:i/>
        </w:rPr>
        <w:t xml:space="preserve">To prawdopodobnie najdłuższa </w:t>
      </w:r>
      <w:r w:rsidR="002D3A30">
        <w:rPr>
          <w:rFonts w:ascii="StoneSansPl" w:hAnsi="StoneSansPl"/>
          <w:i/>
        </w:rPr>
        <w:t xml:space="preserve">na rynku </w:t>
      </w:r>
      <w:r w:rsidRPr="005434D0">
        <w:rPr>
          <w:rFonts w:ascii="StoneSansPl" w:hAnsi="StoneSansPl"/>
          <w:i/>
        </w:rPr>
        <w:t xml:space="preserve">ochrona w sytuacjach nagłych. Bardzo przydatna, jeśli ostatniego dnia podróży okaże się, że np. samolot powrotny nie odleci ze względu na awarię i klient będzie zmuszony czekać na inną opcję powrotu </w:t>
      </w:r>
      <w:r>
        <w:rPr>
          <w:rFonts w:ascii="StoneSansPl" w:hAnsi="StoneSansPl"/>
        </w:rPr>
        <w:t xml:space="preserve">– mówi </w:t>
      </w:r>
      <w:r w:rsidRPr="00027F6C">
        <w:rPr>
          <w:rFonts w:ascii="StoneSansPl" w:hAnsi="StoneSansPl"/>
          <w:b/>
        </w:rPr>
        <w:t>Katarzyna Ruman.</w:t>
      </w:r>
    </w:p>
    <w:p w14:paraId="34C0CF51" w14:textId="77777777" w:rsidR="005434D0" w:rsidRPr="00027F6C" w:rsidRDefault="005434D0" w:rsidP="00027F6C">
      <w:pPr>
        <w:spacing w:line="276" w:lineRule="auto"/>
        <w:jc w:val="both"/>
        <w:rPr>
          <w:rFonts w:ascii="StoneSansPl" w:hAnsi="StoneSansPl"/>
          <w:b/>
        </w:rPr>
      </w:pPr>
    </w:p>
    <w:p w14:paraId="7AB71448" w14:textId="6E0C8F4E" w:rsidR="005434D0" w:rsidRPr="001F45A2" w:rsidRDefault="001F45A2" w:rsidP="00027F6C">
      <w:pPr>
        <w:spacing w:line="276" w:lineRule="auto"/>
        <w:jc w:val="both"/>
        <w:rPr>
          <w:rFonts w:ascii="StoneSansPl" w:hAnsi="StoneSansPl"/>
        </w:rPr>
      </w:pPr>
      <w:r w:rsidRPr="001F45A2">
        <w:rPr>
          <w:rFonts w:ascii="StoneSansPl" w:hAnsi="StoneSansPl"/>
        </w:rPr>
        <w:t>W klauzuli terrorystycznej nie wymieniamy konkretnyc</w:t>
      </w:r>
      <w:r w:rsidR="005434D0">
        <w:rPr>
          <w:rFonts w:ascii="StoneSansPl" w:hAnsi="StoneSansPl"/>
        </w:rPr>
        <w:t xml:space="preserve">h państw wyłączonych z ochrony. </w:t>
      </w:r>
      <w:r w:rsidR="00E01286">
        <w:rPr>
          <w:rFonts w:ascii="StoneSansPl" w:hAnsi="StoneSansPl"/>
        </w:rPr>
        <w:t>W</w:t>
      </w:r>
      <w:r w:rsidRPr="001F45A2">
        <w:rPr>
          <w:rFonts w:ascii="StoneSansPl" w:hAnsi="StoneSansPl"/>
        </w:rPr>
        <w:t>skazujemy</w:t>
      </w:r>
      <w:r w:rsidR="00E01286">
        <w:rPr>
          <w:rFonts w:ascii="StoneSansPl" w:hAnsi="StoneSansPl"/>
        </w:rPr>
        <w:t xml:space="preserve"> jednak</w:t>
      </w:r>
      <w:r w:rsidRPr="001F45A2">
        <w:rPr>
          <w:rFonts w:ascii="StoneSansPl" w:hAnsi="StoneSansPl"/>
        </w:rPr>
        <w:t xml:space="preserve"> na ostrzeżenia </w:t>
      </w:r>
      <w:r w:rsidR="009F550F">
        <w:rPr>
          <w:rFonts w:ascii="StoneSansPl" w:hAnsi="StoneSansPl"/>
        </w:rPr>
        <w:t>publikowane na stronie</w:t>
      </w:r>
      <w:r w:rsidRPr="001F45A2">
        <w:rPr>
          <w:rFonts w:ascii="StoneSansPl" w:hAnsi="StoneSansPl"/>
        </w:rPr>
        <w:t xml:space="preserve"> M</w:t>
      </w:r>
      <w:r w:rsidR="005434D0">
        <w:rPr>
          <w:rFonts w:ascii="StoneSansPl" w:hAnsi="StoneSansPl"/>
        </w:rPr>
        <w:t xml:space="preserve">inisterstwa </w:t>
      </w:r>
      <w:r w:rsidRPr="001F45A2">
        <w:rPr>
          <w:rFonts w:ascii="StoneSansPl" w:hAnsi="StoneSansPl"/>
        </w:rPr>
        <w:t>S</w:t>
      </w:r>
      <w:r w:rsidR="005434D0">
        <w:rPr>
          <w:rFonts w:ascii="StoneSansPl" w:hAnsi="StoneSansPl"/>
        </w:rPr>
        <w:t xml:space="preserve">praw </w:t>
      </w:r>
      <w:r w:rsidRPr="001F45A2">
        <w:rPr>
          <w:rFonts w:ascii="StoneSansPl" w:hAnsi="StoneSansPl"/>
        </w:rPr>
        <w:t>Z</w:t>
      </w:r>
      <w:r w:rsidR="005434D0">
        <w:rPr>
          <w:rFonts w:ascii="StoneSansPl" w:hAnsi="StoneSansPl"/>
        </w:rPr>
        <w:t>agranicznych</w:t>
      </w:r>
      <w:r w:rsidRPr="001F45A2">
        <w:rPr>
          <w:rFonts w:ascii="StoneSansPl" w:hAnsi="StoneSansPl"/>
        </w:rPr>
        <w:t>. To oznacza, że lista krajów</w:t>
      </w:r>
      <w:r w:rsidR="005434D0">
        <w:rPr>
          <w:rFonts w:ascii="StoneSansPl" w:hAnsi="StoneSansPl"/>
        </w:rPr>
        <w:t xml:space="preserve"> wyłączonych z ochrony</w:t>
      </w:r>
      <w:r w:rsidRPr="001F45A2">
        <w:rPr>
          <w:rFonts w:ascii="StoneSansPl" w:hAnsi="StoneSansPl"/>
        </w:rPr>
        <w:t xml:space="preserve"> jest dynamiczna i jednocześnie dostosowana do realiów geopolitycznych</w:t>
      </w:r>
      <w:r w:rsidR="00E01286">
        <w:rPr>
          <w:rFonts w:ascii="StoneSansPl" w:hAnsi="StoneSansPl"/>
        </w:rPr>
        <w:t xml:space="preserve">, </w:t>
      </w:r>
      <w:r w:rsidRPr="001F45A2">
        <w:rPr>
          <w:rFonts w:ascii="StoneSansPl" w:hAnsi="StoneSansPl"/>
        </w:rPr>
        <w:t xml:space="preserve">co jest bardziej korzystne dla </w:t>
      </w:r>
      <w:r w:rsidR="005434D0">
        <w:rPr>
          <w:rFonts w:ascii="StoneSansPl" w:hAnsi="StoneSansPl"/>
        </w:rPr>
        <w:t>k</w:t>
      </w:r>
      <w:r w:rsidRPr="001F45A2">
        <w:rPr>
          <w:rFonts w:ascii="StoneSansPl" w:hAnsi="StoneSansPl"/>
        </w:rPr>
        <w:t>lienta i jednocześnie przejrzyste.</w:t>
      </w:r>
    </w:p>
    <w:p w14:paraId="19CCF3D2" w14:textId="7EBFCE16" w:rsidR="009F550F" w:rsidRPr="001F45A2" w:rsidRDefault="009F550F" w:rsidP="00027F6C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>Poza tym w</w:t>
      </w:r>
      <w:r w:rsidR="001F45A2" w:rsidRPr="001F45A2">
        <w:rPr>
          <w:rFonts w:ascii="StoneSansPl" w:hAnsi="StoneSansPl"/>
        </w:rPr>
        <w:t xml:space="preserve"> przypadku państw bez zagrożenia terrorystycznego ochrona nie wygasa już po 7 dniach</w:t>
      </w:r>
      <w:r w:rsidR="006758DC">
        <w:rPr>
          <w:rFonts w:ascii="StoneSansPl" w:hAnsi="StoneSansPl"/>
        </w:rPr>
        <w:t xml:space="preserve"> od</w:t>
      </w:r>
      <w:r w:rsidR="001F45A2" w:rsidRPr="001F45A2">
        <w:rPr>
          <w:rFonts w:ascii="StoneSansPl" w:hAnsi="StoneSansPl"/>
        </w:rPr>
        <w:t xml:space="preserve"> zamachu, jeśli</w:t>
      </w:r>
      <w:r>
        <w:rPr>
          <w:rFonts w:ascii="StoneSansPl" w:hAnsi="StoneSansPl"/>
        </w:rPr>
        <w:t xml:space="preserve"> </w:t>
      </w:r>
      <w:r w:rsidR="001F45A2" w:rsidRPr="001F45A2">
        <w:rPr>
          <w:rFonts w:ascii="StoneSansPl" w:hAnsi="StoneSansPl"/>
        </w:rPr>
        <w:t>do niego dojdzie. Dotychczas</w:t>
      </w:r>
      <w:r w:rsidR="00E01286">
        <w:rPr>
          <w:rFonts w:ascii="StoneSansPl" w:hAnsi="StoneSansPl"/>
        </w:rPr>
        <w:t>,</w:t>
      </w:r>
      <w:r w:rsidR="001F45A2" w:rsidRPr="001F45A2">
        <w:rPr>
          <w:rFonts w:ascii="StoneSansPl" w:hAnsi="StoneSansPl"/>
        </w:rPr>
        <w:t xml:space="preserve"> nawet jeśli klient przebywał w kraju bez zagrożenia terrorystycznego, a doszło tam do zamachu, zgodnie z </w:t>
      </w:r>
      <w:r w:rsidR="005434D0">
        <w:rPr>
          <w:rFonts w:ascii="StoneSansPl" w:hAnsi="StoneSansPl"/>
        </w:rPr>
        <w:t xml:space="preserve">ogólnymi warunkami ubezpieczenia (OWU) </w:t>
      </w:r>
      <w:r w:rsidR="001F45A2" w:rsidRPr="001F45A2">
        <w:rPr>
          <w:rFonts w:ascii="StoneSansPl" w:hAnsi="StoneSansPl"/>
        </w:rPr>
        <w:t xml:space="preserve">zobowiązany był opuścić </w:t>
      </w:r>
      <w:r w:rsidR="00AC2AED">
        <w:rPr>
          <w:rFonts w:ascii="StoneSansPl" w:hAnsi="StoneSansPl"/>
        </w:rPr>
        <w:t>dany</w:t>
      </w:r>
      <w:r w:rsidR="00AC2AED" w:rsidRPr="001F45A2">
        <w:rPr>
          <w:rFonts w:ascii="StoneSansPl" w:hAnsi="StoneSansPl"/>
        </w:rPr>
        <w:t xml:space="preserve"> </w:t>
      </w:r>
      <w:r w:rsidR="001F45A2" w:rsidRPr="001F45A2">
        <w:rPr>
          <w:rFonts w:ascii="StoneSansPl" w:hAnsi="StoneSansPl"/>
        </w:rPr>
        <w:t>kraj w ciągu 7 dni – po tym czasie ochrona wygasała. Obecnie nie ma</w:t>
      </w:r>
      <w:r w:rsidR="005434D0">
        <w:rPr>
          <w:rFonts w:ascii="StoneSansPl" w:hAnsi="StoneSansPl"/>
        </w:rPr>
        <w:t xml:space="preserve"> już</w:t>
      </w:r>
      <w:r w:rsidR="001F45A2" w:rsidRPr="001F45A2">
        <w:rPr>
          <w:rFonts w:ascii="StoneSansPl" w:hAnsi="StoneSansPl"/>
        </w:rPr>
        <w:t xml:space="preserve"> takich restrykcji.</w:t>
      </w:r>
      <w:r>
        <w:rPr>
          <w:rFonts w:ascii="StoneSansPl" w:hAnsi="StoneSansPl"/>
        </w:rPr>
        <w:t xml:space="preserve"> </w:t>
      </w:r>
    </w:p>
    <w:p w14:paraId="47856EE7" w14:textId="2E863803" w:rsidR="00BE4783" w:rsidRDefault="005434D0" w:rsidP="00027F6C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>Z</w:t>
      </w:r>
      <w:r w:rsidR="001F45A2" w:rsidRPr="001F45A2">
        <w:rPr>
          <w:rFonts w:ascii="StoneSansPl" w:hAnsi="StoneSansPl"/>
        </w:rPr>
        <w:t>n</w:t>
      </w:r>
      <w:r w:rsidR="002D3A30">
        <w:rPr>
          <w:rFonts w:ascii="StoneSansPl" w:hAnsi="StoneSansPl"/>
        </w:rPr>
        <w:t>ieśliśmy</w:t>
      </w:r>
      <w:r w:rsidR="001F45A2" w:rsidRPr="001F45A2">
        <w:rPr>
          <w:rFonts w:ascii="StoneSansPl" w:hAnsi="StoneSansPl"/>
        </w:rPr>
        <w:t xml:space="preserve"> </w:t>
      </w:r>
      <w:r>
        <w:rPr>
          <w:rFonts w:ascii="StoneSansPl" w:hAnsi="StoneSansPl"/>
        </w:rPr>
        <w:t xml:space="preserve">także </w:t>
      </w:r>
      <w:r w:rsidR="001F45A2" w:rsidRPr="001F45A2">
        <w:rPr>
          <w:rFonts w:ascii="StoneSansPl" w:hAnsi="StoneSansPl"/>
        </w:rPr>
        <w:t xml:space="preserve">limit 600 zł na wizytę lekarską w związku z pogorszeniem stanu zdrowia </w:t>
      </w:r>
      <w:r w:rsidR="00E01286">
        <w:rPr>
          <w:rFonts w:ascii="StoneSansPl" w:hAnsi="StoneSansPl"/>
        </w:rPr>
        <w:t xml:space="preserve">kobiet </w:t>
      </w:r>
      <w:r>
        <w:rPr>
          <w:rFonts w:ascii="StoneSansPl" w:hAnsi="StoneSansPl"/>
        </w:rPr>
        <w:t xml:space="preserve">w </w:t>
      </w:r>
      <w:r w:rsidR="001F45A2" w:rsidRPr="001F45A2">
        <w:rPr>
          <w:rFonts w:ascii="StoneSansPl" w:hAnsi="StoneSansPl"/>
        </w:rPr>
        <w:t xml:space="preserve">ciąży. Pokrywamy te koszty do wysokości sumy ubezpieczenia. </w:t>
      </w:r>
      <w:r>
        <w:rPr>
          <w:rFonts w:ascii="StoneSansPl" w:hAnsi="StoneSansPl"/>
        </w:rPr>
        <w:t>Zwięks</w:t>
      </w:r>
      <w:r w:rsidR="002D3A30">
        <w:rPr>
          <w:rFonts w:ascii="StoneSansPl" w:hAnsi="StoneSansPl"/>
        </w:rPr>
        <w:t>zyliśmy</w:t>
      </w:r>
      <w:r>
        <w:rPr>
          <w:rFonts w:ascii="StoneSansPl" w:hAnsi="StoneSansPl"/>
        </w:rPr>
        <w:t xml:space="preserve"> także koszty akcji ratowniczej. Dotychczas</w:t>
      </w:r>
      <w:r w:rsidR="001F45A2" w:rsidRPr="001F45A2">
        <w:rPr>
          <w:rFonts w:ascii="StoneSansPl" w:hAnsi="StoneSansPl"/>
        </w:rPr>
        <w:t xml:space="preserve"> zależnie od wariantu </w:t>
      </w:r>
      <w:r>
        <w:rPr>
          <w:rFonts w:ascii="StoneSansPl" w:hAnsi="StoneSansPl"/>
        </w:rPr>
        <w:t>wynosił</w:t>
      </w:r>
      <w:r w:rsidR="00BE4783">
        <w:rPr>
          <w:rFonts w:ascii="StoneSansPl" w:hAnsi="StoneSansPl"/>
        </w:rPr>
        <w:t>y</w:t>
      </w:r>
      <w:r>
        <w:rPr>
          <w:rFonts w:ascii="StoneSansPl" w:hAnsi="StoneSansPl"/>
        </w:rPr>
        <w:t xml:space="preserve"> </w:t>
      </w:r>
      <w:r w:rsidR="001F45A2" w:rsidRPr="001F45A2">
        <w:rPr>
          <w:rFonts w:ascii="StoneSansPl" w:hAnsi="StoneSansPl"/>
        </w:rPr>
        <w:t>6</w:t>
      </w:r>
      <w:r>
        <w:rPr>
          <w:rFonts w:ascii="StoneSansPl" w:hAnsi="StoneSansPl"/>
        </w:rPr>
        <w:t xml:space="preserve"> tys.</w:t>
      </w:r>
      <w:r w:rsidR="001F45A2" w:rsidRPr="001F45A2">
        <w:rPr>
          <w:rFonts w:ascii="StoneSansPl" w:hAnsi="StoneSansPl"/>
        </w:rPr>
        <w:t>,  8</w:t>
      </w:r>
      <w:r>
        <w:rPr>
          <w:rFonts w:ascii="StoneSansPl" w:hAnsi="StoneSansPl"/>
        </w:rPr>
        <w:t xml:space="preserve"> tys. lub</w:t>
      </w:r>
      <w:r w:rsidR="001F45A2" w:rsidRPr="001F45A2">
        <w:rPr>
          <w:rFonts w:ascii="StoneSansPl" w:hAnsi="StoneSansPl"/>
        </w:rPr>
        <w:t xml:space="preserve">  12</w:t>
      </w:r>
      <w:r>
        <w:rPr>
          <w:rFonts w:ascii="StoneSansPl" w:hAnsi="StoneSansPl"/>
        </w:rPr>
        <w:t xml:space="preserve"> tys. euro. Po zmianie będzie to odpowiednio 7 tys., 10 tys.</w:t>
      </w:r>
      <w:r w:rsidR="001F45A2" w:rsidRPr="001F45A2">
        <w:rPr>
          <w:rFonts w:ascii="StoneSansPl" w:hAnsi="StoneSansPl"/>
        </w:rPr>
        <w:t xml:space="preserve"> i 15</w:t>
      </w:r>
      <w:r>
        <w:rPr>
          <w:rFonts w:ascii="StoneSansPl" w:hAnsi="StoneSansPl"/>
        </w:rPr>
        <w:t xml:space="preserve"> tys. euro</w:t>
      </w:r>
      <w:r w:rsidR="009F550F">
        <w:rPr>
          <w:rFonts w:ascii="StoneSansPl" w:hAnsi="StoneSansPl"/>
        </w:rPr>
        <w:t>,</w:t>
      </w:r>
      <w:r w:rsidR="001F45A2" w:rsidRPr="001F45A2">
        <w:rPr>
          <w:rFonts w:ascii="StoneSansPl" w:hAnsi="StoneSansPl"/>
        </w:rPr>
        <w:t xml:space="preserve"> co jest jednym z najwyższych limitów na rynku. </w:t>
      </w:r>
    </w:p>
    <w:p w14:paraId="07EF8C4F" w14:textId="77777777" w:rsidR="00BE4783" w:rsidRDefault="00BE4783" w:rsidP="00027F6C">
      <w:pPr>
        <w:spacing w:line="276" w:lineRule="auto"/>
        <w:jc w:val="both"/>
        <w:rPr>
          <w:rFonts w:ascii="StoneSansPl" w:hAnsi="StoneSansPl"/>
        </w:rPr>
      </w:pPr>
    </w:p>
    <w:p w14:paraId="11384470" w14:textId="76FE3818" w:rsidR="001F45A2" w:rsidRDefault="00BE4783" w:rsidP="00027F6C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 xml:space="preserve"> - </w:t>
      </w:r>
      <w:r w:rsidRPr="00BE4783">
        <w:rPr>
          <w:rFonts w:ascii="StoneSansPl" w:hAnsi="StoneSansPl"/>
          <w:i/>
        </w:rPr>
        <w:t>Wprowadzamy taką zmianę</w:t>
      </w:r>
      <w:r w:rsidR="00AC2AED">
        <w:rPr>
          <w:rFonts w:ascii="StoneSansPl" w:hAnsi="StoneSansPl"/>
          <w:i/>
        </w:rPr>
        <w:t>,</w:t>
      </w:r>
      <w:r w:rsidRPr="00BE4783">
        <w:rPr>
          <w:rFonts w:ascii="StoneSansPl" w:hAnsi="StoneSansPl"/>
          <w:i/>
        </w:rPr>
        <w:t xml:space="preserve"> </w:t>
      </w:r>
      <w:r w:rsidR="001F45A2" w:rsidRPr="00BE4783">
        <w:rPr>
          <w:rFonts w:ascii="StoneSansPl" w:hAnsi="StoneSansPl"/>
          <w:i/>
        </w:rPr>
        <w:t>aby jeszcze lepiej zabezpieczyć klienta, który np. zabłądzi w górach i trzeba bę</w:t>
      </w:r>
      <w:r w:rsidRPr="00BE4783">
        <w:rPr>
          <w:rFonts w:ascii="StoneSansPl" w:hAnsi="StoneSansPl"/>
          <w:i/>
        </w:rPr>
        <w:t>dzie wysłać po niego helikopter</w:t>
      </w:r>
      <w:r>
        <w:rPr>
          <w:rFonts w:ascii="StoneSansPl" w:hAnsi="StoneSansPl"/>
        </w:rPr>
        <w:t xml:space="preserve"> – mówi szefowa Departamentu Rozwoju Produktów. </w:t>
      </w:r>
    </w:p>
    <w:p w14:paraId="21334908" w14:textId="77777777" w:rsidR="00BE4783" w:rsidRPr="001F45A2" w:rsidRDefault="00BE4783" w:rsidP="00027F6C">
      <w:pPr>
        <w:spacing w:line="276" w:lineRule="auto"/>
        <w:jc w:val="both"/>
        <w:rPr>
          <w:rFonts w:ascii="StoneSansPl" w:hAnsi="StoneSansPl"/>
        </w:rPr>
      </w:pPr>
    </w:p>
    <w:p w14:paraId="45DC1BEE" w14:textId="5CEB3590" w:rsidR="001F45A2" w:rsidRDefault="00BE4783" w:rsidP="00027F6C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 xml:space="preserve">W nowej odsłonie produktu </w:t>
      </w:r>
      <w:r w:rsidR="002D3A30">
        <w:rPr>
          <w:rFonts w:ascii="StoneSansPl" w:hAnsi="StoneSansPl"/>
        </w:rPr>
        <w:t>chronimy klienta</w:t>
      </w:r>
      <w:r w:rsidR="001F45A2" w:rsidRPr="001F45A2">
        <w:rPr>
          <w:rFonts w:ascii="StoneSansPl" w:hAnsi="StoneSansPl"/>
        </w:rPr>
        <w:t xml:space="preserve"> także w sytuacji, </w:t>
      </w:r>
      <w:r>
        <w:rPr>
          <w:rFonts w:ascii="StoneSansPl" w:hAnsi="StoneSansPl"/>
        </w:rPr>
        <w:t>w której podczas</w:t>
      </w:r>
      <w:r w:rsidR="001F45A2" w:rsidRPr="001F45A2">
        <w:rPr>
          <w:rFonts w:ascii="StoneSansPl" w:hAnsi="StoneSansPl"/>
        </w:rPr>
        <w:t xml:space="preserve"> wypoczynku</w:t>
      </w:r>
      <w:r w:rsidR="00E01286">
        <w:rPr>
          <w:rFonts w:ascii="StoneSansPl" w:hAnsi="StoneSansPl"/>
        </w:rPr>
        <w:t>,</w:t>
      </w:r>
      <w:r w:rsidR="001F45A2" w:rsidRPr="001F45A2">
        <w:rPr>
          <w:rFonts w:ascii="StoneSansPl" w:hAnsi="StoneSansPl"/>
        </w:rPr>
        <w:t xml:space="preserve"> </w:t>
      </w:r>
      <w:r w:rsidR="00E01286">
        <w:rPr>
          <w:rFonts w:ascii="StoneSansPl" w:hAnsi="StoneSansPl"/>
        </w:rPr>
        <w:t xml:space="preserve">będąc pod wpływem alkoholu, </w:t>
      </w:r>
      <w:r w:rsidR="001F45A2" w:rsidRPr="001F45A2">
        <w:rPr>
          <w:rFonts w:ascii="StoneSansPl" w:hAnsi="StoneSansPl"/>
        </w:rPr>
        <w:t>wyrządził komuś szkodę.</w:t>
      </w:r>
      <w:r w:rsidR="002D3A30">
        <w:rPr>
          <w:rFonts w:ascii="StoneSansPl" w:hAnsi="StoneSansPl"/>
        </w:rPr>
        <w:t xml:space="preserve"> </w:t>
      </w:r>
      <w:r w:rsidR="005434D0" w:rsidRPr="007F1C68">
        <w:rPr>
          <w:rFonts w:ascii="StoneSansPl" w:hAnsi="StoneSansPl"/>
        </w:rPr>
        <w:t>Ochron</w:t>
      </w:r>
      <w:r w:rsidR="005434D0" w:rsidRPr="007F1C68">
        <w:rPr>
          <w:rFonts w:ascii="StoneSansPl" w:hAnsi="StoneSansPl" w:hint="eastAsia"/>
        </w:rPr>
        <w:t>ą</w:t>
      </w:r>
      <w:r w:rsidR="005434D0" w:rsidRPr="007F1C68">
        <w:rPr>
          <w:rFonts w:ascii="StoneSansPl" w:hAnsi="StoneSansPl"/>
        </w:rPr>
        <w:t xml:space="preserve"> </w:t>
      </w:r>
      <w:r w:rsidR="002D3A30" w:rsidRPr="007F1C68">
        <w:rPr>
          <w:rFonts w:ascii="StoneSansPl" w:hAnsi="StoneSansPl"/>
        </w:rPr>
        <w:t>o</w:t>
      </w:r>
      <w:r w:rsidR="002D3A30" w:rsidRPr="001F45A2">
        <w:rPr>
          <w:rFonts w:ascii="StoneSansPl" w:hAnsi="StoneSansPl"/>
        </w:rPr>
        <w:t>b</w:t>
      </w:r>
      <w:r w:rsidR="002D3A30">
        <w:rPr>
          <w:rFonts w:ascii="StoneSansPl" w:hAnsi="StoneSansPl"/>
        </w:rPr>
        <w:t xml:space="preserve">jęliśmy </w:t>
      </w:r>
      <w:r w:rsidR="00E01286">
        <w:rPr>
          <w:rFonts w:ascii="StoneSansPl" w:hAnsi="StoneSansPl"/>
        </w:rPr>
        <w:t xml:space="preserve">również </w:t>
      </w:r>
      <w:r w:rsidR="005434D0" w:rsidRPr="001F45A2">
        <w:rPr>
          <w:rFonts w:ascii="StoneSansPl" w:hAnsi="StoneSansPl"/>
        </w:rPr>
        <w:t xml:space="preserve">każdy rodzaj śmierci z wyjątkiem samobójstwa i działania pod wpływem środków odurzających. Oznacza to, że organizujemy i </w:t>
      </w:r>
      <w:r w:rsidR="002D3A30">
        <w:rPr>
          <w:rFonts w:ascii="StoneSansPl" w:hAnsi="StoneSansPl"/>
        </w:rPr>
        <w:t>opłacamy</w:t>
      </w:r>
      <w:r w:rsidR="002D3A30" w:rsidRPr="001F45A2">
        <w:rPr>
          <w:rFonts w:ascii="StoneSansPl" w:hAnsi="StoneSansPl"/>
        </w:rPr>
        <w:t xml:space="preserve"> </w:t>
      </w:r>
      <w:r w:rsidR="005434D0" w:rsidRPr="001F45A2">
        <w:rPr>
          <w:rFonts w:ascii="StoneSansPl" w:hAnsi="StoneSansPl"/>
        </w:rPr>
        <w:t xml:space="preserve">transport zwłok, jeśli zgon nastąpi z przyczyn naturalnych. Jest to odzwierciedlenie rynkowego trendu, zgodnie z którym </w:t>
      </w:r>
      <w:r w:rsidR="00E01286">
        <w:rPr>
          <w:rFonts w:ascii="StoneSansPl" w:hAnsi="StoneSansPl"/>
        </w:rPr>
        <w:t xml:space="preserve">część </w:t>
      </w:r>
      <w:r w:rsidR="005434D0">
        <w:rPr>
          <w:rFonts w:ascii="StoneSansPl" w:hAnsi="StoneSansPl"/>
        </w:rPr>
        <w:t>towarzystw</w:t>
      </w:r>
      <w:r w:rsidR="005434D0" w:rsidRPr="001F45A2">
        <w:rPr>
          <w:rFonts w:ascii="StoneSansPl" w:hAnsi="StoneSansPl"/>
        </w:rPr>
        <w:t xml:space="preserve"> świadcz</w:t>
      </w:r>
      <w:r w:rsidR="00E01286">
        <w:rPr>
          <w:rFonts w:ascii="StoneSansPl" w:hAnsi="StoneSansPl"/>
        </w:rPr>
        <w:t>y</w:t>
      </w:r>
      <w:r w:rsidR="005434D0" w:rsidRPr="001F45A2">
        <w:rPr>
          <w:rFonts w:ascii="StoneSansPl" w:hAnsi="StoneSansPl"/>
        </w:rPr>
        <w:t xml:space="preserve"> pomoc </w:t>
      </w:r>
      <w:r w:rsidR="00AC2AED" w:rsidRPr="001F45A2">
        <w:rPr>
          <w:rFonts w:ascii="StoneSansPl" w:hAnsi="StoneSansPl"/>
        </w:rPr>
        <w:t xml:space="preserve">również </w:t>
      </w:r>
      <w:r w:rsidR="005434D0" w:rsidRPr="001F45A2">
        <w:rPr>
          <w:rFonts w:ascii="StoneSansPl" w:hAnsi="StoneSansPl"/>
        </w:rPr>
        <w:t xml:space="preserve">w przypadku tzw. </w:t>
      </w:r>
      <w:r w:rsidR="005434D0">
        <w:rPr>
          <w:rFonts w:ascii="StoneSansPl" w:hAnsi="StoneSansPl"/>
        </w:rPr>
        <w:t>ś</w:t>
      </w:r>
      <w:r w:rsidR="005434D0" w:rsidRPr="001F45A2">
        <w:rPr>
          <w:rFonts w:ascii="StoneSansPl" w:hAnsi="StoneSansPl"/>
        </w:rPr>
        <w:t>mierci zwykłej – nie tylko związanej z nieszczęśliwym wypadkiem czy nagłym zachorowaniem.</w:t>
      </w:r>
    </w:p>
    <w:p w14:paraId="7B887920" w14:textId="77777777" w:rsidR="00924975" w:rsidRDefault="00924975" w:rsidP="00B87A8E">
      <w:pPr>
        <w:spacing w:line="276" w:lineRule="auto"/>
        <w:jc w:val="both"/>
        <w:rPr>
          <w:rFonts w:ascii="StoneSansPl" w:hAnsi="StoneSansPl"/>
        </w:rPr>
      </w:pPr>
    </w:p>
    <w:p w14:paraId="47AE93C4" w14:textId="2C4C4A89" w:rsidR="00924975" w:rsidRPr="002D3A30" w:rsidRDefault="00924975" w:rsidP="00027F6C">
      <w:pPr>
        <w:jc w:val="both"/>
        <w:rPr>
          <w:rFonts w:ascii="StoneSansPl" w:hAnsi="StoneSansPl"/>
          <w:i/>
          <w:sz w:val="18"/>
        </w:rPr>
      </w:pPr>
      <w:r w:rsidRPr="002D3A30">
        <w:rPr>
          <w:rFonts w:ascii="StoneSansPl" w:hAnsi="StoneSansPl"/>
          <w:i/>
          <w:sz w:val="18"/>
        </w:rPr>
        <w:t xml:space="preserve">* Badanie </w:t>
      </w:r>
      <w:r>
        <w:rPr>
          <w:rFonts w:ascii="StoneSansPl" w:hAnsi="StoneSansPl"/>
          <w:i/>
          <w:sz w:val="18"/>
        </w:rPr>
        <w:t xml:space="preserve">CATI zostało </w:t>
      </w:r>
      <w:r w:rsidRPr="002D3A30">
        <w:rPr>
          <w:rFonts w:ascii="StoneSansPl" w:hAnsi="StoneSansPl"/>
          <w:i/>
          <w:sz w:val="18"/>
        </w:rPr>
        <w:t xml:space="preserve">przeprowadzone na reprezentatywnej próbie 1000 mieszkańców Polski w wieku 15+, </w:t>
      </w:r>
      <w:r>
        <w:rPr>
          <w:rFonts w:ascii="StoneSansPl" w:hAnsi="StoneSansPl"/>
          <w:i/>
          <w:sz w:val="18"/>
        </w:rPr>
        <w:t>w dniach</w:t>
      </w:r>
      <w:r w:rsidRPr="002D3A30">
        <w:rPr>
          <w:rFonts w:ascii="StoneSansPl" w:hAnsi="StoneSansPl"/>
          <w:i/>
          <w:sz w:val="18"/>
        </w:rPr>
        <w:t xml:space="preserve"> 11-12 grudnia 2018 r.; Kantar Polska</w:t>
      </w:r>
      <w:r w:rsidR="000C1405">
        <w:rPr>
          <w:rFonts w:ascii="StoneSansPl" w:hAnsi="StoneSansPl"/>
          <w:i/>
          <w:sz w:val="18"/>
        </w:rPr>
        <w:t xml:space="preserve"> dla Polskiej Organizacji Turystycznej</w:t>
      </w:r>
      <w:r w:rsidRPr="002D3A30">
        <w:rPr>
          <w:rFonts w:ascii="StoneSansPl" w:hAnsi="StoneSansPl"/>
          <w:i/>
          <w:sz w:val="18"/>
        </w:rPr>
        <w:t>. Liczba planujących wyjazd w całej próbie, to 273 osoby</w:t>
      </w:r>
    </w:p>
    <w:p w14:paraId="3D9BC7CC" w14:textId="1C4CAAAA" w:rsidR="00924975" w:rsidRPr="002D3A30" w:rsidRDefault="00924975" w:rsidP="00B87A8E">
      <w:pPr>
        <w:spacing w:line="276" w:lineRule="auto"/>
        <w:jc w:val="both"/>
        <w:rPr>
          <w:rFonts w:ascii="StoneSansPl" w:hAnsi="StoneSansPl"/>
          <w:i/>
          <w:sz w:val="18"/>
        </w:rPr>
      </w:pPr>
      <w:bookmarkStart w:id="0" w:name="_GoBack"/>
      <w:bookmarkEnd w:id="0"/>
    </w:p>
    <w:p w14:paraId="2DB7FE7D" w14:textId="77777777" w:rsidR="007C3DCB" w:rsidRPr="00BA4F1D" w:rsidRDefault="007C3DCB" w:rsidP="00892061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</w:p>
    <w:p w14:paraId="06AADE06" w14:textId="77777777" w:rsidR="00E93285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</w:p>
    <w:p w14:paraId="64145323" w14:textId="77777777" w:rsidR="00E93285" w:rsidRPr="00E93285" w:rsidRDefault="00E93285" w:rsidP="00E93285">
      <w:pPr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UNIQA Polska</w:t>
      </w:r>
    </w:p>
    <w:p w14:paraId="7AC64013" w14:textId="77777777" w:rsidR="00E93285" w:rsidRDefault="00E93285" w:rsidP="00E93285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UNIQA w Polsce reprezentują spółki UNIQA TU oraz UNIQA TU na Życie, oferujące ubezpieczenia majątkowe, komunikacyjne i życiowe, zarówno dla klientów indywidualnych, jak i instytucjonalnych. Majątkowe towarzystwo UNIQA jest liderem w ubezpieczeniach majątku spółdzielni i wspólnot mieszkaniowych w Polsce. Ubezpiecza 50 proc. spółdzielni mieszkaniowych, 40 proc. wspólnot mieszkaniowych. Produkty UNIQA można kupić zarówno w ramach sieci wyłącznej, składającej się z 200 placówek, jak też w </w:t>
      </w:r>
      <w:proofErr w:type="spellStart"/>
      <w:r w:rsidRPr="00E93285">
        <w:rPr>
          <w:rFonts w:ascii="StoneSansPl" w:hAnsi="StoneSansPl" w:cs="Arial"/>
          <w:sz w:val="18"/>
          <w:szCs w:val="22"/>
        </w:rPr>
        <w:t>multiagencjach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oraz u brokerów i dealerów samochodowych. W 2016, 2017 i 2018 roku UNIQA uzyskała tytuł Instytucji Roku nadany przez niezależny portal MojeBankowanie.pl. Pod koniec 2017 roku ubezpieczenie mienia za składką płatną miesięcznie, które dedykowane jest lokatorom spółdzielni i wspólnot mieszkaniowych, po raz trzeci uzyskało certyfikat „Dobra Polisa”. Inwestorem strategicznym spółek jest europejski holding ubezpieczeniowy o austriackich korzeniach - UNIQA </w:t>
      </w:r>
      <w:proofErr w:type="spellStart"/>
      <w:r w:rsidRPr="00E93285">
        <w:rPr>
          <w:rFonts w:ascii="StoneSansPl" w:hAnsi="StoneSansPl" w:cs="Arial"/>
          <w:sz w:val="18"/>
          <w:szCs w:val="22"/>
        </w:rPr>
        <w:t>Insurance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</w:t>
      </w:r>
      <w:proofErr w:type="spellStart"/>
      <w:r w:rsidRPr="00E93285">
        <w:rPr>
          <w:rFonts w:ascii="StoneSansPl" w:hAnsi="StoneSansPl" w:cs="Arial"/>
          <w:sz w:val="18"/>
          <w:szCs w:val="22"/>
        </w:rPr>
        <w:t>Group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AG.</w:t>
      </w:r>
    </w:p>
    <w:p w14:paraId="22951B5B" w14:textId="77777777" w:rsidR="00E93285" w:rsidRPr="00E93285" w:rsidRDefault="00E93285" w:rsidP="00E93285">
      <w:pPr>
        <w:jc w:val="both"/>
        <w:rPr>
          <w:rFonts w:ascii="StoneSansPl" w:hAnsi="StoneSansPl" w:cs="Arial"/>
          <w:sz w:val="18"/>
          <w:szCs w:val="22"/>
        </w:rPr>
      </w:pPr>
    </w:p>
    <w:p w14:paraId="4D472EAD" w14:textId="77777777" w:rsidR="00E93285" w:rsidRPr="00E93285" w:rsidRDefault="00E93285" w:rsidP="00E93285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9" w:history="1">
        <w:r w:rsidRPr="00E93285">
          <w:rPr>
            <w:rFonts w:ascii="StoneSansPl" w:hAnsi="StoneSansPl" w:cs="Arial"/>
            <w:sz w:val="18"/>
            <w:szCs w:val="22"/>
          </w:rPr>
          <w:t>www.uniqa.pl</w:t>
        </w:r>
      </w:hyperlink>
    </w:p>
    <w:p w14:paraId="3ED67AAA" w14:textId="77777777" w:rsidR="00E93285" w:rsidRPr="00E93285" w:rsidRDefault="00E93285" w:rsidP="00E93285">
      <w:pPr>
        <w:jc w:val="both"/>
        <w:rPr>
          <w:rFonts w:ascii="StoneSansPl" w:hAnsi="StoneSansPl" w:cs="Arial"/>
          <w:sz w:val="18"/>
          <w:szCs w:val="22"/>
        </w:rPr>
      </w:pPr>
    </w:p>
    <w:p w14:paraId="452CA11A" w14:textId="77777777" w:rsidR="00E93285" w:rsidRPr="00E93285" w:rsidRDefault="00E93285" w:rsidP="00E93285">
      <w:pPr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lastRenderedPageBreak/>
        <w:t>Grupa UNIQA</w:t>
      </w:r>
    </w:p>
    <w:p w14:paraId="5C2D3803" w14:textId="77777777" w:rsidR="00E93285" w:rsidRDefault="00E93285" w:rsidP="00E93285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Grupa UNIQA należy do czołowych grup ubezpieczeniowych na rynkach w Austrii i Europie Środkowo-Wschodniej.  Około 20 tys. pracowników i partnerów wyłącznych obsługuje prawie 10 mln klientów. UNIQA jest drugą co do wielkości grupą ubezpieczeniową w Austrii</w:t>
      </w:r>
      <w:r w:rsidR="00AC7715">
        <w:rPr>
          <w:rFonts w:ascii="StoneSansPl" w:hAnsi="StoneSansPl" w:cs="Arial"/>
          <w:sz w:val="18"/>
          <w:szCs w:val="22"/>
        </w:rPr>
        <w:t xml:space="preserve"> z </w:t>
      </w:r>
      <w:r w:rsidRPr="00E93285">
        <w:rPr>
          <w:rFonts w:ascii="StoneSansPl" w:hAnsi="StoneSansPl" w:cs="Arial"/>
          <w:sz w:val="18"/>
          <w:szCs w:val="22"/>
        </w:rPr>
        <w:t>ok. 21-proc. udział</w:t>
      </w:r>
      <w:r w:rsidR="00AC7715">
        <w:rPr>
          <w:rFonts w:ascii="StoneSansPl" w:hAnsi="StoneSansPl" w:cs="Arial"/>
          <w:sz w:val="18"/>
          <w:szCs w:val="22"/>
        </w:rPr>
        <w:t xml:space="preserve">em </w:t>
      </w:r>
      <w:r w:rsidRPr="00E93285">
        <w:rPr>
          <w:rFonts w:ascii="StoneSansPl" w:hAnsi="StoneSansPl" w:cs="Arial"/>
          <w:sz w:val="18"/>
          <w:szCs w:val="22"/>
        </w:rPr>
        <w:t>w rynku. W 2017 roku Grupa UNIQA zebrała 5,3 mld euro składki.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 w Szwajcarii i Liechtensteinie.</w:t>
      </w:r>
    </w:p>
    <w:p w14:paraId="4DCAB590" w14:textId="77777777" w:rsidR="00E93285" w:rsidRPr="00E93285" w:rsidRDefault="00E93285" w:rsidP="00E93285">
      <w:pPr>
        <w:jc w:val="both"/>
        <w:rPr>
          <w:rFonts w:ascii="StoneSansPl" w:hAnsi="StoneSansPl" w:cs="Arial"/>
          <w:sz w:val="18"/>
          <w:szCs w:val="22"/>
        </w:rPr>
      </w:pPr>
    </w:p>
    <w:p w14:paraId="74A4336B" w14:textId="77777777" w:rsidR="00E93285" w:rsidRPr="00E93285" w:rsidRDefault="00E93285" w:rsidP="00E93285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10" w:history="1">
        <w:r w:rsidRPr="00E93285">
          <w:rPr>
            <w:rFonts w:ascii="StoneSansPl" w:hAnsi="StoneSansPl" w:cs="Arial"/>
            <w:sz w:val="18"/>
            <w:szCs w:val="22"/>
          </w:rPr>
          <w:t>www.uniqagroup.com</w:t>
        </w:r>
      </w:hyperlink>
    </w:p>
    <w:p w14:paraId="5A559578" w14:textId="77777777" w:rsidR="00E93285" w:rsidRPr="00E93285" w:rsidRDefault="00E93285" w:rsidP="00E93285">
      <w:pPr>
        <w:jc w:val="both"/>
        <w:rPr>
          <w:rFonts w:ascii="StoneSansPl" w:hAnsi="StoneSansPl" w:cs="Arial"/>
          <w:sz w:val="18"/>
          <w:szCs w:val="22"/>
        </w:rPr>
      </w:pPr>
    </w:p>
    <w:p w14:paraId="2053F157" w14:textId="77777777" w:rsidR="00E93285" w:rsidRDefault="00E93285" w:rsidP="00E93285">
      <w:pPr>
        <w:jc w:val="both"/>
        <w:rPr>
          <w:rFonts w:ascii="StoneSansPl" w:hAnsi="StoneSansPl" w:cs="Arial"/>
          <w:b/>
          <w:sz w:val="18"/>
          <w:szCs w:val="22"/>
        </w:rPr>
      </w:pPr>
    </w:p>
    <w:p w14:paraId="4F5E5ACA" w14:textId="77777777"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KONTAKT DLA MEDIÓW:</w:t>
      </w:r>
    </w:p>
    <w:p w14:paraId="71CDDC75" w14:textId="77777777"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Katarzyna Ostrowska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br/>
        <w:t xml:space="preserve">rzeczniczka prasowa UNIQA 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</w:p>
    <w:p w14:paraId="018F75FC" w14:textId="77777777" w:rsidR="00E93285" w:rsidRPr="00721F6A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r w:rsidRPr="00721F6A">
        <w:rPr>
          <w:rFonts w:ascii="StoneSansPl" w:hAnsi="StoneSansPl" w:cs="Arial"/>
          <w:sz w:val="18"/>
          <w:szCs w:val="22"/>
          <w:lang w:val="de-AT"/>
        </w:rPr>
        <w:t>tel. (+48) 697 770</w:t>
      </w:r>
      <w:r w:rsidRPr="00721F6A">
        <w:rPr>
          <w:rFonts w:ascii="StoneSansPl" w:hAnsi="StoneSansPl" w:cs="Arial" w:hint="eastAsia"/>
          <w:sz w:val="18"/>
          <w:szCs w:val="22"/>
          <w:lang w:val="de-AT"/>
        </w:rPr>
        <w:t> </w:t>
      </w:r>
      <w:r w:rsidRPr="00721F6A">
        <w:rPr>
          <w:rFonts w:ascii="StoneSansPl" w:hAnsi="StoneSansPl" w:cs="Arial"/>
          <w:sz w:val="18"/>
          <w:szCs w:val="22"/>
          <w:lang w:val="de-AT"/>
        </w:rPr>
        <w:t xml:space="preserve">498 </w:t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  <w:t xml:space="preserve"> </w:t>
      </w:r>
    </w:p>
    <w:p w14:paraId="77ADF339" w14:textId="77777777" w:rsidR="00E93285" w:rsidRPr="00721F6A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proofErr w:type="spellStart"/>
      <w:r w:rsidRPr="00721F6A">
        <w:rPr>
          <w:rFonts w:ascii="StoneSansPl" w:hAnsi="StoneSansPl" w:cs="Arial"/>
          <w:sz w:val="18"/>
          <w:szCs w:val="22"/>
          <w:lang w:val="de-AT"/>
        </w:rPr>
        <w:t>e-mail</w:t>
      </w:r>
      <w:proofErr w:type="spellEnd"/>
      <w:r w:rsidRPr="00721F6A">
        <w:rPr>
          <w:rFonts w:ascii="StoneSansPl" w:hAnsi="StoneSansPl" w:cs="Arial"/>
          <w:sz w:val="18"/>
          <w:szCs w:val="22"/>
          <w:lang w:val="de-AT"/>
        </w:rPr>
        <w:t xml:space="preserve">: </w:t>
      </w:r>
      <w:hyperlink r:id="rId11" w:history="1">
        <w:r w:rsidRPr="00721F6A">
          <w:rPr>
            <w:rFonts w:ascii="StoneSansPl" w:hAnsi="StoneSansPl" w:cs="Arial"/>
            <w:sz w:val="18"/>
            <w:szCs w:val="22"/>
            <w:lang w:val="de-AT"/>
          </w:rPr>
          <w:t>katarzyna.ostrowska@uniqa.pl</w:t>
        </w:r>
      </w:hyperlink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</w:p>
    <w:p w14:paraId="6758D821" w14:textId="77777777"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proofErr w:type="spellStart"/>
      <w:r w:rsidRPr="00E93285">
        <w:rPr>
          <w:rFonts w:ascii="StoneSansPl" w:hAnsi="StoneSansPl" w:cs="Arial"/>
          <w:sz w:val="18"/>
          <w:szCs w:val="22"/>
        </w:rPr>
        <w:t>tt</w:t>
      </w:r>
      <w:proofErr w:type="spellEnd"/>
      <w:r w:rsidRPr="00E93285">
        <w:rPr>
          <w:rFonts w:ascii="StoneSansPl" w:hAnsi="StoneSansPl" w:cs="Arial"/>
          <w:sz w:val="18"/>
          <w:szCs w:val="22"/>
        </w:rPr>
        <w:t>/</w:t>
      </w:r>
      <w:proofErr w:type="spellStart"/>
      <w:r w:rsidRPr="00E93285">
        <w:rPr>
          <w:rFonts w:ascii="StoneSansPl" w:hAnsi="StoneSansPl" w:cs="Arial"/>
          <w:sz w:val="18"/>
          <w:szCs w:val="22"/>
        </w:rPr>
        <w:t>instagram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@</w:t>
      </w:r>
      <w:proofErr w:type="spellStart"/>
      <w:r w:rsidRPr="00E93285">
        <w:rPr>
          <w:rFonts w:ascii="StoneSansPl" w:hAnsi="StoneSansPl" w:cs="Arial"/>
          <w:sz w:val="18"/>
          <w:szCs w:val="22"/>
        </w:rPr>
        <w:t>uniqapolska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</w:p>
    <w:sectPr w:rsidR="00E93285" w:rsidRPr="00E93285" w:rsidSect="003B0090">
      <w:headerReference w:type="default" r:id="rId12"/>
      <w:footerReference w:type="default" r:id="rId13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3F230" w14:textId="77777777" w:rsidR="00CA612E" w:rsidRDefault="00CA612E">
      <w:r>
        <w:separator/>
      </w:r>
    </w:p>
  </w:endnote>
  <w:endnote w:type="continuationSeparator" w:id="0">
    <w:p w14:paraId="3FAF0DBE" w14:textId="77777777" w:rsidR="00CA612E" w:rsidRDefault="00C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1ADC" w14:textId="77777777" w:rsidR="00640A15" w:rsidRDefault="00640A15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6037" w14:textId="77777777" w:rsidR="00CA612E" w:rsidRDefault="00CA612E">
      <w:r>
        <w:separator/>
      </w:r>
    </w:p>
  </w:footnote>
  <w:footnote w:type="continuationSeparator" w:id="0">
    <w:p w14:paraId="4323D244" w14:textId="77777777" w:rsidR="00CA612E" w:rsidRDefault="00CA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B170" w14:textId="77777777" w:rsidR="00640A15" w:rsidRDefault="00640A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A0814" wp14:editId="3F64CD9E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17" name="Obraz 17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C23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0C7A"/>
    <w:multiLevelType w:val="hybridMultilevel"/>
    <w:tmpl w:val="A6D4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2EF"/>
    <w:multiLevelType w:val="hybridMultilevel"/>
    <w:tmpl w:val="FEFE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7557"/>
    <w:multiLevelType w:val="hybridMultilevel"/>
    <w:tmpl w:val="B1D850DA"/>
    <w:lvl w:ilvl="0" w:tplc="2DBA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2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2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9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CF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47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9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647F2"/>
    <w:multiLevelType w:val="multilevel"/>
    <w:tmpl w:val="861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A1E14"/>
    <w:multiLevelType w:val="hybridMultilevel"/>
    <w:tmpl w:val="2320C3FE"/>
    <w:lvl w:ilvl="0" w:tplc="842C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67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0F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5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4B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A9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B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1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D20CE"/>
    <w:multiLevelType w:val="hybridMultilevel"/>
    <w:tmpl w:val="80B8AAB0"/>
    <w:lvl w:ilvl="0" w:tplc="B4F4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AE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8F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9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9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4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E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C9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D7A2A"/>
    <w:multiLevelType w:val="hybridMultilevel"/>
    <w:tmpl w:val="0994D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687"/>
    <w:multiLevelType w:val="hybridMultilevel"/>
    <w:tmpl w:val="7278B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4187E"/>
    <w:multiLevelType w:val="hybridMultilevel"/>
    <w:tmpl w:val="B16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D3857"/>
    <w:multiLevelType w:val="hybridMultilevel"/>
    <w:tmpl w:val="F474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270F87"/>
    <w:multiLevelType w:val="hybridMultilevel"/>
    <w:tmpl w:val="B33464AE"/>
    <w:lvl w:ilvl="0" w:tplc="D4AA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6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1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E3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02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EB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4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20BEA"/>
    <w:multiLevelType w:val="multilevel"/>
    <w:tmpl w:val="9CF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7F79CC"/>
    <w:multiLevelType w:val="hybridMultilevel"/>
    <w:tmpl w:val="C454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C322D"/>
    <w:multiLevelType w:val="hybridMultilevel"/>
    <w:tmpl w:val="31804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B1C1F"/>
    <w:multiLevelType w:val="multilevel"/>
    <w:tmpl w:val="31A8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3A5037"/>
    <w:multiLevelType w:val="hybridMultilevel"/>
    <w:tmpl w:val="1D2A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5"/>
  </w:num>
  <w:num w:numId="10">
    <w:abstractNumId w:val="21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20"/>
  </w:num>
  <w:num w:numId="17">
    <w:abstractNumId w:val="9"/>
  </w:num>
  <w:num w:numId="18">
    <w:abstractNumId w:val="22"/>
  </w:num>
  <w:num w:numId="19">
    <w:abstractNumId w:val="19"/>
  </w:num>
  <w:num w:numId="20">
    <w:abstractNumId w:val="18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00B41"/>
    <w:rsid w:val="000010E0"/>
    <w:rsid w:val="000013C2"/>
    <w:rsid w:val="0000195C"/>
    <w:rsid w:val="00002D44"/>
    <w:rsid w:val="0001003C"/>
    <w:rsid w:val="000108D0"/>
    <w:rsid w:val="00020D1F"/>
    <w:rsid w:val="00023B73"/>
    <w:rsid w:val="00027F6C"/>
    <w:rsid w:val="00030C27"/>
    <w:rsid w:val="00033100"/>
    <w:rsid w:val="00034112"/>
    <w:rsid w:val="00037E0F"/>
    <w:rsid w:val="00044A48"/>
    <w:rsid w:val="0005030E"/>
    <w:rsid w:val="00053B83"/>
    <w:rsid w:val="00062BFD"/>
    <w:rsid w:val="00066792"/>
    <w:rsid w:val="00070041"/>
    <w:rsid w:val="00071B48"/>
    <w:rsid w:val="000800A3"/>
    <w:rsid w:val="000A19DA"/>
    <w:rsid w:val="000B0461"/>
    <w:rsid w:val="000B46FA"/>
    <w:rsid w:val="000C1405"/>
    <w:rsid w:val="000C2E49"/>
    <w:rsid w:val="000C4F3F"/>
    <w:rsid w:val="000C61C3"/>
    <w:rsid w:val="000D01BF"/>
    <w:rsid w:val="000D5DD7"/>
    <w:rsid w:val="000E0D8B"/>
    <w:rsid w:val="000E584B"/>
    <w:rsid w:val="00124B15"/>
    <w:rsid w:val="00125D56"/>
    <w:rsid w:val="00130E87"/>
    <w:rsid w:val="0014498B"/>
    <w:rsid w:val="00150A55"/>
    <w:rsid w:val="00150C3C"/>
    <w:rsid w:val="00154CBD"/>
    <w:rsid w:val="001574D9"/>
    <w:rsid w:val="0016070B"/>
    <w:rsid w:val="001731EE"/>
    <w:rsid w:val="00173751"/>
    <w:rsid w:val="0017590E"/>
    <w:rsid w:val="00182B18"/>
    <w:rsid w:val="00185FC1"/>
    <w:rsid w:val="0019188F"/>
    <w:rsid w:val="00193BA0"/>
    <w:rsid w:val="00193CBE"/>
    <w:rsid w:val="00195C24"/>
    <w:rsid w:val="001A5401"/>
    <w:rsid w:val="001B339E"/>
    <w:rsid w:val="001B5978"/>
    <w:rsid w:val="001C0C59"/>
    <w:rsid w:val="001C16EA"/>
    <w:rsid w:val="001C2F58"/>
    <w:rsid w:val="001E5FEF"/>
    <w:rsid w:val="001E7518"/>
    <w:rsid w:val="001F09A7"/>
    <w:rsid w:val="001F0F1E"/>
    <w:rsid w:val="001F45A2"/>
    <w:rsid w:val="001F6377"/>
    <w:rsid w:val="00201358"/>
    <w:rsid w:val="00207BBE"/>
    <w:rsid w:val="00220021"/>
    <w:rsid w:val="0022046F"/>
    <w:rsid w:val="0022526C"/>
    <w:rsid w:val="002253E2"/>
    <w:rsid w:val="002363CE"/>
    <w:rsid w:val="00262198"/>
    <w:rsid w:val="00263882"/>
    <w:rsid w:val="00266CB1"/>
    <w:rsid w:val="00284AAB"/>
    <w:rsid w:val="0028527E"/>
    <w:rsid w:val="002875B8"/>
    <w:rsid w:val="0029266C"/>
    <w:rsid w:val="00296FE4"/>
    <w:rsid w:val="00297DE9"/>
    <w:rsid w:val="002A6DF9"/>
    <w:rsid w:val="002B2306"/>
    <w:rsid w:val="002B4BA1"/>
    <w:rsid w:val="002B7D17"/>
    <w:rsid w:val="002C4244"/>
    <w:rsid w:val="002C6556"/>
    <w:rsid w:val="002D03B1"/>
    <w:rsid w:val="002D293F"/>
    <w:rsid w:val="002D3101"/>
    <w:rsid w:val="002D3A30"/>
    <w:rsid w:val="002D51E1"/>
    <w:rsid w:val="002D5F2A"/>
    <w:rsid w:val="002E0E65"/>
    <w:rsid w:val="002E1553"/>
    <w:rsid w:val="002F52C8"/>
    <w:rsid w:val="00301ABE"/>
    <w:rsid w:val="003033F1"/>
    <w:rsid w:val="003068C0"/>
    <w:rsid w:val="00314C63"/>
    <w:rsid w:val="0033065F"/>
    <w:rsid w:val="00331F0F"/>
    <w:rsid w:val="0033725B"/>
    <w:rsid w:val="00340F07"/>
    <w:rsid w:val="0034301D"/>
    <w:rsid w:val="00362289"/>
    <w:rsid w:val="0036668A"/>
    <w:rsid w:val="00374423"/>
    <w:rsid w:val="00374AF7"/>
    <w:rsid w:val="0038504D"/>
    <w:rsid w:val="003A1950"/>
    <w:rsid w:val="003A20AA"/>
    <w:rsid w:val="003B0090"/>
    <w:rsid w:val="003B1EA2"/>
    <w:rsid w:val="003B3FDE"/>
    <w:rsid w:val="003B64A0"/>
    <w:rsid w:val="003C7318"/>
    <w:rsid w:val="003D156B"/>
    <w:rsid w:val="003D1985"/>
    <w:rsid w:val="003D48AF"/>
    <w:rsid w:val="003D7410"/>
    <w:rsid w:val="003E158E"/>
    <w:rsid w:val="003E2593"/>
    <w:rsid w:val="003E4CCF"/>
    <w:rsid w:val="003E54F3"/>
    <w:rsid w:val="003F25E4"/>
    <w:rsid w:val="003F57CB"/>
    <w:rsid w:val="004071D8"/>
    <w:rsid w:val="00410C7E"/>
    <w:rsid w:val="004153BB"/>
    <w:rsid w:val="00416099"/>
    <w:rsid w:val="004167F9"/>
    <w:rsid w:val="00425C4E"/>
    <w:rsid w:val="0042724C"/>
    <w:rsid w:val="00431CE7"/>
    <w:rsid w:val="00433910"/>
    <w:rsid w:val="00440F98"/>
    <w:rsid w:val="00445C7A"/>
    <w:rsid w:val="004468EC"/>
    <w:rsid w:val="00446E85"/>
    <w:rsid w:val="00447D7B"/>
    <w:rsid w:val="004514DF"/>
    <w:rsid w:val="00455758"/>
    <w:rsid w:val="00460D15"/>
    <w:rsid w:val="00460D4B"/>
    <w:rsid w:val="00463692"/>
    <w:rsid w:val="00464BC5"/>
    <w:rsid w:val="00467DBA"/>
    <w:rsid w:val="004717BA"/>
    <w:rsid w:val="004727D8"/>
    <w:rsid w:val="00473666"/>
    <w:rsid w:val="004738C0"/>
    <w:rsid w:val="00474123"/>
    <w:rsid w:val="00475F17"/>
    <w:rsid w:val="004820A1"/>
    <w:rsid w:val="004824B6"/>
    <w:rsid w:val="004914AE"/>
    <w:rsid w:val="004A00EA"/>
    <w:rsid w:val="004A654D"/>
    <w:rsid w:val="004B4A7A"/>
    <w:rsid w:val="004C0103"/>
    <w:rsid w:val="004C2D2F"/>
    <w:rsid w:val="004C7E39"/>
    <w:rsid w:val="004E75C5"/>
    <w:rsid w:val="004F1B45"/>
    <w:rsid w:val="004F39B2"/>
    <w:rsid w:val="004F4FD6"/>
    <w:rsid w:val="004F5755"/>
    <w:rsid w:val="00501EB0"/>
    <w:rsid w:val="0050784F"/>
    <w:rsid w:val="0051465A"/>
    <w:rsid w:val="00515467"/>
    <w:rsid w:val="00522082"/>
    <w:rsid w:val="0052265A"/>
    <w:rsid w:val="00523A74"/>
    <w:rsid w:val="00525219"/>
    <w:rsid w:val="00534704"/>
    <w:rsid w:val="005400EE"/>
    <w:rsid w:val="00542AD9"/>
    <w:rsid w:val="005434D0"/>
    <w:rsid w:val="00544C70"/>
    <w:rsid w:val="0055181B"/>
    <w:rsid w:val="00551B79"/>
    <w:rsid w:val="0055314D"/>
    <w:rsid w:val="005538A3"/>
    <w:rsid w:val="00555855"/>
    <w:rsid w:val="00556589"/>
    <w:rsid w:val="00557E0F"/>
    <w:rsid w:val="00563F13"/>
    <w:rsid w:val="005701DC"/>
    <w:rsid w:val="00571DA1"/>
    <w:rsid w:val="005A6CBB"/>
    <w:rsid w:val="005B0C0E"/>
    <w:rsid w:val="005B4D8C"/>
    <w:rsid w:val="005C62F8"/>
    <w:rsid w:val="005C671E"/>
    <w:rsid w:val="005C7D39"/>
    <w:rsid w:val="005D5E84"/>
    <w:rsid w:val="005E5190"/>
    <w:rsid w:val="005F0D35"/>
    <w:rsid w:val="005F22FE"/>
    <w:rsid w:val="005F40E5"/>
    <w:rsid w:val="00601642"/>
    <w:rsid w:val="00604A77"/>
    <w:rsid w:val="00604ED1"/>
    <w:rsid w:val="006056FE"/>
    <w:rsid w:val="006124E4"/>
    <w:rsid w:val="00627289"/>
    <w:rsid w:val="00631782"/>
    <w:rsid w:val="00640A15"/>
    <w:rsid w:val="0064214F"/>
    <w:rsid w:val="0064699A"/>
    <w:rsid w:val="00653D32"/>
    <w:rsid w:val="0065589B"/>
    <w:rsid w:val="00656FAF"/>
    <w:rsid w:val="006608BE"/>
    <w:rsid w:val="00664D91"/>
    <w:rsid w:val="006713BA"/>
    <w:rsid w:val="006758DC"/>
    <w:rsid w:val="00676129"/>
    <w:rsid w:val="006779A6"/>
    <w:rsid w:val="00683D9D"/>
    <w:rsid w:val="006876FB"/>
    <w:rsid w:val="006A2EB6"/>
    <w:rsid w:val="006B05B8"/>
    <w:rsid w:val="006C37B8"/>
    <w:rsid w:val="006D1E78"/>
    <w:rsid w:val="006D2241"/>
    <w:rsid w:val="006D35DA"/>
    <w:rsid w:val="006D7B3E"/>
    <w:rsid w:val="006E3121"/>
    <w:rsid w:val="006F26C9"/>
    <w:rsid w:val="006F540B"/>
    <w:rsid w:val="00701480"/>
    <w:rsid w:val="00701506"/>
    <w:rsid w:val="00701B81"/>
    <w:rsid w:val="0070435E"/>
    <w:rsid w:val="00711E68"/>
    <w:rsid w:val="00714BA6"/>
    <w:rsid w:val="00721F6A"/>
    <w:rsid w:val="0073015C"/>
    <w:rsid w:val="00733DB3"/>
    <w:rsid w:val="00754398"/>
    <w:rsid w:val="0075634D"/>
    <w:rsid w:val="00761337"/>
    <w:rsid w:val="00774FD6"/>
    <w:rsid w:val="00775485"/>
    <w:rsid w:val="00786F45"/>
    <w:rsid w:val="007920EC"/>
    <w:rsid w:val="007A08C6"/>
    <w:rsid w:val="007A30BC"/>
    <w:rsid w:val="007A5829"/>
    <w:rsid w:val="007A7B0A"/>
    <w:rsid w:val="007A7E58"/>
    <w:rsid w:val="007B7684"/>
    <w:rsid w:val="007C104D"/>
    <w:rsid w:val="007C3DCB"/>
    <w:rsid w:val="007D01B4"/>
    <w:rsid w:val="007D089F"/>
    <w:rsid w:val="007D3714"/>
    <w:rsid w:val="007D3BA6"/>
    <w:rsid w:val="007D5D22"/>
    <w:rsid w:val="007E07C7"/>
    <w:rsid w:val="007E12A5"/>
    <w:rsid w:val="007E1BAE"/>
    <w:rsid w:val="007E5565"/>
    <w:rsid w:val="007F1C68"/>
    <w:rsid w:val="007F60AC"/>
    <w:rsid w:val="00802F11"/>
    <w:rsid w:val="00803151"/>
    <w:rsid w:val="00804190"/>
    <w:rsid w:val="00806F0F"/>
    <w:rsid w:val="00820DE6"/>
    <w:rsid w:val="008222BB"/>
    <w:rsid w:val="00824380"/>
    <w:rsid w:val="0084676F"/>
    <w:rsid w:val="00857A4C"/>
    <w:rsid w:val="00866DC1"/>
    <w:rsid w:val="00867679"/>
    <w:rsid w:val="00876BCC"/>
    <w:rsid w:val="00892061"/>
    <w:rsid w:val="008967BB"/>
    <w:rsid w:val="00897FE6"/>
    <w:rsid w:val="008A0D3B"/>
    <w:rsid w:val="008A3CD2"/>
    <w:rsid w:val="008A7C43"/>
    <w:rsid w:val="008B424A"/>
    <w:rsid w:val="008B569B"/>
    <w:rsid w:val="008C62A4"/>
    <w:rsid w:val="008E3308"/>
    <w:rsid w:val="008F409C"/>
    <w:rsid w:val="008F5956"/>
    <w:rsid w:val="008F5964"/>
    <w:rsid w:val="008F709F"/>
    <w:rsid w:val="00905E1E"/>
    <w:rsid w:val="0090716D"/>
    <w:rsid w:val="00924975"/>
    <w:rsid w:val="00930B36"/>
    <w:rsid w:val="00933B67"/>
    <w:rsid w:val="009419D3"/>
    <w:rsid w:val="00941FB5"/>
    <w:rsid w:val="00941FBA"/>
    <w:rsid w:val="00944068"/>
    <w:rsid w:val="00952304"/>
    <w:rsid w:val="00952BC1"/>
    <w:rsid w:val="009530EE"/>
    <w:rsid w:val="0095320A"/>
    <w:rsid w:val="0095562F"/>
    <w:rsid w:val="00956B79"/>
    <w:rsid w:val="00971665"/>
    <w:rsid w:val="009757E7"/>
    <w:rsid w:val="00980B68"/>
    <w:rsid w:val="009A6FB5"/>
    <w:rsid w:val="009B0360"/>
    <w:rsid w:val="009B3500"/>
    <w:rsid w:val="009C5E92"/>
    <w:rsid w:val="009C7739"/>
    <w:rsid w:val="009D2134"/>
    <w:rsid w:val="009E1E25"/>
    <w:rsid w:val="009E39D6"/>
    <w:rsid w:val="009E4739"/>
    <w:rsid w:val="009F00DA"/>
    <w:rsid w:val="009F13E6"/>
    <w:rsid w:val="009F550F"/>
    <w:rsid w:val="009F7EC7"/>
    <w:rsid w:val="00A00124"/>
    <w:rsid w:val="00A039FF"/>
    <w:rsid w:val="00A04A91"/>
    <w:rsid w:val="00A07A99"/>
    <w:rsid w:val="00A07BD1"/>
    <w:rsid w:val="00A204AB"/>
    <w:rsid w:val="00A362FD"/>
    <w:rsid w:val="00A4289C"/>
    <w:rsid w:val="00A43D48"/>
    <w:rsid w:val="00A46148"/>
    <w:rsid w:val="00A476E4"/>
    <w:rsid w:val="00A525A8"/>
    <w:rsid w:val="00A7394E"/>
    <w:rsid w:val="00A742E2"/>
    <w:rsid w:val="00A754E0"/>
    <w:rsid w:val="00A82389"/>
    <w:rsid w:val="00A82861"/>
    <w:rsid w:val="00A9394D"/>
    <w:rsid w:val="00AC037A"/>
    <w:rsid w:val="00AC2AED"/>
    <w:rsid w:val="00AC7715"/>
    <w:rsid w:val="00AC7B99"/>
    <w:rsid w:val="00AE0300"/>
    <w:rsid w:val="00AF605D"/>
    <w:rsid w:val="00AF7F0E"/>
    <w:rsid w:val="00B01FBC"/>
    <w:rsid w:val="00B13F3F"/>
    <w:rsid w:val="00B16E25"/>
    <w:rsid w:val="00B34D65"/>
    <w:rsid w:val="00B36B8B"/>
    <w:rsid w:val="00B36FA4"/>
    <w:rsid w:val="00B42721"/>
    <w:rsid w:val="00B45F5D"/>
    <w:rsid w:val="00B50819"/>
    <w:rsid w:val="00B56D6A"/>
    <w:rsid w:val="00B56F7F"/>
    <w:rsid w:val="00B61BF2"/>
    <w:rsid w:val="00B62A9A"/>
    <w:rsid w:val="00B67757"/>
    <w:rsid w:val="00B825F8"/>
    <w:rsid w:val="00B849E0"/>
    <w:rsid w:val="00B87A8E"/>
    <w:rsid w:val="00B93695"/>
    <w:rsid w:val="00B93C2F"/>
    <w:rsid w:val="00B9742C"/>
    <w:rsid w:val="00BA4F1D"/>
    <w:rsid w:val="00BA76EE"/>
    <w:rsid w:val="00BC5660"/>
    <w:rsid w:val="00BC5A1D"/>
    <w:rsid w:val="00BC75CF"/>
    <w:rsid w:val="00BC7680"/>
    <w:rsid w:val="00BE2E8E"/>
    <w:rsid w:val="00BE4783"/>
    <w:rsid w:val="00BE5CC7"/>
    <w:rsid w:val="00BF0292"/>
    <w:rsid w:val="00BF489D"/>
    <w:rsid w:val="00BF59E1"/>
    <w:rsid w:val="00BF7FAF"/>
    <w:rsid w:val="00C04408"/>
    <w:rsid w:val="00C226AA"/>
    <w:rsid w:val="00C3652E"/>
    <w:rsid w:val="00C45998"/>
    <w:rsid w:val="00C51386"/>
    <w:rsid w:val="00C521CC"/>
    <w:rsid w:val="00C53AF4"/>
    <w:rsid w:val="00C56A77"/>
    <w:rsid w:val="00C62245"/>
    <w:rsid w:val="00C7315A"/>
    <w:rsid w:val="00C740CF"/>
    <w:rsid w:val="00C82E07"/>
    <w:rsid w:val="00C87B1F"/>
    <w:rsid w:val="00C9056E"/>
    <w:rsid w:val="00C90E91"/>
    <w:rsid w:val="00C9525B"/>
    <w:rsid w:val="00CA612E"/>
    <w:rsid w:val="00CA714F"/>
    <w:rsid w:val="00CB4355"/>
    <w:rsid w:val="00CB4681"/>
    <w:rsid w:val="00CB6BD0"/>
    <w:rsid w:val="00CC5316"/>
    <w:rsid w:val="00CD44EA"/>
    <w:rsid w:val="00CD4855"/>
    <w:rsid w:val="00CD74B3"/>
    <w:rsid w:val="00CE1C67"/>
    <w:rsid w:val="00CE3A0A"/>
    <w:rsid w:val="00CE4A70"/>
    <w:rsid w:val="00D02335"/>
    <w:rsid w:val="00D0419F"/>
    <w:rsid w:val="00D12707"/>
    <w:rsid w:val="00D21412"/>
    <w:rsid w:val="00D26481"/>
    <w:rsid w:val="00D274FC"/>
    <w:rsid w:val="00D27EEF"/>
    <w:rsid w:val="00D34A98"/>
    <w:rsid w:val="00D44E13"/>
    <w:rsid w:val="00D51096"/>
    <w:rsid w:val="00D61958"/>
    <w:rsid w:val="00D70F18"/>
    <w:rsid w:val="00D715D4"/>
    <w:rsid w:val="00D75D23"/>
    <w:rsid w:val="00D8151A"/>
    <w:rsid w:val="00D90A66"/>
    <w:rsid w:val="00D90F72"/>
    <w:rsid w:val="00DA3574"/>
    <w:rsid w:val="00DA7172"/>
    <w:rsid w:val="00DB025D"/>
    <w:rsid w:val="00DB0445"/>
    <w:rsid w:val="00DB5C6D"/>
    <w:rsid w:val="00DD396B"/>
    <w:rsid w:val="00DD4389"/>
    <w:rsid w:val="00DE06B9"/>
    <w:rsid w:val="00DE2E79"/>
    <w:rsid w:val="00DE5750"/>
    <w:rsid w:val="00E01286"/>
    <w:rsid w:val="00E01ADE"/>
    <w:rsid w:val="00E01CBE"/>
    <w:rsid w:val="00E040F9"/>
    <w:rsid w:val="00E11983"/>
    <w:rsid w:val="00E16CB0"/>
    <w:rsid w:val="00E21A35"/>
    <w:rsid w:val="00E24F6D"/>
    <w:rsid w:val="00E32446"/>
    <w:rsid w:val="00E416DE"/>
    <w:rsid w:val="00E446A8"/>
    <w:rsid w:val="00E56852"/>
    <w:rsid w:val="00E72E9A"/>
    <w:rsid w:val="00E767B7"/>
    <w:rsid w:val="00E776B8"/>
    <w:rsid w:val="00E834B2"/>
    <w:rsid w:val="00E86992"/>
    <w:rsid w:val="00E93285"/>
    <w:rsid w:val="00EA73C5"/>
    <w:rsid w:val="00EC2BB2"/>
    <w:rsid w:val="00EE74DA"/>
    <w:rsid w:val="00EF12C0"/>
    <w:rsid w:val="00EF1EEC"/>
    <w:rsid w:val="00EF2605"/>
    <w:rsid w:val="00F029D9"/>
    <w:rsid w:val="00F04327"/>
    <w:rsid w:val="00F05DB9"/>
    <w:rsid w:val="00F07665"/>
    <w:rsid w:val="00F13FE7"/>
    <w:rsid w:val="00F206B1"/>
    <w:rsid w:val="00F233A2"/>
    <w:rsid w:val="00F262CD"/>
    <w:rsid w:val="00F27FEF"/>
    <w:rsid w:val="00F30EC0"/>
    <w:rsid w:val="00F33C4A"/>
    <w:rsid w:val="00F3482D"/>
    <w:rsid w:val="00F35977"/>
    <w:rsid w:val="00F40951"/>
    <w:rsid w:val="00F41E71"/>
    <w:rsid w:val="00F43378"/>
    <w:rsid w:val="00F5068B"/>
    <w:rsid w:val="00F60240"/>
    <w:rsid w:val="00F60CD3"/>
    <w:rsid w:val="00F62307"/>
    <w:rsid w:val="00F81C0D"/>
    <w:rsid w:val="00F879B4"/>
    <w:rsid w:val="00FA1D84"/>
    <w:rsid w:val="00FA5EF5"/>
    <w:rsid w:val="00FC2A92"/>
    <w:rsid w:val="00FD3A37"/>
    <w:rsid w:val="00FE18CF"/>
    <w:rsid w:val="00FF140B"/>
    <w:rsid w:val="00FF4A6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AED8F"/>
  <w14:defaultImageDpi w14:val="300"/>
  <w15:docId w15:val="{59BFB598-6DED-4B28-98A0-2D492F2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C7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95C24"/>
    <w:rPr>
      <w:i/>
      <w:iCs/>
    </w:rPr>
  </w:style>
  <w:style w:type="character" w:customStyle="1" w:styleId="apple-converted-space">
    <w:name w:val="apple-converted-space"/>
    <w:basedOn w:val="Domylnaczcionkaakapitu"/>
    <w:rsid w:val="00195C24"/>
  </w:style>
  <w:style w:type="character" w:styleId="Odwoaniedokomentarza">
    <w:name w:val="annotation reference"/>
    <w:basedOn w:val="Domylnaczcionkaakapitu"/>
    <w:uiPriority w:val="99"/>
    <w:semiHidden/>
    <w:unhideWhenUsed/>
    <w:rsid w:val="00CC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316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16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16"/>
    <w:rPr>
      <w:rFonts w:ascii="Segoe UI" w:hAnsi="Segoe UI" w:cs="Segoe UI"/>
      <w:sz w:val="18"/>
      <w:szCs w:val="18"/>
      <w:lang w:val="pl-PL"/>
    </w:rPr>
  </w:style>
  <w:style w:type="paragraph" w:styleId="Listapunktowana">
    <w:name w:val="List Bullet"/>
    <w:basedOn w:val="Normalny"/>
    <w:uiPriority w:val="99"/>
    <w:unhideWhenUsed/>
    <w:rsid w:val="00AF7F0E"/>
    <w:pPr>
      <w:numPr>
        <w:numId w:val="8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Brak">
    <w:name w:val="Brak"/>
    <w:rsid w:val="00E93285"/>
  </w:style>
  <w:style w:type="character" w:customStyle="1" w:styleId="Hyperlink0">
    <w:name w:val="Hyperlink.0"/>
    <w:basedOn w:val="Brak"/>
    <w:rsid w:val="00E93285"/>
    <w:rPr>
      <w:sz w:val="20"/>
      <w:szCs w:val="20"/>
    </w:rPr>
  </w:style>
  <w:style w:type="character" w:customStyle="1" w:styleId="Hyperlink1">
    <w:name w:val="Hyperlink.1"/>
    <w:basedOn w:val="Brak"/>
    <w:rsid w:val="00E93285"/>
    <w:rPr>
      <w:rFonts w:ascii="Times New Roman" w:eastAsia="Times New Roman" w:hAnsi="Times New Roman" w:cs="Times New Roman" w:hint="default"/>
      <w:i/>
      <w:iCs/>
      <w:sz w:val="20"/>
      <w:szCs w:val="20"/>
    </w:rPr>
  </w:style>
  <w:style w:type="character" w:customStyle="1" w:styleId="cze">
    <w:name w:val="Łącze"/>
    <w:rsid w:val="00E93285"/>
    <w:rPr>
      <w:color w:val="0000FF"/>
      <w:u w:val="single" w:color="0000FF"/>
    </w:rPr>
  </w:style>
  <w:style w:type="character" w:customStyle="1" w:styleId="Hyperlink2">
    <w:name w:val="Hyperlink.2"/>
    <w:basedOn w:val="cze"/>
    <w:rsid w:val="00E93285"/>
    <w:rPr>
      <w:rFonts w:ascii="Times New Roman" w:eastAsia="Times New Roman" w:hAnsi="Times New Roman" w:cs="Times New Roman" w:hint="default"/>
      <w:color w:val="0000FF"/>
      <w:u w:val="single" w:color="0000FF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ostrowska@uniq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19D76-90EF-4C27-8C4D-C15C0B62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6818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4</cp:revision>
  <cp:lastPrinted>2018-09-10T12:15:00Z</cp:lastPrinted>
  <dcterms:created xsi:type="dcterms:W3CDTF">2019-01-02T13:54:00Z</dcterms:created>
  <dcterms:modified xsi:type="dcterms:W3CDTF">2019-01-02T14:09:00Z</dcterms:modified>
</cp:coreProperties>
</file>