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775C" w14:textId="77777777" w:rsidR="00950B06" w:rsidRPr="0017424D" w:rsidRDefault="00A56666" w:rsidP="00A56666">
      <w:pPr>
        <w:pStyle w:val="Nagwek2"/>
        <w:tabs>
          <w:tab w:val="left" w:pos="6362"/>
          <w:tab w:val="right" w:pos="9072"/>
        </w:tabs>
        <w:rPr>
          <w:rFonts w:asciiTheme="minorHAnsi" w:hAnsiTheme="minorHAnsi"/>
          <w:b w:val="0"/>
          <w:i/>
          <w:color w:val="auto"/>
          <w:sz w:val="22"/>
          <w:szCs w:val="22"/>
          <w:lang w:val="pl-PL"/>
        </w:rPr>
      </w:pPr>
      <w:r w:rsidRPr="0017424D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17424D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</w:p>
    <w:p w14:paraId="2FFC172A" w14:textId="2A1E3359" w:rsidR="00950B06" w:rsidRPr="0017424D" w:rsidRDefault="00950B06" w:rsidP="00A56666">
      <w:pPr>
        <w:pStyle w:val="Nagwek2"/>
        <w:tabs>
          <w:tab w:val="left" w:pos="6362"/>
          <w:tab w:val="right" w:pos="9072"/>
        </w:tabs>
        <w:rPr>
          <w:rFonts w:asciiTheme="minorHAnsi" w:hAnsiTheme="minorHAnsi"/>
          <w:color w:val="auto"/>
          <w:sz w:val="22"/>
          <w:szCs w:val="22"/>
          <w:lang w:val="pl-PL"/>
        </w:rPr>
      </w:pPr>
      <w:r w:rsidRPr="0017424D">
        <w:rPr>
          <w:rFonts w:asciiTheme="minorHAnsi" w:hAnsiTheme="minorHAnsi"/>
          <w:color w:val="auto"/>
          <w:sz w:val="22"/>
          <w:szCs w:val="22"/>
          <w:lang w:val="pl-PL"/>
        </w:rPr>
        <w:br/>
        <w:t>Informacja prasowa</w:t>
      </w:r>
    </w:p>
    <w:p w14:paraId="7511856A" w14:textId="77777777" w:rsidR="00950B06" w:rsidRPr="0017424D" w:rsidRDefault="00950B06" w:rsidP="00A56666">
      <w:pPr>
        <w:pStyle w:val="Nagwek2"/>
        <w:tabs>
          <w:tab w:val="left" w:pos="6362"/>
          <w:tab w:val="right" w:pos="9072"/>
        </w:tabs>
        <w:rPr>
          <w:rFonts w:asciiTheme="minorHAnsi" w:hAnsiTheme="minorHAnsi"/>
          <w:b w:val="0"/>
          <w:i/>
          <w:color w:val="auto"/>
          <w:sz w:val="22"/>
          <w:szCs w:val="22"/>
          <w:lang w:val="pl-PL"/>
        </w:rPr>
      </w:pPr>
    </w:p>
    <w:p w14:paraId="049FAC3C" w14:textId="0FC448C1" w:rsidR="00A56666" w:rsidRPr="0017424D" w:rsidRDefault="00A56666" w:rsidP="00950B06">
      <w:pPr>
        <w:pStyle w:val="Nagwek2"/>
        <w:tabs>
          <w:tab w:val="left" w:pos="6362"/>
          <w:tab w:val="right" w:pos="9072"/>
        </w:tabs>
        <w:jc w:val="right"/>
        <w:rPr>
          <w:rFonts w:asciiTheme="minorHAnsi" w:hAnsiTheme="minorHAnsi"/>
          <w:b w:val="0"/>
          <w:color w:val="auto"/>
          <w:sz w:val="22"/>
          <w:szCs w:val="22"/>
          <w:lang w:val="pl-PL"/>
        </w:rPr>
      </w:pPr>
      <w:r w:rsidRPr="0017424D">
        <w:rPr>
          <w:rFonts w:asciiTheme="minorHAnsi" w:hAnsiTheme="minorHAnsi"/>
          <w:b w:val="0"/>
          <w:color w:val="auto"/>
          <w:sz w:val="22"/>
          <w:szCs w:val="22"/>
        </w:rPr>
        <w:t xml:space="preserve">Warszawa, </w:t>
      </w:r>
      <w:r w:rsidR="00E40EDE" w:rsidRPr="0017424D">
        <w:rPr>
          <w:rFonts w:asciiTheme="minorHAnsi" w:hAnsiTheme="minorHAnsi"/>
          <w:b w:val="0"/>
          <w:color w:val="auto"/>
          <w:sz w:val="22"/>
          <w:szCs w:val="22"/>
          <w:lang w:val="pl-PL"/>
        </w:rPr>
        <w:t>31.01.2019</w:t>
      </w:r>
      <w:r w:rsidR="007F3EFA" w:rsidRPr="0017424D">
        <w:rPr>
          <w:rFonts w:asciiTheme="minorHAnsi" w:hAnsiTheme="minorHAnsi"/>
          <w:b w:val="0"/>
          <w:color w:val="auto"/>
          <w:sz w:val="22"/>
          <w:szCs w:val="22"/>
          <w:lang w:val="pl-PL"/>
        </w:rPr>
        <w:t xml:space="preserve"> r.</w:t>
      </w:r>
    </w:p>
    <w:p w14:paraId="5C855729" w14:textId="77777777" w:rsidR="00AC1F6D" w:rsidRPr="0017424D" w:rsidRDefault="00AC1F6D" w:rsidP="00950B06">
      <w:pPr>
        <w:rPr>
          <w:rFonts w:asciiTheme="minorHAnsi" w:hAnsiTheme="minorHAnsi"/>
          <w:b/>
          <w:lang w:eastAsia="x-none"/>
        </w:rPr>
      </w:pPr>
    </w:p>
    <w:p w14:paraId="63A4AA95" w14:textId="26AE4881" w:rsidR="00950B06" w:rsidRPr="00697C38" w:rsidRDefault="00E40EDE" w:rsidP="00950B06">
      <w:pPr>
        <w:rPr>
          <w:rFonts w:asciiTheme="minorHAnsi" w:hAnsiTheme="minorHAnsi"/>
          <w:b/>
          <w:sz w:val="28"/>
          <w:szCs w:val="28"/>
          <w:lang w:eastAsia="x-none"/>
        </w:rPr>
      </w:pPr>
      <w:r w:rsidRPr="00697C38">
        <w:rPr>
          <w:rFonts w:asciiTheme="minorHAnsi" w:hAnsiTheme="minorHAnsi"/>
          <w:b/>
          <w:sz w:val="28"/>
          <w:szCs w:val="28"/>
          <w:lang w:eastAsia="x-none"/>
        </w:rPr>
        <w:t>Perspektywy rynku kredytowo</w:t>
      </w:r>
      <w:r w:rsidR="00CE61DF" w:rsidRPr="00697C38">
        <w:rPr>
          <w:rFonts w:asciiTheme="minorHAnsi" w:hAnsiTheme="minorHAnsi"/>
          <w:b/>
          <w:sz w:val="28"/>
          <w:szCs w:val="28"/>
          <w:lang w:eastAsia="x-none"/>
        </w:rPr>
        <w:t xml:space="preserve"> </w:t>
      </w:r>
      <w:r w:rsidRPr="00697C38">
        <w:rPr>
          <w:rFonts w:asciiTheme="minorHAnsi" w:hAnsiTheme="minorHAnsi"/>
          <w:b/>
          <w:sz w:val="28"/>
          <w:szCs w:val="28"/>
          <w:lang w:eastAsia="x-none"/>
        </w:rPr>
        <w:t>-</w:t>
      </w:r>
      <w:r w:rsidR="00CE61DF" w:rsidRPr="00697C38">
        <w:rPr>
          <w:rFonts w:asciiTheme="minorHAnsi" w:hAnsiTheme="minorHAnsi"/>
          <w:b/>
          <w:sz w:val="28"/>
          <w:szCs w:val="28"/>
          <w:lang w:eastAsia="x-none"/>
        </w:rPr>
        <w:t xml:space="preserve"> </w:t>
      </w:r>
      <w:r w:rsidRPr="00697C38">
        <w:rPr>
          <w:rFonts w:asciiTheme="minorHAnsi" w:hAnsiTheme="minorHAnsi"/>
          <w:b/>
          <w:sz w:val="28"/>
          <w:szCs w:val="28"/>
          <w:lang w:eastAsia="x-none"/>
        </w:rPr>
        <w:t xml:space="preserve">pożyczkowego na rok 2019 </w:t>
      </w:r>
    </w:p>
    <w:p w14:paraId="7C9F3FC7" w14:textId="4133ADCD" w:rsidR="000B4A66" w:rsidRPr="0017424D" w:rsidRDefault="000B4A66" w:rsidP="00A56666">
      <w:pPr>
        <w:pStyle w:val="Nagwek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BIK </w:t>
      </w:r>
      <w:r w:rsidR="00B1060E" w:rsidRPr="0017424D">
        <w:rPr>
          <w:rFonts w:asciiTheme="minorHAnsi" w:hAnsiTheme="minorHAnsi"/>
          <w:color w:val="auto"/>
          <w:sz w:val="22"/>
          <w:szCs w:val="22"/>
          <w:lang w:val="pl-PL"/>
        </w:rPr>
        <w:t>p</w:t>
      </w:r>
      <w:r w:rsidR="00E40EDE"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odsumowuje kredytowo – pożyczkowy 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rok </w:t>
      </w:r>
      <w:r w:rsidR="00E40EDE"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2018 oraz wskazuje perspektywy 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rynkowe </w:t>
      </w:r>
      <w:r w:rsidR="00475E8C">
        <w:rPr>
          <w:rFonts w:asciiTheme="minorHAnsi" w:hAnsiTheme="minorHAnsi"/>
          <w:color w:val="auto"/>
          <w:sz w:val="22"/>
          <w:szCs w:val="22"/>
          <w:lang w:val="pl-PL"/>
        </w:rPr>
        <w:t>na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475E8C">
        <w:rPr>
          <w:rFonts w:asciiTheme="minorHAnsi" w:hAnsiTheme="minorHAnsi"/>
          <w:color w:val="auto"/>
          <w:sz w:val="22"/>
          <w:szCs w:val="22"/>
          <w:lang w:val="pl-PL"/>
        </w:rPr>
        <w:br/>
      </w:r>
      <w:r w:rsidR="00E40EDE" w:rsidRPr="0017424D">
        <w:rPr>
          <w:rFonts w:asciiTheme="minorHAnsi" w:hAnsiTheme="minorHAnsi"/>
          <w:color w:val="auto"/>
          <w:sz w:val="22"/>
          <w:szCs w:val="22"/>
          <w:lang w:val="pl-PL"/>
        </w:rPr>
        <w:t>2019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 r.</w:t>
      </w:r>
      <w:r w:rsidR="00E40EDE" w:rsidRPr="0017424D">
        <w:rPr>
          <w:rFonts w:asciiTheme="minorHAnsi" w:hAnsiTheme="minorHAnsi"/>
          <w:color w:val="auto"/>
          <w:sz w:val="22"/>
          <w:szCs w:val="22"/>
          <w:lang w:val="pl-PL"/>
        </w:rPr>
        <w:t>:</w:t>
      </w:r>
      <w:r w:rsidR="00995F8A"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 kilku</w:t>
      </w:r>
      <w:r w:rsidR="006D1CAF" w:rsidRPr="0017424D">
        <w:rPr>
          <w:rFonts w:asciiTheme="minorHAnsi" w:hAnsiTheme="minorHAnsi"/>
          <w:color w:val="auto"/>
          <w:sz w:val="22"/>
          <w:szCs w:val="22"/>
          <w:lang w:val="pl-PL"/>
        </w:rPr>
        <w:t>proc</w:t>
      </w:r>
      <w:r w:rsidR="00995F8A"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entowa </w:t>
      </w:r>
      <w:r w:rsidR="00EC2DC2">
        <w:rPr>
          <w:rFonts w:asciiTheme="minorHAnsi" w:hAnsiTheme="minorHAnsi"/>
          <w:color w:val="auto"/>
          <w:sz w:val="22"/>
          <w:szCs w:val="22"/>
          <w:lang w:val="pl-PL"/>
        </w:rPr>
        <w:t xml:space="preserve">(2-5%) </w:t>
      </w:r>
      <w:r w:rsidR="00995F8A" w:rsidRPr="0017424D">
        <w:rPr>
          <w:rFonts w:asciiTheme="minorHAnsi" w:hAnsiTheme="minorHAnsi"/>
          <w:color w:val="auto"/>
          <w:sz w:val="22"/>
          <w:szCs w:val="22"/>
          <w:lang w:val="pl-PL"/>
        </w:rPr>
        <w:t>dodatnia dynamika</w:t>
      </w:r>
      <w:r w:rsidR="00E40EDE"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995F8A" w:rsidRPr="0017424D">
        <w:rPr>
          <w:rFonts w:asciiTheme="minorHAnsi" w:hAnsiTheme="minorHAnsi"/>
          <w:color w:val="auto"/>
          <w:sz w:val="22"/>
          <w:szCs w:val="22"/>
          <w:lang w:val="pl-PL"/>
        </w:rPr>
        <w:t xml:space="preserve">wartości nowych kredytów gotówkowych i ratalnych w sektorze bankowym, 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oraz kilkuprocentowy (ok. 5%) wzrost </w:t>
      </w:r>
      <w:r w:rsidR="00A72709">
        <w:rPr>
          <w:rFonts w:asciiTheme="minorHAnsi" w:hAnsiTheme="minorHAnsi"/>
          <w:color w:val="auto"/>
          <w:sz w:val="22"/>
          <w:szCs w:val="22"/>
          <w:lang w:val="pl-PL"/>
        </w:rPr>
        <w:t>wartości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995F8A" w:rsidRPr="0017424D">
        <w:rPr>
          <w:rFonts w:asciiTheme="minorHAnsi" w:hAnsiTheme="minorHAnsi"/>
          <w:color w:val="auto"/>
          <w:sz w:val="22"/>
          <w:szCs w:val="22"/>
          <w:lang w:val="pl-PL"/>
        </w:rPr>
        <w:t>kredytów mieszkaniowych</w:t>
      </w:r>
      <w:r w:rsidR="00CE61DF">
        <w:rPr>
          <w:rFonts w:asciiTheme="minorHAnsi" w:hAnsiTheme="minorHAnsi"/>
          <w:color w:val="auto"/>
          <w:sz w:val="22"/>
          <w:szCs w:val="22"/>
          <w:lang w:val="pl-PL"/>
        </w:rPr>
        <w:t xml:space="preserve">. </w:t>
      </w:r>
    </w:p>
    <w:p w14:paraId="03E2ECCE" w14:textId="31D86667" w:rsidR="00303D99" w:rsidRPr="0017424D" w:rsidRDefault="00A56666" w:rsidP="00713C6C">
      <w:pPr>
        <w:jc w:val="both"/>
      </w:pPr>
      <w:r w:rsidRPr="0017424D">
        <w:rPr>
          <w:b/>
        </w:rPr>
        <w:br/>
      </w:r>
      <w:r w:rsidR="00666CBB" w:rsidRPr="0017424D">
        <w:t xml:space="preserve">Rok </w:t>
      </w:r>
      <w:r w:rsidR="00947A89" w:rsidRPr="0017424D">
        <w:t>201</w:t>
      </w:r>
      <w:r w:rsidR="00ED6496" w:rsidRPr="0017424D">
        <w:t>8</w:t>
      </w:r>
      <w:r w:rsidR="00947A89" w:rsidRPr="0017424D">
        <w:t xml:space="preserve"> zakończył się </w:t>
      </w:r>
      <w:r w:rsidR="00697C38">
        <w:t xml:space="preserve">największym od dekady </w:t>
      </w:r>
      <w:r w:rsidR="00DD1E6B" w:rsidRPr="0017424D">
        <w:t>wynik</w:t>
      </w:r>
      <w:r w:rsidR="00697C38">
        <w:t>iem sprzedaży kredytów mieszkaniowych na kwotę 56,2 mld zł</w:t>
      </w:r>
      <w:r w:rsidR="00390000">
        <w:t>.</w:t>
      </w:r>
      <w:r w:rsidR="00697C38">
        <w:t xml:space="preserve">, co stanowi wzrost </w:t>
      </w:r>
      <w:r w:rsidR="00DD1E6B" w:rsidRPr="0017424D">
        <w:t xml:space="preserve">o </w:t>
      </w:r>
      <w:r w:rsidR="00ED6496" w:rsidRPr="0017424D">
        <w:t>20,1% w stosunku do 2017</w:t>
      </w:r>
      <w:r w:rsidR="00A72709">
        <w:t xml:space="preserve"> r</w:t>
      </w:r>
      <w:r w:rsidR="00ED6496" w:rsidRPr="0017424D">
        <w:t xml:space="preserve">. </w:t>
      </w:r>
      <w:r w:rsidR="00F60D63">
        <w:t xml:space="preserve">W kredytach gotówkowych </w:t>
      </w:r>
      <w:r w:rsidR="009A438F">
        <w:t>nastąpił</w:t>
      </w:r>
      <w:r w:rsidR="00F60D63">
        <w:t xml:space="preserve"> wzrost wartości udzielonych kredytów o </w:t>
      </w:r>
      <w:r w:rsidR="00ED6496" w:rsidRPr="0017424D">
        <w:t>6,</w:t>
      </w:r>
      <w:r w:rsidR="00390D9E" w:rsidRPr="0017424D">
        <w:t>8</w:t>
      </w:r>
      <w:r w:rsidR="00ED6496" w:rsidRPr="0017424D">
        <w:t>%</w:t>
      </w:r>
      <w:r w:rsidR="00F60D63">
        <w:t xml:space="preserve">, a wartość zawartych umów na kredyty ratalne </w:t>
      </w:r>
      <w:r w:rsidR="00303D99" w:rsidRPr="0017424D">
        <w:t xml:space="preserve"> </w:t>
      </w:r>
      <w:r w:rsidR="00F60D63">
        <w:t xml:space="preserve">wzrosła </w:t>
      </w:r>
      <w:r w:rsidR="00303D99" w:rsidRPr="0017424D">
        <w:t xml:space="preserve">o </w:t>
      </w:r>
      <w:r w:rsidR="00F60D63">
        <w:t xml:space="preserve">6,6%. </w:t>
      </w:r>
    </w:p>
    <w:p w14:paraId="4778ABF8" w14:textId="2A421FAE" w:rsidR="005F03BA" w:rsidRPr="0017424D" w:rsidRDefault="00F25630" w:rsidP="00713C6C">
      <w:pPr>
        <w:jc w:val="both"/>
      </w:pPr>
      <w:r>
        <w:t xml:space="preserve">Zakładając kontynuację pozytywnych trendów w gospodarce i utrzymujących się niskich stóp procentowych, </w:t>
      </w:r>
      <w:r w:rsidR="00ED6496" w:rsidRPr="0017424D">
        <w:t xml:space="preserve">BIK </w:t>
      </w:r>
      <w:r w:rsidR="00CD1EDC">
        <w:t xml:space="preserve">prognozuje na </w:t>
      </w:r>
      <w:r w:rsidR="005F03BA" w:rsidRPr="0017424D">
        <w:t>2019</w:t>
      </w:r>
      <w:r w:rsidR="00EC2DC2">
        <w:t xml:space="preserve"> r.</w:t>
      </w:r>
      <w:r w:rsidR="00CE61DF">
        <w:t xml:space="preserve"> lepszy wynik zarówno w </w:t>
      </w:r>
      <w:r w:rsidR="005F03BA" w:rsidRPr="0017424D">
        <w:t>kredyt</w:t>
      </w:r>
      <w:r w:rsidR="00CE61DF">
        <w:t>ach</w:t>
      </w:r>
      <w:r w:rsidR="005F03BA" w:rsidRPr="0017424D">
        <w:t xml:space="preserve"> konsumpcyjn</w:t>
      </w:r>
      <w:r w:rsidR="00CE61DF">
        <w:t>ych</w:t>
      </w:r>
      <w:r w:rsidR="00AB2F3A">
        <w:t xml:space="preserve"> (gotówkowych i ratalnych)</w:t>
      </w:r>
      <w:r w:rsidR="00DE1D77" w:rsidRPr="0017424D">
        <w:t xml:space="preserve">, </w:t>
      </w:r>
      <w:r w:rsidR="00CE61DF">
        <w:t>j</w:t>
      </w:r>
      <w:r w:rsidR="00DE1D77" w:rsidRPr="0017424D">
        <w:t>a</w:t>
      </w:r>
      <w:r w:rsidR="00CE61DF">
        <w:t>k i</w:t>
      </w:r>
      <w:r w:rsidR="00DE1D77" w:rsidRPr="0017424D">
        <w:t xml:space="preserve"> </w:t>
      </w:r>
      <w:r w:rsidR="00CE61DF">
        <w:t>w mieszkaniow</w:t>
      </w:r>
      <w:r>
        <w:t>ych.</w:t>
      </w:r>
      <w:r w:rsidR="00CE61DF">
        <w:t xml:space="preserve"> </w:t>
      </w:r>
    </w:p>
    <w:p w14:paraId="338DDA14" w14:textId="2A11311F" w:rsidR="005F03BA" w:rsidRPr="0017424D" w:rsidRDefault="005F03BA" w:rsidP="005F03BA">
      <w:pPr>
        <w:pStyle w:val="Zwykytekst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7FE0FEB" w14:textId="12CD83EB" w:rsidR="00A56666" w:rsidRPr="0017424D" w:rsidRDefault="00A56666" w:rsidP="00A56666">
      <w:pPr>
        <w:pStyle w:val="Zwykytekst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17424D">
        <w:rPr>
          <w:rFonts w:asciiTheme="minorHAnsi" w:hAnsiTheme="minorHAnsi"/>
          <w:b/>
          <w:sz w:val="22"/>
          <w:szCs w:val="22"/>
          <w:lang w:val="pl-PL"/>
        </w:rPr>
        <w:t xml:space="preserve">Kredyty </w:t>
      </w:r>
      <w:r w:rsidR="005F3BE2" w:rsidRPr="0017424D">
        <w:rPr>
          <w:rFonts w:asciiTheme="minorHAnsi" w:hAnsiTheme="minorHAnsi"/>
          <w:b/>
          <w:sz w:val="22"/>
          <w:szCs w:val="22"/>
          <w:lang w:val="pl-PL"/>
        </w:rPr>
        <w:t>gotówkowe i ratalne</w:t>
      </w:r>
    </w:p>
    <w:p w14:paraId="18B5A4E2" w14:textId="77777777" w:rsidR="00A56666" w:rsidRPr="0017424D" w:rsidRDefault="00A56666" w:rsidP="00A56666">
      <w:pPr>
        <w:pStyle w:val="Zwykytekst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E1BDB98" w14:textId="285513D5" w:rsidR="001F0916" w:rsidRPr="0017424D" w:rsidRDefault="002A2B38" w:rsidP="007E01B4">
      <w:pPr>
        <w:jc w:val="both"/>
        <w:rPr>
          <w:rFonts w:asciiTheme="minorHAnsi" w:hAnsiTheme="minorHAnsi"/>
        </w:rPr>
      </w:pPr>
      <w:r w:rsidRPr="0017424D">
        <w:rPr>
          <w:rFonts w:asciiTheme="minorHAnsi" w:hAnsiTheme="minorHAnsi"/>
        </w:rPr>
        <w:t xml:space="preserve">Wpływ na ożywienie w segmencie kredytów gotówkowych i ratalnych miały utrzymujące się niskie stopy procentowe i wzrost dochodów gospodarstw domowych. </w:t>
      </w:r>
      <w:r w:rsidR="00A56666" w:rsidRPr="0017424D">
        <w:rPr>
          <w:rFonts w:asciiTheme="minorHAnsi" w:hAnsiTheme="minorHAnsi"/>
        </w:rPr>
        <w:t>W 201</w:t>
      </w:r>
      <w:r w:rsidR="005F03BA" w:rsidRPr="0017424D">
        <w:rPr>
          <w:rFonts w:asciiTheme="minorHAnsi" w:hAnsiTheme="minorHAnsi"/>
        </w:rPr>
        <w:t>8</w:t>
      </w:r>
      <w:r w:rsidR="00A56666" w:rsidRPr="0017424D">
        <w:rPr>
          <w:rFonts w:asciiTheme="minorHAnsi" w:hAnsiTheme="minorHAnsi"/>
        </w:rPr>
        <w:t xml:space="preserve"> r. banki </w:t>
      </w:r>
      <w:r w:rsidR="00A56348" w:rsidRPr="0017424D">
        <w:rPr>
          <w:rFonts w:asciiTheme="minorHAnsi" w:hAnsiTheme="minorHAnsi"/>
        </w:rPr>
        <w:t xml:space="preserve">oraz SKOK-i </w:t>
      </w:r>
      <w:r w:rsidR="00A56666" w:rsidRPr="0017424D">
        <w:rPr>
          <w:rFonts w:asciiTheme="minorHAnsi" w:hAnsiTheme="minorHAnsi"/>
        </w:rPr>
        <w:t xml:space="preserve">udzieliły </w:t>
      </w:r>
      <w:r w:rsidR="00A56348" w:rsidRPr="0017424D">
        <w:rPr>
          <w:rFonts w:asciiTheme="minorHAnsi" w:hAnsiTheme="minorHAnsi"/>
        </w:rPr>
        <w:t xml:space="preserve">łącznie </w:t>
      </w:r>
      <w:r w:rsidR="001F0916" w:rsidRPr="0017424D">
        <w:rPr>
          <w:rFonts w:asciiTheme="minorHAnsi" w:hAnsiTheme="minorHAnsi"/>
        </w:rPr>
        <w:t>7</w:t>
      </w:r>
      <w:r w:rsidR="00DD1E6B" w:rsidRPr="0017424D">
        <w:rPr>
          <w:rFonts w:asciiTheme="minorHAnsi" w:hAnsiTheme="minorHAnsi"/>
        </w:rPr>
        <w:t>,</w:t>
      </w:r>
      <w:r w:rsidR="00475E8C">
        <w:rPr>
          <w:rFonts w:asciiTheme="minorHAnsi" w:hAnsiTheme="minorHAnsi"/>
        </w:rPr>
        <w:t>5</w:t>
      </w:r>
      <w:r w:rsidR="00475E8C" w:rsidRPr="0017424D">
        <w:rPr>
          <w:rFonts w:asciiTheme="minorHAnsi" w:hAnsiTheme="minorHAnsi"/>
        </w:rPr>
        <w:t xml:space="preserve"> </w:t>
      </w:r>
      <w:r w:rsidR="00A56666" w:rsidRPr="0017424D">
        <w:rPr>
          <w:rFonts w:asciiTheme="minorHAnsi" w:hAnsiTheme="minorHAnsi"/>
        </w:rPr>
        <w:t>mln</w:t>
      </w:r>
      <w:r w:rsidR="007F3EFA" w:rsidRPr="0017424D">
        <w:rPr>
          <w:rFonts w:asciiTheme="minorHAnsi" w:hAnsiTheme="minorHAnsi"/>
        </w:rPr>
        <w:t xml:space="preserve"> szt.</w:t>
      </w:r>
      <w:r w:rsidR="00A56666" w:rsidRPr="0017424D">
        <w:rPr>
          <w:rFonts w:asciiTheme="minorHAnsi" w:hAnsiTheme="minorHAnsi"/>
        </w:rPr>
        <w:t xml:space="preserve"> kredytów konsu</w:t>
      </w:r>
      <w:r w:rsidR="00B21BA6" w:rsidRPr="0017424D">
        <w:rPr>
          <w:rFonts w:asciiTheme="minorHAnsi" w:hAnsiTheme="minorHAnsi"/>
        </w:rPr>
        <w:t xml:space="preserve">mpcyjnych, co oznacza </w:t>
      </w:r>
      <w:r w:rsidR="001F0916" w:rsidRPr="0017424D">
        <w:rPr>
          <w:rFonts w:asciiTheme="minorHAnsi" w:hAnsiTheme="minorHAnsi"/>
        </w:rPr>
        <w:t>wzrost</w:t>
      </w:r>
      <w:r w:rsidR="00B21BA6" w:rsidRPr="0017424D">
        <w:rPr>
          <w:rFonts w:asciiTheme="minorHAnsi" w:hAnsiTheme="minorHAnsi"/>
        </w:rPr>
        <w:t xml:space="preserve"> </w:t>
      </w:r>
      <w:r w:rsidR="00A56348" w:rsidRPr="0017424D">
        <w:rPr>
          <w:rFonts w:asciiTheme="minorHAnsi" w:hAnsiTheme="minorHAnsi"/>
        </w:rPr>
        <w:t xml:space="preserve">liczby udzielonych kredytów </w:t>
      </w:r>
      <w:r w:rsidR="00141389">
        <w:rPr>
          <w:rFonts w:asciiTheme="minorHAnsi" w:hAnsiTheme="minorHAnsi"/>
        </w:rPr>
        <w:br/>
      </w:r>
      <w:r w:rsidR="00B21BA6" w:rsidRPr="0017424D">
        <w:rPr>
          <w:rFonts w:asciiTheme="minorHAnsi" w:hAnsiTheme="minorHAnsi"/>
        </w:rPr>
        <w:t xml:space="preserve">o </w:t>
      </w:r>
      <w:r w:rsidR="001F0916" w:rsidRPr="0017424D">
        <w:rPr>
          <w:rFonts w:asciiTheme="minorHAnsi" w:hAnsiTheme="minorHAnsi"/>
        </w:rPr>
        <w:t>2,8</w:t>
      </w:r>
      <w:r w:rsidR="00390D9E" w:rsidRPr="0017424D">
        <w:rPr>
          <w:rFonts w:asciiTheme="minorHAnsi" w:hAnsiTheme="minorHAnsi"/>
        </w:rPr>
        <w:t>%</w:t>
      </w:r>
      <w:r w:rsidR="00A56666" w:rsidRPr="0017424D">
        <w:rPr>
          <w:rFonts w:asciiTheme="minorHAnsi" w:hAnsiTheme="minorHAnsi"/>
        </w:rPr>
        <w:t xml:space="preserve"> w porównaniu do </w:t>
      </w:r>
      <w:r w:rsidR="00B21BA6" w:rsidRPr="0017424D">
        <w:rPr>
          <w:rFonts w:asciiTheme="minorHAnsi" w:hAnsiTheme="minorHAnsi"/>
        </w:rPr>
        <w:t>201</w:t>
      </w:r>
      <w:r w:rsidR="001F0916" w:rsidRPr="0017424D">
        <w:rPr>
          <w:rFonts w:asciiTheme="minorHAnsi" w:hAnsiTheme="minorHAnsi"/>
        </w:rPr>
        <w:t>7</w:t>
      </w:r>
      <w:r w:rsidR="00390000">
        <w:rPr>
          <w:rFonts w:asciiTheme="minorHAnsi" w:hAnsiTheme="minorHAnsi"/>
        </w:rPr>
        <w:t xml:space="preserve"> r</w:t>
      </w:r>
      <w:r w:rsidR="001F0916" w:rsidRPr="0017424D">
        <w:rPr>
          <w:rFonts w:asciiTheme="minorHAnsi" w:hAnsiTheme="minorHAnsi"/>
        </w:rPr>
        <w:t xml:space="preserve">. </w:t>
      </w:r>
      <w:r w:rsidRPr="0017424D">
        <w:rPr>
          <w:rFonts w:asciiTheme="minorHAnsi" w:hAnsiTheme="minorHAnsi"/>
        </w:rPr>
        <w:t>W</w:t>
      </w:r>
      <w:r w:rsidR="001F0916" w:rsidRPr="0017424D">
        <w:rPr>
          <w:rFonts w:asciiTheme="minorHAnsi" w:hAnsiTheme="minorHAnsi"/>
        </w:rPr>
        <w:t xml:space="preserve"> ujęciu wartościowym </w:t>
      </w:r>
      <w:r w:rsidRPr="0017424D">
        <w:rPr>
          <w:rFonts w:asciiTheme="minorHAnsi" w:hAnsiTheme="minorHAnsi"/>
        </w:rPr>
        <w:t xml:space="preserve">– wzrost </w:t>
      </w:r>
      <w:r w:rsidR="00B21BA6" w:rsidRPr="0017424D">
        <w:rPr>
          <w:rFonts w:asciiTheme="minorHAnsi" w:hAnsiTheme="minorHAnsi"/>
        </w:rPr>
        <w:t xml:space="preserve">o </w:t>
      </w:r>
      <w:r w:rsidR="001F0916" w:rsidRPr="0017424D">
        <w:rPr>
          <w:rFonts w:asciiTheme="minorHAnsi" w:hAnsiTheme="minorHAnsi"/>
        </w:rPr>
        <w:t>6,7</w:t>
      </w:r>
      <w:r w:rsidR="00390D9E" w:rsidRPr="0017424D">
        <w:rPr>
          <w:rFonts w:asciiTheme="minorHAnsi" w:hAnsiTheme="minorHAnsi"/>
        </w:rPr>
        <w:t>%</w:t>
      </w:r>
      <w:r w:rsidRPr="0017424D">
        <w:rPr>
          <w:rFonts w:asciiTheme="minorHAnsi" w:hAnsiTheme="minorHAnsi"/>
        </w:rPr>
        <w:t xml:space="preserve"> przełożył się na kolejny dobry wynik </w:t>
      </w:r>
      <w:r w:rsidR="00303D99" w:rsidRPr="0017424D">
        <w:rPr>
          <w:rFonts w:asciiTheme="minorHAnsi" w:hAnsiTheme="minorHAnsi"/>
        </w:rPr>
        <w:t>roczny</w:t>
      </w:r>
      <w:r w:rsidRPr="0017424D">
        <w:rPr>
          <w:rFonts w:asciiTheme="minorHAnsi" w:hAnsiTheme="minorHAnsi"/>
        </w:rPr>
        <w:t xml:space="preserve"> w wysokości</w:t>
      </w:r>
      <w:r w:rsidR="00303D99" w:rsidRPr="0017424D">
        <w:rPr>
          <w:rFonts w:asciiTheme="minorHAnsi" w:hAnsiTheme="minorHAnsi"/>
        </w:rPr>
        <w:t xml:space="preserve">  </w:t>
      </w:r>
      <w:r w:rsidR="001F0916" w:rsidRPr="0017424D">
        <w:rPr>
          <w:rFonts w:asciiTheme="minorHAnsi" w:hAnsiTheme="minorHAnsi"/>
        </w:rPr>
        <w:t>84 mld zł</w:t>
      </w:r>
      <w:r w:rsidR="00EC2DC2">
        <w:rPr>
          <w:rFonts w:asciiTheme="minorHAnsi" w:hAnsiTheme="minorHAnsi"/>
        </w:rPr>
        <w:t xml:space="preserve"> udzielonych nowych kredytów</w:t>
      </w:r>
      <w:r w:rsidR="00303D99" w:rsidRPr="0017424D">
        <w:rPr>
          <w:rFonts w:asciiTheme="minorHAnsi" w:hAnsiTheme="minorHAnsi"/>
        </w:rPr>
        <w:t>.</w:t>
      </w:r>
      <w:r w:rsidR="001F0916" w:rsidRPr="0017424D">
        <w:rPr>
          <w:rFonts w:asciiTheme="minorHAnsi" w:hAnsiTheme="minorHAnsi"/>
        </w:rPr>
        <w:t xml:space="preserve"> </w:t>
      </w:r>
    </w:p>
    <w:p w14:paraId="76D981D0" w14:textId="215EB4EA" w:rsidR="005A48A6" w:rsidRDefault="00373516" w:rsidP="007E01B4">
      <w:pPr>
        <w:jc w:val="both"/>
      </w:pPr>
      <w:r>
        <w:t>Pomimo ograniczenia handlu w niedziele, wzrosła liczba (1,2%) i wartość (6,6%) udzielonych</w:t>
      </w:r>
      <w:r w:rsidR="002A2B38" w:rsidRPr="0017424D">
        <w:t xml:space="preserve"> </w:t>
      </w:r>
      <w:r w:rsidR="00DC702F" w:rsidRPr="0017424D">
        <w:t xml:space="preserve">kredytów ratalnych. </w:t>
      </w:r>
      <w:r w:rsidR="005A48A6">
        <w:t>To najlepszy wynik w ostatnich trzech lat</w:t>
      </w:r>
      <w:r w:rsidR="00475E8C">
        <w:t>ach</w:t>
      </w:r>
      <w:r w:rsidR="005A48A6">
        <w:t>, który jest konsekwencją wysokiej dynamiki kredytów na średnie</w:t>
      </w:r>
      <w:r w:rsidR="00EC2DC2">
        <w:t xml:space="preserve"> (10-30 tys. zł)</w:t>
      </w:r>
      <w:r w:rsidR="005A48A6">
        <w:t xml:space="preserve"> i wysokie kwoty</w:t>
      </w:r>
      <w:r w:rsidR="00EC2DC2">
        <w:t xml:space="preserve"> (powyżej 30 tys. zł)</w:t>
      </w:r>
      <w:r w:rsidR="005A48A6">
        <w:t>, odpowiednio 17</w:t>
      </w:r>
      <w:r w:rsidR="00EC2DC2">
        <w:t>,0</w:t>
      </w:r>
      <w:r w:rsidR="005A48A6">
        <w:t>% i 1</w:t>
      </w:r>
      <w:r w:rsidR="00EC2DC2">
        <w:t>2,6</w:t>
      </w:r>
      <w:r w:rsidR="005A48A6">
        <w:t xml:space="preserve">%.Wzrost kredytów ratalnych na wysokie kwoty związany jest </w:t>
      </w:r>
      <w:r w:rsidR="00475E8C">
        <w:t xml:space="preserve">głównie </w:t>
      </w:r>
      <w:r w:rsidR="005A48A6">
        <w:t xml:space="preserve">z finansowaniem </w:t>
      </w:r>
      <w:r w:rsidR="00475E8C">
        <w:t xml:space="preserve">zakupu </w:t>
      </w:r>
      <w:r w:rsidR="005A48A6">
        <w:t xml:space="preserve">samochodów. </w:t>
      </w:r>
    </w:p>
    <w:p w14:paraId="01042EE7" w14:textId="5026D8CE" w:rsidR="005A48A6" w:rsidRPr="00834358" w:rsidRDefault="00283641" w:rsidP="00834358">
      <w:pPr>
        <w:jc w:val="both"/>
      </w:pPr>
      <w:r>
        <w:t>Zaobserwowano</w:t>
      </w:r>
      <w:r w:rsidR="00834358">
        <w:t xml:space="preserve"> wpływ ustawowego ograniczenia handlu w niedziele – okazuje się,</w:t>
      </w:r>
      <w:r>
        <w:t xml:space="preserve"> że </w:t>
      </w:r>
      <w:r w:rsidR="00475E8C" w:rsidRPr="005A48A6">
        <w:t>cz</w:t>
      </w:r>
      <w:r w:rsidR="00475E8C">
        <w:t>ę</w:t>
      </w:r>
      <w:r w:rsidR="00475E8C" w:rsidRPr="005A48A6">
        <w:t xml:space="preserve">ść </w:t>
      </w:r>
      <w:r w:rsidR="005A48A6" w:rsidRPr="005A48A6">
        <w:t xml:space="preserve">sprzedaży </w:t>
      </w:r>
      <w:r w:rsidR="00475E8C">
        <w:t xml:space="preserve">kredytów ratalnych </w:t>
      </w:r>
      <w:r w:rsidR="005A48A6" w:rsidRPr="005A48A6">
        <w:t>przeniosła się z niedzieli na poniedziałek</w:t>
      </w:r>
      <w:r w:rsidR="00834358">
        <w:t>. Potwierdzają to obserwacje BIK</w:t>
      </w:r>
      <w:r w:rsidR="00EC2DC2">
        <w:t xml:space="preserve"> z 2-4 kwartału 2018 r.</w:t>
      </w:r>
      <w:r w:rsidR="00834358">
        <w:t xml:space="preserve"> z których wynika, że </w:t>
      </w:r>
      <w:r w:rsidR="00475E8C">
        <w:t xml:space="preserve">liczba </w:t>
      </w:r>
      <w:r w:rsidR="00DA4CDF">
        <w:t>udziel</w:t>
      </w:r>
      <w:r w:rsidR="00EC2DC2">
        <w:t>o</w:t>
      </w:r>
      <w:r w:rsidR="00DA4CDF">
        <w:t>nych kredytów w niedziel</w:t>
      </w:r>
      <w:r w:rsidR="00EC2DC2">
        <w:t>e</w:t>
      </w:r>
      <w:r w:rsidR="00DA4CDF">
        <w:t xml:space="preserve"> spadła o 100 tys. </w:t>
      </w:r>
      <w:r w:rsidR="00EC2DC2">
        <w:t xml:space="preserve">szt., </w:t>
      </w:r>
      <w:r w:rsidR="00390000">
        <w:t>a</w:t>
      </w:r>
      <w:r w:rsidR="00DA4CDF">
        <w:t xml:space="preserve"> w poniedziałk</w:t>
      </w:r>
      <w:r w:rsidR="00EC2DC2">
        <w:t>i</w:t>
      </w:r>
      <w:r w:rsidR="00DA4CDF">
        <w:t xml:space="preserve"> wrosła o </w:t>
      </w:r>
      <w:r w:rsidR="00027B4A">
        <w:t>9</w:t>
      </w:r>
      <w:r w:rsidR="00DA4CDF">
        <w:t>0 tys.</w:t>
      </w:r>
      <w:r w:rsidR="00EC2DC2">
        <w:t xml:space="preserve"> kredytów</w:t>
      </w:r>
      <w:r w:rsidR="00DA4CDF">
        <w:t xml:space="preserve">. Ponadto </w:t>
      </w:r>
      <w:r w:rsidR="005A48A6" w:rsidRPr="00834358">
        <w:t xml:space="preserve">w okresie </w:t>
      </w:r>
      <w:r w:rsidR="00834358" w:rsidRPr="00834358">
        <w:t>styczeń</w:t>
      </w:r>
      <w:r w:rsidR="005A48A6" w:rsidRPr="00834358">
        <w:t>́–marzec 2018</w:t>
      </w:r>
      <w:r w:rsidR="00834358">
        <w:t xml:space="preserve"> r.</w:t>
      </w:r>
      <w:r w:rsidR="005A48A6" w:rsidRPr="00834358">
        <w:t xml:space="preserve"> </w:t>
      </w:r>
      <w:r w:rsidR="00EC2DC2">
        <w:t xml:space="preserve">(gdy nie obowiązywało jeszcze ograniczenie handlu) </w:t>
      </w:r>
      <w:r w:rsidR="00834358">
        <w:t xml:space="preserve">dynamika </w:t>
      </w:r>
      <w:r w:rsidR="00834358" w:rsidRPr="00834358">
        <w:t xml:space="preserve">liczby udzielanych kredytów ratalnych </w:t>
      </w:r>
      <w:r w:rsidR="005A48A6" w:rsidRPr="00834358">
        <w:t>wyniosła 8,2%</w:t>
      </w:r>
      <w:r w:rsidR="00390000">
        <w:t xml:space="preserve"> a</w:t>
      </w:r>
      <w:r w:rsidR="005A48A6" w:rsidRPr="00834358">
        <w:t xml:space="preserve"> </w:t>
      </w:r>
      <w:r w:rsidR="00390000">
        <w:t xml:space="preserve">później, </w:t>
      </w:r>
      <w:r w:rsidR="005A48A6" w:rsidRPr="00834358">
        <w:t xml:space="preserve">w okresie </w:t>
      </w:r>
      <w:r w:rsidR="00B55E9A">
        <w:t>kwiecień</w:t>
      </w:r>
      <w:r w:rsidR="005A48A6" w:rsidRPr="00834358">
        <w:t>–</w:t>
      </w:r>
      <w:r w:rsidR="00B55E9A">
        <w:t>grudzień</w:t>
      </w:r>
      <w:r w:rsidR="005A48A6" w:rsidRPr="00834358">
        <w:t> 2018</w:t>
      </w:r>
      <w:r w:rsidR="00834358">
        <w:t xml:space="preserve"> r.</w:t>
      </w:r>
      <w:r w:rsidR="005A48A6" w:rsidRPr="00834358">
        <w:t xml:space="preserve"> </w:t>
      </w:r>
      <w:r w:rsidR="00EC2DC2">
        <w:t xml:space="preserve">liczba udzielonych kredytów </w:t>
      </w:r>
      <w:r w:rsidR="005A48A6" w:rsidRPr="00834358">
        <w:t>spadła o 1%</w:t>
      </w:r>
      <w:r w:rsidR="00EC2DC2">
        <w:t xml:space="preserve"> (w porównaniu do analogicznego okresu roku poprzedniego)</w:t>
      </w:r>
      <w:r w:rsidR="005A48A6" w:rsidRPr="00834358">
        <w:t>.</w:t>
      </w:r>
    </w:p>
    <w:p w14:paraId="559FF9EC" w14:textId="77777777" w:rsidR="00B55E9A" w:rsidRDefault="00B55E9A" w:rsidP="001F4C02">
      <w:pPr>
        <w:jc w:val="both"/>
      </w:pPr>
    </w:p>
    <w:p w14:paraId="7D582FEC" w14:textId="77777777" w:rsidR="00390000" w:rsidRDefault="00390000" w:rsidP="001F4C02">
      <w:pPr>
        <w:jc w:val="both"/>
      </w:pPr>
    </w:p>
    <w:p w14:paraId="3B336FD0" w14:textId="77777777" w:rsidR="00390000" w:rsidRDefault="00390000" w:rsidP="001F4C02">
      <w:pPr>
        <w:jc w:val="both"/>
      </w:pPr>
    </w:p>
    <w:p w14:paraId="444557D5" w14:textId="2C654F24" w:rsidR="00713C6C" w:rsidRDefault="00DA4CDF" w:rsidP="001F4C02">
      <w:pPr>
        <w:jc w:val="both"/>
        <w:rPr>
          <w:rFonts w:asciiTheme="minorHAnsi" w:hAnsiTheme="minorHAnsi"/>
          <w:i/>
        </w:rPr>
      </w:pPr>
      <w:r>
        <w:t>Wzrósł również</w:t>
      </w:r>
      <w:r w:rsidR="002A2B38" w:rsidRPr="0017424D">
        <w:t xml:space="preserve"> rynek kredytów</w:t>
      </w:r>
      <w:r w:rsidR="00BF70E6" w:rsidRPr="0017424D">
        <w:t xml:space="preserve"> gotówkow</w:t>
      </w:r>
      <w:r w:rsidR="002A2B38" w:rsidRPr="0017424D">
        <w:t>ych</w:t>
      </w:r>
      <w:r w:rsidR="000401A8">
        <w:t>, których w 2018 r. udzielono na kwotę 70,7 mld zł (wzrost o 6,8%). N</w:t>
      </w:r>
      <w:r w:rsidR="00BF70E6" w:rsidRPr="0017424D">
        <w:t xml:space="preserve">ajwyższe dynamiki wzrostu </w:t>
      </w:r>
      <w:r w:rsidR="000401A8">
        <w:t xml:space="preserve">dotyczyły </w:t>
      </w:r>
      <w:r w:rsidR="00BF70E6" w:rsidRPr="0017424D">
        <w:t>zobowiąza</w:t>
      </w:r>
      <w:r w:rsidR="000401A8">
        <w:t xml:space="preserve">ń </w:t>
      </w:r>
      <w:r w:rsidR="00BF70E6" w:rsidRPr="0017424D">
        <w:t>na niskie</w:t>
      </w:r>
      <w:r w:rsidR="000401A8">
        <w:t xml:space="preserve"> kwoty</w:t>
      </w:r>
      <w:r w:rsidR="00BF70E6" w:rsidRPr="0017424D">
        <w:t xml:space="preserve"> (&lt;=2 tys. zł) </w:t>
      </w:r>
      <w:r w:rsidR="000401A8">
        <w:t>oraz</w:t>
      </w:r>
      <w:r w:rsidR="00BF70E6" w:rsidRPr="0017424D">
        <w:t xml:space="preserve"> </w:t>
      </w:r>
      <w:r w:rsidR="00EC2DC2">
        <w:t xml:space="preserve">wysokie </w:t>
      </w:r>
      <w:r w:rsidR="00BF70E6" w:rsidRPr="0017424D">
        <w:t>kwoty (</w:t>
      </w:r>
      <w:r w:rsidR="00EC2DC2">
        <w:t xml:space="preserve">powyżej </w:t>
      </w:r>
      <w:r w:rsidR="00F62C51" w:rsidRPr="0017424D">
        <w:t xml:space="preserve">30 tys. zł). </w:t>
      </w:r>
      <w:r w:rsidR="002B7A44">
        <w:t>Wart odnotowania jest</w:t>
      </w:r>
      <w:r w:rsidR="00F62C51" w:rsidRPr="0017424D">
        <w:t xml:space="preserve"> </w:t>
      </w:r>
      <w:r w:rsidR="002B7A44">
        <w:t xml:space="preserve">wzrost </w:t>
      </w:r>
      <w:r w:rsidR="00F62C51" w:rsidRPr="0017424D">
        <w:t>średni</w:t>
      </w:r>
      <w:r w:rsidR="002B7A44">
        <w:t>ej kwoty</w:t>
      </w:r>
      <w:r w:rsidR="00F62C51" w:rsidRPr="0017424D">
        <w:t xml:space="preserve"> nowego kredytu gotówkowego </w:t>
      </w:r>
      <w:r w:rsidR="002B7A44">
        <w:t>(</w:t>
      </w:r>
      <w:r w:rsidR="00EC2DC2">
        <w:t xml:space="preserve">do </w:t>
      </w:r>
      <w:r w:rsidR="00F62C51" w:rsidRPr="0017424D">
        <w:t>18,3 tys. zł</w:t>
      </w:r>
      <w:r w:rsidR="002B7A44">
        <w:t xml:space="preserve">) przy jednoczesnym </w:t>
      </w:r>
      <w:r w:rsidR="00F62C51" w:rsidRPr="0017424D">
        <w:t>wydłuż</w:t>
      </w:r>
      <w:r w:rsidR="002B7A44">
        <w:t xml:space="preserve">eniu średniego umownego okresu </w:t>
      </w:r>
      <w:r w:rsidR="00F62C51" w:rsidRPr="0017424D">
        <w:t xml:space="preserve">spłaty </w:t>
      </w:r>
      <w:r w:rsidR="00027B4A">
        <w:t xml:space="preserve">zawieranych </w:t>
      </w:r>
      <w:r w:rsidR="002B7A44">
        <w:t xml:space="preserve">kredytów </w:t>
      </w:r>
      <w:r w:rsidR="00F62C51" w:rsidRPr="0017424D">
        <w:t xml:space="preserve">do 45 miesięcy. </w:t>
      </w:r>
    </w:p>
    <w:p w14:paraId="337F34E2" w14:textId="66D68FAF" w:rsidR="006960FD" w:rsidRDefault="00713C6C" w:rsidP="001F4C0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="001F4C02" w:rsidRPr="0017424D">
        <w:rPr>
          <w:rFonts w:asciiTheme="minorHAnsi" w:hAnsiTheme="minorHAnsi"/>
          <w:i/>
        </w:rPr>
        <w:t>Kredyty gotówkowe s</w:t>
      </w:r>
      <w:r w:rsidR="006960FD">
        <w:rPr>
          <w:rFonts w:asciiTheme="minorHAnsi" w:hAnsiTheme="minorHAnsi"/>
          <w:i/>
        </w:rPr>
        <w:t>ą najbardziej popularnym produktem kredytowym. W ubiegłym roku udzielono ich na kwotę 70,7 mld zł. Charakterystyczny był</w:t>
      </w:r>
      <w:r w:rsidR="00027B4A">
        <w:rPr>
          <w:rFonts w:asciiTheme="minorHAnsi" w:hAnsiTheme="minorHAnsi"/>
          <w:i/>
        </w:rPr>
        <w:t xml:space="preserve"> dalszy</w:t>
      </w:r>
      <w:r w:rsidR="006960FD">
        <w:rPr>
          <w:rFonts w:asciiTheme="minorHAnsi" w:hAnsiTheme="minorHAnsi"/>
          <w:i/>
        </w:rPr>
        <w:t xml:space="preserve"> wzrost średniej kwoty </w:t>
      </w:r>
      <w:r w:rsidR="006960FD" w:rsidRPr="006960FD">
        <w:rPr>
          <w:rFonts w:asciiTheme="minorHAnsi" w:hAnsiTheme="minorHAnsi"/>
          <w:i/>
        </w:rPr>
        <w:t xml:space="preserve">nowo </w:t>
      </w:r>
      <w:r w:rsidR="006960FD">
        <w:rPr>
          <w:rFonts w:asciiTheme="minorHAnsi" w:hAnsiTheme="minorHAnsi"/>
          <w:i/>
        </w:rPr>
        <w:t xml:space="preserve">udzielonego </w:t>
      </w:r>
      <w:r w:rsidR="006960FD" w:rsidRPr="006960FD">
        <w:rPr>
          <w:rFonts w:asciiTheme="minorHAnsi" w:hAnsiTheme="minorHAnsi"/>
          <w:i/>
        </w:rPr>
        <w:t>kredytu gotówkowego</w:t>
      </w:r>
      <w:r w:rsidR="006960FD">
        <w:rPr>
          <w:rFonts w:asciiTheme="minorHAnsi" w:hAnsiTheme="minorHAnsi"/>
          <w:i/>
        </w:rPr>
        <w:t xml:space="preserve">, a jednocześnie zaobserwowaliśmy, że były one udzielane na coraz </w:t>
      </w:r>
      <w:r w:rsidR="00417805">
        <w:rPr>
          <w:rFonts w:asciiTheme="minorHAnsi" w:hAnsiTheme="minorHAnsi"/>
          <w:i/>
        </w:rPr>
        <w:t>dłuższe</w:t>
      </w:r>
      <w:r w:rsidR="006960FD">
        <w:rPr>
          <w:rFonts w:asciiTheme="minorHAnsi" w:hAnsiTheme="minorHAnsi"/>
          <w:i/>
        </w:rPr>
        <w:t xml:space="preserve"> </w:t>
      </w:r>
      <w:r w:rsidR="00027B4A">
        <w:rPr>
          <w:rFonts w:asciiTheme="minorHAnsi" w:hAnsiTheme="minorHAnsi"/>
          <w:i/>
        </w:rPr>
        <w:t xml:space="preserve">umowne </w:t>
      </w:r>
      <w:r w:rsidR="006960FD">
        <w:rPr>
          <w:rFonts w:asciiTheme="minorHAnsi" w:hAnsiTheme="minorHAnsi"/>
          <w:i/>
        </w:rPr>
        <w:t>okresy</w:t>
      </w:r>
      <w:r w:rsidR="00027B4A">
        <w:rPr>
          <w:rFonts w:asciiTheme="minorHAnsi" w:hAnsiTheme="minorHAnsi"/>
          <w:i/>
        </w:rPr>
        <w:t xml:space="preserve"> spłaty.</w:t>
      </w:r>
      <w:r w:rsidR="006960FD">
        <w:rPr>
          <w:rFonts w:asciiTheme="minorHAnsi" w:hAnsiTheme="minorHAnsi"/>
          <w:i/>
        </w:rPr>
        <w:t xml:space="preserve"> </w:t>
      </w:r>
      <w:r w:rsidR="00DA4CDF">
        <w:rPr>
          <w:rFonts w:asciiTheme="minorHAnsi" w:hAnsiTheme="minorHAnsi"/>
          <w:i/>
        </w:rPr>
        <w:t>Ponadto ponad połowa udzielonych kredytów gotówkowych</w:t>
      </w:r>
      <w:r w:rsidR="006960FD">
        <w:rPr>
          <w:rFonts w:asciiTheme="minorHAnsi" w:hAnsiTheme="minorHAnsi"/>
          <w:i/>
        </w:rPr>
        <w:t xml:space="preserve"> </w:t>
      </w:r>
      <w:r w:rsidR="00DA4CDF">
        <w:rPr>
          <w:rFonts w:asciiTheme="minorHAnsi" w:hAnsiTheme="minorHAnsi"/>
          <w:i/>
        </w:rPr>
        <w:t xml:space="preserve">związana była </w:t>
      </w:r>
      <w:r w:rsidR="006960FD">
        <w:rPr>
          <w:rFonts w:asciiTheme="minorHAnsi" w:hAnsiTheme="minorHAnsi"/>
          <w:i/>
        </w:rPr>
        <w:t>z konsolidowaniem wcześniej zaciągniętych zobowiązań</w:t>
      </w:r>
      <w:r w:rsidR="00027B4A">
        <w:rPr>
          <w:rFonts w:asciiTheme="minorHAnsi" w:hAnsiTheme="minorHAnsi"/>
          <w:i/>
        </w:rPr>
        <w:t xml:space="preserve"> wraz</w:t>
      </w:r>
      <w:r w:rsidR="006960FD">
        <w:rPr>
          <w:rFonts w:asciiTheme="minorHAnsi" w:hAnsiTheme="minorHAnsi"/>
          <w:i/>
        </w:rPr>
        <w:t xml:space="preserve"> </w:t>
      </w:r>
      <w:r w:rsidR="00027B4A">
        <w:rPr>
          <w:rFonts w:asciiTheme="minorHAnsi" w:hAnsiTheme="minorHAnsi"/>
          <w:i/>
        </w:rPr>
        <w:t xml:space="preserve">z przyznaniem dodatkowej kwoty kredytu </w:t>
      </w:r>
      <w:r w:rsidR="006960FD" w:rsidRPr="006960FD">
        <w:rPr>
          <w:rFonts w:asciiTheme="minorHAnsi" w:hAnsiTheme="minorHAnsi"/>
        </w:rPr>
        <w:t>– mówi dr Mariusz Cholewa, prezes Zarządu BIK.</w:t>
      </w:r>
      <w:r w:rsidR="006960FD">
        <w:rPr>
          <w:rFonts w:asciiTheme="minorHAnsi" w:hAnsiTheme="minorHAnsi"/>
          <w:i/>
        </w:rPr>
        <w:t xml:space="preserve"> </w:t>
      </w:r>
    </w:p>
    <w:p w14:paraId="34ABA5EE" w14:textId="1F5ABE3F" w:rsidR="006960FD" w:rsidRDefault="006960FD" w:rsidP="001F4C0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Co czwarty kredyt gotówkowy został udzielony na okres dłuższy niż 5 lat, a kredyty te stanowiły ponad połowę wartości wszystkich udzielonych kredytów w 2018 r. </w:t>
      </w:r>
      <w:r w:rsidRPr="006960FD">
        <w:rPr>
          <w:rFonts w:asciiTheme="minorHAnsi" w:hAnsiTheme="minorHAnsi"/>
        </w:rPr>
        <w:t xml:space="preserve">– dodaje </w:t>
      </w:r>
      <w:r w:rsidR="00BE63AB">
        <w:rPr>
          <w:rFonts w:asciiTheme="minorHAnsi" w:hAnsiTheme="minorHAnsi"/>
        </w:rPr>
        <w:t>P</w:t>
      </w:r>
      <w:r w:rsidRPr="006960FD">
        <w:rPr>
          <w:rFonts w:asciiTheme="minorHAnsi" w:hAnsiTheme="minorHAnsi"/>
        </w:rPr>
        <w:t>rezes BIK.</w:t>
      </w:r>
      <w:r>
        <w:rPr>
          <w:rFonts w:asciiTheme="minorHAnsi" w:hAnsiTheme="minorHAnsi"/>
          <w:i/>
        </w:rPr>
        <w:t xml:space="preserve"> </w:t>
      </w:r>
    </w:p>
    <w:p w14:paraId="25A36D2E" w14:textId="77777777" w:rsidR="00FC542E" w:rsidRPr="0017424D" w:rsidRDefault="00FC542E" w:rsidP="00A56666">
      <w:pPr>
        <w:pStyle w:val="Zwykytekst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4D5D5BFF" w14:textId="77777777" w:rsidR="001F4C02" w:rsidRPr="0017424D" w:rsidRDefault="001F4C02" w:rsidP="001F4C02">
      <w:pPr>
        <w:pStyle w:val="Zwykytekst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17424D">
        <w:rPr>
          <w:rFonts w:asciiTheme="minorHAnsi" w:hAnsiTheme="minorHAnsi"/>
          <w:b/>
          <w:sz w:val="22"/>
          <w:szCs w:val="22"/>
          <w:lang w:val="pl-PL"/>
        </w:rPr>
        <w:t xml:space="preserve">Pożyczki </w:t>
      </w:r>
      <w:proofErr w:type="spellStart"/>
      <w:r w:rsidRPr="0017424D">
        <w:rPr>
          <w:rFonts w:asciiTheme="minorHAnsi" w:hAnsiTheme="minorHAnsi"/>
          <w:b/>
          <w:sz w:val="22"/>
          <w:szCs w:val="22"/>
          <w:lang w:val="pl-PL"/>
        </w:rPr>
        <w:t>pozabankowe</w:t>
      </w:r>
      <w:proofErr w:type="spellEnd"/>
    </w:p>
    <w:p w14:paraId="37F33557" w14:textId="77777777" w:rsidR="001F4C02" w:rsidRPr="0017424D" w:rsidRDefault="001F4C02" w:rsidP="001F4C02">
      <w:pPr>
        <w:pStyle w:val="Zwykytekst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7AB7186B" w14:textId="45D3B6D0" w:rsidR="00E02A2D" w:rsidRDefault="00E02A2D" w:rsidP="00F7010C">
      <w:pPr>
        <w:jc w:val="both"/>
      </w:pPr>
      <w:r w:rsidRPr="00AA57FA">
        <w:t xml:space="preserve">Do firm pożyczkowych należy już prawie 2/3 rynku finansowania </w:t>
      </w:r>
      <w:proofErr w:type="spellStart"/>
      <w:r w:rsidRPr="00AA57FA">
        <w:t>niskokwotowego</w:t>
      </w:r>
      <w:proofErr w:type="spellEnd"/>
      <w:r w:rsidRPr="00AA57FA">
        <w:t xml:space="preserve"> </w:t>
      </w:r>
      <w:r w:rsidR="008A0D9E">
        <w:t>(</w:t>
      </w:r>
      <w:r w:rsidRPr="00AA57FA">
        <w:t>do 2 tys.</w:t>
      </w:r>
      <w:r w:rsidR="008A0D9E">
        <w:t>)</w:t>
      </w:r>
      <w:r>
        <w:t xml:space="preserve">, </w:t>
      </w:r>
      <w:r w:rsidR="00BE63AB">
        <w:br/>
      </w:r>
      <w:r>
        <w:t>a</w:t>
      </w:r>
      <w:r w:rsidRPr="00AA57FA">
        <w:t xml:space="preserve"> w całym rynku finansowania gotówkowego (bankowe kredyty gotówkowe i pożyczki </w:t>
      </w:r>
      <w:proofErr w:type="spellStart"/>
      <w:r w:rsidRPr="00AA57FA">
        <w:t>pozabankowe</w:t>
      </w:r>
      <w:proofErr w:type="spellEnd"/>
      <w:r w:rsidRPr="00AA57FA">
        <w:t xml:space="preserve">) to ok. 10% udział. </w:t>
      </w:r>
      <w:r w:rsidRPr="0017424D">
        <w:rPr>
          <w:rFonts w:asciiTheme="minorHAnsi" w:hAnsiTheme="minorHAnsi"/>
        </w:rPr>
        <w:t>Czynne pożyczki posiada</w:t>
      </w:r>
      <w:r>
        <w:rPr>
          <w:rFonts w:asciiTheme="minorHAnsi" w:hAnsiTheme="minorHAnsi"/>
        </w:rPr>
        <w:t xml:space="preserve"> </w:t>
      </w:r>
      <w:r w:rsidR="008A0D9E">
        <w:rPr>
          <w:rFonts w:asciiTheme="minorHAnsi" w:hAnsiTheme="minorHAnsi"/>
        </w:rPr>
        <w:t xml:space="preserve">obecnie </w:t>
      </w:r>
      <w:r>
        <w:rPr>
          <w:rFonts w:asciiTheme="minorHAnsi" w:hAnsiTheme="minorHAnsi"/>
        </w:rPr>
        <w:t xml:space="preserve">571 </w:t>
      </w:r>
      <w:r w:rsidRPr="0017424D">
        <w:rPr>
          <w:rFonts w:asciiTheme="minorHAnsi" w:hAnsiTheme="minorHAnsi"/>
        </w:rPr>
        <w:t xml:space="preserve">tys. klientów na łączną kwotę </w:t>
      </w:r>
      <w:r>
        <w:rPr>
          <w:rFonts w:asciiTheme="minorHAnsi" w:hAnsiTheme="minorHAnsi"/>
        </w:rPr>
        <w:t>5,2</w:t>
      </w:r>
      <w:r w:rsidRPr="0017424D">
        <w:rPr>
          <w:rFonts w:asciiTheme="minorHAnsi" w:hAnsiTheme="minorHAnsi"/>
        </w:rPr>
        <w:t xml:space="preserve"> mld zł. </w:t>
      </w:r>
    </w:p>
    <w:p w14:paraId="5D5A25F0" w14:textId="39286C7D" w:rsidR="00E15521" w:rsidRDefault="008A0D9E" w:rsidP="00F7010C">
      <w:pPr>
        <w:jc w:val="both"/>
      </w:pPr>
      <w:r>
        <w:rPr>
          <w:rFonts w:asciiTheme="minorHAnsi" w:hAnsiTheme="minorHAnsi"/>
        </w:rPr>
        <w:t xml:space="preserve">Z analiz </w:t>
      </w:r>
      <w:r w:rsidR="00F7010C" w:rsidRPr="0017424D">
        <w:rPr>
          <w:rFonts w:asciiTheme="minorHAnsi" w:hAnsiTheme="minorHAnsi"/>
        </w:rPr>
        <w:t>BIK</w:t>
      </w:r>
      <w:r>
        <w:rPr>
          <w:rFonts w:asciiTheme="minorHAnsi" w:hAnsiTheme="minorHAnsi"/>
        </w:rPr>
        <w:t xml:space="preserve"> wynika</w:t>
      </w:r>
      <w:r w:rsidR="00F7010C" w:rsidRPr="0017424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że prawie 80% pożyczkobiorców posiada czynne kredyty w bankach. Kredyty posiadane przez pożyczkobiorców są częściej przeterminowane niż kredyty klientów tylko sektora bankowego. Może to oznaczać, że część klientów ko</w:t>
      </w:r>
      <w:r w:rsidR="00E04330">
        <w:rPr>
          <w:rFonts w:asciiTheme="minorHAnsi" w:hAnsiTheme="minorHAnsi"/>
        </w:rPr>
        <w:t xml:space="preserve">rzysta z pożyczek </w:t>
      </w:r>
      <w:proofErr w:type="spellStart"/>
      <w:r w:rsidR="00E04330">
        <w:rPr>
          <w:rFonts w:asciiTheme="minorHAnsi" w:hAnsiTheme="minorHAnsi"/>
        </w:rPr>
        <w:t>pozabankowych</w:t>
      </w:r>
      <w:proofErr w:type="spellEnd"/>
      <w:r w:rsidR="00CE2B7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aby </w:t>
      </w:r>
      <w:r w:rsidR="00F7010C" w:rsidRPr="0017424D">
        <w:rPr>
          <w:rFonts w:asciiTheme="minorHAnsi" w:hAnsiTheme="minorHAnsi"/>
        </w:rPr>
        <w:t>utrzyma</w:t>
      </w:r>
      <w:r>
        <w:rPr>
          <w:rFonts w:asciiTheme="minorHAnsi" w:hAnsiTheme="minorHAnsi"/>
        </w:rPr>
        <w:t>ć</w:t>
      </w:r>
      <w:r w:rsidR="00F7010C" w:rsidRPr="0017424D">
        <w:rPr>
          <w:rFonts w:asciiTheme="minorHAnsi" w:hAnsiTheme="minorHAnsi"/>
        </w:rPr>
        <w:t xml:space="preserve"> płynnoś</w:t>
      </w:r>
      <w:r>
        <w:rPr>
          <w:rFonts w:asciiTheme="minorHAnsi" w:hAnsiTheme="minorHAnsi"/>
        </w:rPr>
        <w:t xml:space="preserve">ć </w:t>
      </w:r>
      <w:r w:rsidR="00F7010C" w:rsidRPr="0017424D">
        <w:rPr>
          <w:rFonts w:asciiTheme="minorHAnsi" w:hAnsiTheme="minorHAnsi"/>
        </w:rPr>
        <w:t>finansow</w:t>
      </w:r>
      <w:r>
        <w:rPr>
          <w:rFonts w:asciiTheme="minorHAnsi" w:hAnsiTheme="minorHAnsi"/>
        </w:rPr>
        <w:t>ą</w:t>
      </w:r>
      <w:r w:rsidR="00F7010C" w:rsidRPr="0017424D">
        <w:rPr>
          <w:rFonts w:asciiTheme="minorHAnsi" w:hAnsiTheme="minorHAnsi"/>
        </w:rPr>
        <w:t>.</w:t>
      </w:r>
      <w:r w:rsidR="0016064D" w:rsidRPr="001742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Pożyczkobiorcy obsługują </w:t>
      </w:r>
      <w:r>
        <w:t xml:space="preserve">w bankach </w:t>
      </w:r>
      <w:r w:rsidR="00E15521" w:rsidRPr="00AA57FA">
        <w:t>22,8 mld zł</w:t>
      </w:r>
      <w:r w:rsidR="00CE2B7A">
        <w:t>,</w:t>
      </w:r>
      <w:r w:rsidR="00E04330">
        <w:t xml:space="preserve"> co</w:t>
      </w:r>
      <w:r>
        <w:t xml:space="preserve"> </w:t>
      </w:r>
      <w:r w:rsidR="00E15521" w:rsidRPr="00AA57FA">
        <w:t>stanowi</w:t>
      </w:r>
      <w:r>
        <w:t xml:space="preserve"> </w:t>
      </w:r>
      <w:r w:rsidR="00E15521" w:rsidRPr="00AA57FA">
        <w:t>8</w:t>
      </w:r>
      <w:r>
        <w:t>0</w:t>
      </w:r>
      <w:r w:rsidR="00E15521" w:rsidRPr="00AA57FA">
        <w:t>% ich łącznego zadłużenia</w:t>
      </w:r>
      <w:r w:rsidR="00E15521">
        <w:t>.</w:t>
      </w:r>
    </w:p>
    <w:p w14:paraId="21F8BECD" w14:textId="6D0B097D" w:rsidR="00E15521" w:rsidRDefault="00E15521" w:rsidP="006E2221">
      <w:pPr>
        <w:pStyle w:val="Zwykytekst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E15521">
        <w:rPr>
          <w:rFonts w:asciiTheme="minorHAnsi" w:hAnsiTheme="minorHAnsi"/>
          <w:i/>
          <w:sz w:val="22"/>
          <w:szCs w:val="22"/>
          <w:lang w:val="pl-PL"/>
        </w:rPr>
        <w:t xml:space="preserve">- </w:t>
      </w:r>
      <w:r w:rsidR="008A0D9E">
        <w:rPr>
          <w:rFonts w:asciiTheme="minorHAnsi" w:hAnsiTheme="minorHAnsi"/>
          <w:i/>
          <w:sz w:val="22"/>
          <w:szCs w:val="22"/>
          <w:lang w:val="pl-PL"/>
        </w:rPr>
        <w:t>W ocenie BIK w</w:t>
      </w:r>
      <w:r w:rsidR="006E2221" w:rsidRPr="00CE6F9B">
        <w:rPr>
          <w:rFonts w:asciiTheme="minorHAnsi" w:hAnsiTheme="minorHAnsi"/>
          <w:i/>
          <w:sz w:val="22"/>
          <w:szCs w:val="22"/>
          <w:lang w:val="pl-PL"/>
        </w:rPr>
        <w:t xml:space="preserve">yzwaniem </w:t>
      </w:r>
      <w:r w:rsidR="00CE6F9B">
        <w:rPr>
          <w:rFonts w:asciiTheme="minorHAnsi" w:hAnsiTheme="minorHAnsi"/>
          <w:i/>
          <w:sz w:val="22"/>
          <w:szCs w:val="22"/>
          <w:lang w:val="pl-PL"/>
        </w:rPr>
        <w:t xml:space="preserve">dla rynku </w:t>
      </w:r>
      <w:proofErr w:type="spellStart"/>
      <w:r w:rsidR="00CE6F9B">
        <w:rPr>
          <w:rFonts w:asciiTheme="minorHAnsi" w:hAnsiTheme="minorHAnsi"/>
          <w:i/>
          <w:sz w:val="22"/>
          <w:szCs w:val="22"/>
          <w:lang w:val="pl-PL"/>
        </w:rPr>
        <w:t>pozabankowego</w:t>
      </w:r>
      <w:proofErr w:type="spellEnd"/>
      <w:r w:rsidR="00CE6F9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EB5C86">
        <w:rPr>
          <w:rFonts w:asciiTheme="minorHAnsi" w:hAnsiTheme="minorHAnsi"/>
          <w:i/>
          <w:sz w:val="22"/>
          <w:szCs w:val="22"/>
          <w:lang w:val="pl-PL"/>
        </w:rPr>
        <w:t xml:space="preserve">w najbliższym czasie </w:t>
      </w:r>
      <w:r w:rsidR="008A0D9E">
        <w:rPr>
          <w:rFonts w:asciiTheme="minorHAnsi" w:hAnsiTheme="minorHAnsi"/>
          <w:i/>
          <w:sz w:val="22"/>
          <w:szCs w:val="22"/>
          <w:lang w:val="pl-PL"/>
        </w:rPr>
        <w:t xml:space="preserve">będzie </w:t>
      </w:r>
      <w:r w:rsidR="006E2221" w:rsidRPr="00CE6F9B">
        <w:rPr>
          <w:rFonts w:asciiTheme="minorHAnsi" w:hAnsiTheme="minorHAnsi"/>
          <w:i/>
          <w:sz w:val="22"/>
          <w:szCs w:val="22"/>
          <w:lang w:val="pl-PL"/>
        </w:rPr>
        <w:t>zapewnienie kapitału na udzielanie pożyczek, który pozyskiwany jest m.in.</w:t>
      </w:r>
      <w:r w:rsidR="00CE6F9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6E2221" w:rsidRPr="00CE6F9B">
        <w:rPr>
          <w:rFonts w:asciiTheme="minorHAnsi" w:hAnsiTheme="minorHAnsi"/>
          <w:i/>
          <w:sz w:val="22"/>
          <w:szCs w:val="22"/>
          <w:lang w:val="pl-PL"/>
        </w:rPr>
        <w:t>z rynku obligacji</w:t>
      </w:r>
      <w:r w:rsidR="008A0D9E">
        <w:rPr>
          <w:rFonts w:asciiTheme="minorHAnsi" w:hAnsiTheme="minorHAnsi"/>
          <w:i/>
          <w:sz w:val="22"/>
          <w:szCs w:val="22"/>
          <w:lang w:val="pl-PL"/>
        </w:rPr>
        <w:t xml:space="preserve"> i</w:t>
      </w:r>
      <w:r w:rsidR="006E2221" w:rsidRPr="00CE6F9B">
        <w:rPr>
          <w:rFonts w:asciiTheme="minorHAnsi" w:hAnsiTheme="minorHAnsi"/>
          <w:i/>
          <w:sz w:val="22"/>
          <w:szCs w:val="22"/>
          <w:lang w:val="pl-PL"/>
        </w:rPr>
        <w:t xml:space="preserve"> funduszy </w:t>
      </w:r>
      <w:proofErr w:type="spellStart"/>
      <w:r w:rsidR="006E2221" w:rsidRPr="00CE6F9B">
        <w:rPr>
          <w:rFonts w:asciiTheme="minorHAnsi" w:hAnsiTheme="minorHAnsi"/>
          <w:i/>
          <w:sz w:val="22"/>
          <w:szCs w:val="22"/>
          <w:lang w:val="pl-PL"/>
        </w:rPr>
        <w:t>private</w:t>
      </w:r>
      <w:proofErr w:type="spellEnd"/>
      <w:r w:rsidR="006E2221" w:rsidRPr="00CE6F9B">
        <w:rPr>
          <w:rFonts w:asciiTheme="minorHAnsi" w:hAnsiTheme="minorHAnsi"/>
          <w:i/>
          <w:sz w:val="22"/>
          <w:szCs w:val="22"/>
          <w:lang w:val="pl-PL"/>
        </w:rPr>
        <w:t xml:space="preserve"> equity</w:t>
      </w:r>
      <w:r w:rsidR="00EB5C86">
        <w:rPr>
          <w:rFonts w:asciiTheme="minorHAnsi" w:hAnsiTheme="minorHAnsi"/>
          <w:i/>
          <w:sz w:val="22"/>
          <w:szCs w:val="22"/>
          <w:lang w:val="pl-PL"/>
        </w:rPr>
        <w:t xml:space="preserve">. Na wielkość sprzedaży może </w:t>
      </w:r>
      <w:r w:rsidR="00EB5C86" w:rsidRPr="00A2134F">
        <w:rPr>
          <w:rFonts w:asciiTheme="minorHAnsi" w:hAnsiTheme="minorHAnsi"/>
          <w:i/>
          <w:sz w:val="22"/>
          <w:szCs w:val="22"/>
          <w:lang w:val="pl-PL"/>
        </w:rPr>
        <w:t>wpłynąć</w:t>
      </w:r>
      <w:r w:rsidR="00EB5C86" w:rsidRPr="001F0464">
        <w:rPr>
          <w:rFonts w:asciiTheme="minorHAnsi" w:hAnsiTheme="minorHAnsi"/>
          <w:i/>
          <w:sz w:val="22"/>
          <w:szCs w:val="22"/>
          <w:lang w:val="pl-PL"/>
        </w:rPr>
        <w:t xml:space="preserve"> planowan</w:t>
      </w:r>
      <w:r w:rsidR="00DF59EB" w:rsidRPr="001F0464">
        <w:rPr>
          <w:rFonts w:asciiTheme="minorHAnsi" w:hAnsiTheme="minorHAnsi"/>
          <w:i/>
          <w:sz w:val="22"/>
          <w:szCs w:val="22"/>
          <w:lang w:val="pl-PL"/>
        </w:rPr>
        <w:t xml:space="preserve">e wprowadzenie </w:t>
      </w:r>
      <w:r w:rsidR="00EB5C86" w:rsidRPr="001F0464">
        <w:rPr>
          <w:rFonts w:asciiTheme="minorHAnsi" w:hAnsiTheme="minorHAnsi"/>
          <w:i/>
          <w:sz w:val="22"/>
          <w:szCs w:val="22"/>
          <w:lang w:val="pl-PL"/>
        </w:rPr>
        <w:t>w sektorze firm pożyczkowych kodeks</w:t>
      </w:r>
      <w:r w:rsidR="00DF59EB" w:rsidRPr="001F0464">
        <w:rPr>
          <w:rFonts w:asciiTheme="minorHAnsi" w:hAnsiTheme="minorHAnsi"/>
          <w:i/>
          <w:sz w:val="22"/>
          <w:szCs w:val="22"/>
          <w:lang w:val="pl-PL"/>
        </w:rPr>
        <w:t>u</w:t>
      </w:r>
      <w:r w:rsidR="00EB5C86" w:rsidRPr="001F0464">
        <w:rPr>
          <w:rFonts w:asciiTheme="minorHAnsi" w:hAnsiTheme="minorHAnsi"/>
          <w:i/>
          <w:sz w:val="22"/>
          <w:szCs w:val="22"/>
          <w:lang w:val="pl-PL"/>
        </w:rPr>
        <w:t xml:space="preserve"> odpowiedzialnego pożyczania</w:t>
      </w:r>
      <w:r w:rsidR="00314C8E" w:rsidRPr="001F0464">
        <w:rPr>
          <w:rFonts w:asciiTheme="minorHAnsi" w:hAnsiTheme="minorHAnsi"/>
          <w:i/>
          <w:sz w:val="22"/>
          <w:szCs w:val="22"/>
          <w:lang w:val="pl-PL"/>
        </w:rPr>
        <w:t>, który powinien ograniczyć ryzyko nadmiernego zadłużania się klientów</w:t>
      </w:r>
      <w:r w:rsidR="00EB5C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C57EA" w:rsidRPr="00CE6F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="00DF59EB">
        <w:rPr>
          <w:rFonts w:asciiTheme="minorHAnsi" w:hAnsiTheme="minorHAnsi"/>
          <w:sz w:val="22"/>
          <w:szCs w:val="22"/>
          <w:lang w:val="pl-PL"/>
        </w:rPr>
        <w:t>stwierdza</w:t>
      </w:r>
      <w:r w:rsidR="005C57EA" w:rsidRPr="00CE6F9B">
        <w:rPr>
          <w:rFonts w:asciiTheme="minorHAnsi" w:hAnsiTheme="minorHAnsi"/>
          <w:sz w:val="22"/>
          <w:szCs w:val="22"/>
          <w:lang w:val="pl-PL"/>
        </w:rPr>
        <w:t xml:space="preserve"> dr Mariusz Cholewa.</w:t>
      </w:r>
    </w:p>
    <w:p w14:paraId="119F2373" w14:textId="4FA49775" w:rsidR="001F4C02" w:rsidRPr="00AC1326" w:rsidRDefault="00AC1326" w:rsidP="001F0464">
      <w:pPr>
        <w:pStyle w:val="Zwykytekst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- Rosnącemu p</w:t>
      </w:r>
      <w:r w:rsidR="001F4C02" w:rsidRPr="0017424D">
        <w:rPr>
          <w:rFonts w:asciiTheme="minorHAnsi" w:hAnsiTheme="minorHAnsi"/>
          <w:i/>
          <w:sz w:val="22"/>
          <w:szCs w:val="22"/>
          <w:lang w:val="pl-PL"/>
        </w:rPr>
        <w:t xml:space="preserve">opytowi </w:t>
      </w:r>
      <w:r w:rsidR="000644D9">
        <w:rPr>
          <w:rFonts w:asciiTheme="minorHAnsi" w:hAnsiTheme="minorHAnsi"/>
          <w:i/>
          <w:sz w:val="22"/>
          <w:szCs w:val="22"/>
          <w:lang w:val="pl-PL"/>
        </w:rPr>
        <w:t xml:space="preserve">w sektorze </w:t>
      </w:r>
      <w:proofErr w:type="spellStart"/>
      <w:r w:rsidR="00DF59EB">
        <w:rPr>
          <w:rFonts w:asciiTheme="minorHAnsi" w:hAnsiTheme="minorHAnsi"/>
          <w:i/>
          <w:sz w:val="22"/>
          <w:szCs w:val="22"/>
          <w:lang w:val="pl-PL"/>
        </w:rPr>
        <w:t>pozabankowym</w:t>
      </w:r>
      <w:proofErr w:type="spellEnd"/>
      <w:r w:rsidR="00DF59E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1F4C02" w:rsidRPr="0017424D">
        <w:rPr>
          <w:rFonts w:asciiTheme="minorHAnsi" w:hAnsiTheme="minorHAnsi"/>
          <w:i/>
          <w:sz w:val="22"/>
          <w:szCs w:val="22"/>
          <w:lang w:val="pl-PL"/>
        </w:rPr>
        <w:t>sprzyja prostota i łatwość uzyskania pożyczki, szczególnie w kanałach internetowych</w:t>
      </w:r>
      <w:r>
        <w:rPr>
          <w:rFonts w:asciiTheme="minorHAnsi" w:hAnsiTheme="minorHAnsi"/>
          <w:i/>
          <w:sz w:val="22"/>
          <w:szCs w:val="22"/>
          <w:lang w:val="pl-PL"/>
        </w:rPr>
        <w:t xml:space="preserve">, co może być istotne dla </w:t>
      </w:r>
      <w:r w:rsidR="000644D9">
        <w:rPr>
          <w:rFonts w:asciiTheme="minorHAnsi" w:hAnsiTheme="minorHAnsi"/>
          <w:i/>
          <w:sz w:val="22"/>
          <w:szCs w:val="22"/>
          <w:lang w:val="pl-PL"/>
        </w:rPr>
        <w:t xml:space="preserve">klientów </w:t>
      </w:r>
      <w:r w:rsidR="001F4C02" w:rsidRPr="0017424D">
        <w:rPr>
          <w:rFonts w:asciiTheme="minorHAnsi" w:hAnsiTheme="minorHAnsi"/>
          <w:i/>
          <w:sz w:val="22"/>
          <w:szCs w:val="22"/>
          <w:lang w:val="pl-PL"/>
        </w:rPr>
        <w:t>młodsz</w:t>
      </w:r>
      <w:r w:rsidR="000644D9">
        <w:rPr>
          <w:rFonts w:asciiTheme="minorHAnsi" w:hAnsiTheme="minorHAnsi"/>
          <w:i/>
          <w:sz w:val="22"/>
          <w:szCs w:val="22"/>
          <w:lang w:val="pl-PL"/>
        </w:rPr>
        <w:t xml:space="preserve">ych, </w:t>
      </w:r>
      <w:r>
        <w:rPr>
          <w:rFonts w:asciiTheme="minorHAnsi" w:hAnsiTheme="minorHAnsi"/>
          <w:i/>
          <w:sz w:val="22"/>
          <w:szCs w:val="22"/>
          <w:lang w:val="pl-PL"/>
        </w:rPr>
        <w:t>dominujący</w:t>
      </w:r>
      <w:r w:rsidR="000644D9">
        <w:rPr>
          <w:rFonts w:asciiTheme="minorHAnsi" w:hAnsiTheme="minorHAnsi"/>
          <w:i/>
          <w:sz w:val="22"/>
          <w:szCs w:val="22"/>
          <w:lang w:val="pl-PL"/>
        </w:rPr>
        <w:t>ch</w:t>
      </w:r>
      <w:r>
        <w:rPr>
          <w:rFonts w:asciiTheme="minorHAnsi" w:hAnsiTheme="minorHAnsi"/>
          <w:i/>
          <w:sz w:val="22"/>
          <w:szCs w:val="22"/>
          <w:lang w:val="pl-PL"/>
        </w:rPr>
        <w:t xml:space="preserve"> w tym </w:t>
      </w:r>
      <w:r w:rsidR="000644D9">
        <w:rPr>
          <w:rFonts w:asciiTheme="minorHAnsi" w:hAnsiTheme="minorHAnsi"/>
          <w:i/>
          <w:sz w:val="22"/>
          <w:szCs w:val="22"/>
          <w:lang w:val="pl-PL"/>
        </w:rPr>
        <w:t xml:space="preserve">obszarze finansowania </w:t>
      </w:r>
      <w:r w:rsidR="001F4C02" w:rsidRPr="0017424D">
        <w:rPr>
          <w:rFonts w:asciiTheme="minorHAnsi" w:hAnsiTheme="minorHAnsi"/>
          <w:i/>
          <w:sz w:val="22"/>
          <w:szCs w:val="22"/>
          <w:lang w:val="pl-PL"/>
        </w:rPr>
        <w:t xml:space="preserve">– </w:t>
      </w:r>
      <w:r w:rsidR="001F4C02" w:rsidRPr="00AC1326">
        <w:rPr>
          <w:rFonts w:asciiTheme="minorHAnsi" w:hAnsiTheme="minorHAnsi"/>
          <w:sz w:val="22"/>
          <w:szCs w:val="22"/>
          <w:lang w:val="pl-PL"/>
        </w:rPr>
        <w:t xml:space="preserve">dodaje </w:t>
      </w:r>
      <w:r w:rsidR="00BE63AB">
        <w:rPr>
          <w:rFonts w:asciiTheme="minorHAnsi" w:hAnsiTheme="minorHAnsi"/>
          <w:sz w:val="22"/>
          <w:szCs w:val="22"/>
          <w:lang w:val="pl-PL"/>
        </w:rPr>
        <w:t>P</w:t>
      </w:r>
      <w:r>
        <w:rPr>
          <w:rFonts w:asciiTheme="minorHAnsi" w:hAnsiTheme="minorHAnsi"/>
          <w:sz w:val="22"/>
          <w:szCs w:val="22"/>
          <w:lang w:val="pl-PL"/>
        </w:rPr>
        <w:t>rezes BIK.</w:t>
      </w:r>
      <w:r w:rsidR="001F4C02" w:rsidRPr="00AC1326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176DB7D7" w14:textId="77777777" w:rsidR="001F4C02" w:rsidRPr="0017424D" w:rsidRDefault="001F4C02" w:rsidP="00A56666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</w:p>
    <w:p w14:paraId="67326E39" w14:textId="77777777" w:rsidR="001F4C02" w:rsidRPr="0017424D" w:rsidRDefault="001F4C02" w:rsidP="00A56666">
      <w:pPr>
        <w:pStyle w:val="Zwykytekst"/>
        <w:jc w:val="both"/>
        <w:rPr>
          <w:rFonts w:asciiTheme="minorHAnsi" w:hAnsiTheme="minorHAnsi"/>
          <w:b/>
          <w:sz w:val="22"/>
          <w:szCs w:val="22"/>
          <w:lang w:val="pl-PL"/>
        </w:rPr>
      </w:pPr>
      <w:bookmarkStart w:id="0" w:name="_GoBack"/>
      <w:bookmarkEnd w:id="0"/>
    </w:p>
    <w:p w14:paraId="53CBE6DA" w14:textId="77777777" w:rsidR="00A56666" w:rsidRPr="0017424D" w:rsidRDefault="00A56666" w:rsidP="00A56666">
      <w:pPr>
        <w:pStyle w:val="Zwykytekst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17424D">
        <w:rPr>
          <w:rFonts w:asciiTheme="minorHAnsi" w:hAnsiTheme="minorHAnsi"/>
          <w:b/>
          <w:sz w:val="22"/>
          <w:szCs w:val="22"/>
          <w:lang w:val="pl-PL"/>
        </w:rPr>
        <w:t>Kredyty mieszkaniowe</w:t>
      </w:r>
    </w:p>
    <w:p w14:paraId="506424CB" w14:textId="77777777" w:rsidR="00A56666" w:rsidRPr="0017424D" w:rsidRDefault="00A56666" w:rsidP="00A56666">
      <w:pPr>
        <w:pStyle w:val="Zwykytekst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BA1AFD1" w14:textId="6252BA66" w:rsidR="007E3D53" w:rsidRDefault="00710D0E" w:rsidP="00A56666">
      <w:pPr>
        <w:pStyle w:val="Zwykytekst"/>
        <w:jc w:val="both"/>
        <w:rPr>
          <w:rFonts w:asciiTheme="minorHAnsi" w:hAnsiTheme="minorHAnsi"/>
          <w:sz w:val="22"/>
          <w:szCs w:val="22"/>
          <w:lang w:val="pl-PL"/>
        </w:rPr>
      </w:pPr>
      <w:r w:rsidRPr="0017424D">
        <w:rPr>
          <w:rFonts w:asciiTheme="minorHAnsi" w:hAnsiTheme="minorHAnsi"/>
          <w:sz w:val="22"/>
          <w:szCs w:val="22"/>
          <w:lang w:val="pl-PL"/>
        </w:rPr>
        <w:t xml:space="preserve">Spełniły się </w:t>
      </w:r>
      <w:r w:rsidR="00FC542E" w:rsidRPr="0017424D">
        <w:rPr>
          <w:rFonts w:asciiTheme="minorHAnsi" w:hAnsiTheme="minorHAnsi"/>
          <w:sz w:val="22"/>
          <w:szCs w:val="22"/>
          <w:lang w:val="pl-PL"/>
        </w:rPr>
        <w:t xml:space="preserve">optymistyczne </w:t>
      </w:r>
      <w:r w:rsidRPr="0017424D">
        <w:rPr>
          <w:rFonts w:asciiTheme="minorHAnsi" w:hAnsiTheme="minorHAnsi"/>
          <w:sz w:val="22"/>
          <w:szCs w:val="22"/>
          <w:lang w:val="pl-PL"/>
        </w:rPr>
        <w:t>prognozy Biura Informacji Kredytowej</w:t>
      </w:r>
      <w:r w:rsidR="002A2B38" w:rsidRPr="0017424D">
        <w:rPr>
          <w:rFonts w:asciiTheme="minorHAnsi" w:hAnsiTheme="minorHAnsi"/>
          <w:sz w:val="22"/>
          <w:szCs w:val="22"/>
          <w:lang w:val="pl-PL"/>
        </w:rPr>
        <w:t xml:space="preserve"> - </w:t>
      </w:r>
      <w:r w:rsidR="002A2B38" w:rsidRPr="0017424D">
        <w:rPr>
          <w:rFonts w:asciiTheme="minorHAnsi" w:hAnsiTheme="minorHAnsi"/>
          <w:sz w:val="22"/>
          <w:szCs w:val="22"/>
        </w:rPr>
        <w:t xml:space="preserve">sprzedaż kredytów mieszkaniowych była najwyższa </w:t>
      </w:r>
      <w:r w:rsidR="007E3D53">
        <w:rPr>
          <w:rFonts w:asciiTheme="minorHAnsi" w:hAnsiTheme="minorHAnsi"/>
          <w:sz w:val="22"/>
          <w:szCs w:val="22"/>
          <w:lang w:val="pl-PL"/>
        </w:rPr>
        <w:t xml:space="preserve">od dekady. </w:t>
      </w:r>
      <w:r w:rsidR="007E3D53" w:rsidRPr="007E3D53">
        <w:rPr>
          <w:rFonts w:asciiTheme="minorHAnsi" w:hAnsiTheme="minorHAnsi"/>
          <w:sz w:val="22"/>
          <w:szCs w:val="22"/>
          <w:lang w:val="pl-PL"/>
        </w:rPr>
        <w:t>Pod względem wartości udzielonych kredytów jest to trzeci wynik w historii po rekordowych latach 2007 i 2008.</w:t>
      </w:r>
    </w:p>
    <w:p w14:paraId="21A69B61" w14:textId="77777777" w:rsidR="00E04330" w:rsidRDefault="00E04330" w:rsidP="00361B53">
      <w:pPr>
        <w:jc w:val="both"/>
      </w:pPr>
    </w:p>
    <w:p w14:paraId="0FA38C18" w14:textId="77777777" w:rsidR="00E04330" w:rsidRDefault="00E04330" w:rsidP="00361B53">
      <w:pPr>
        <w:jc w:val="both"/>
      </w:pPr>
    </w:p>
    <w:p w14:paraId="10421C82" w14:textId="77777777" w:rsidR="00E04330" w:rsidRDefault="00E04330" w:rsidP="00361B53">
      <w:pPr>
        <w:jc w:val="both"/>
      </w:pPr>
    </w:p>
    <w:p w14:paraId="4D10BC41" w14:textId="3FF131E5" w:rsidR="00361B53" w:rsidRDefault="00361B53" w:rsidP="00361B53">
      <w:pPr>
        <w:jc w:val="both"/>
      </w:pPr>
      <w:r>
        <w:t>Wzrost wartościowy zawdzięczamy głównie wzrostowi średniej wartości udzielanego kredytu o 15,2%</w:t>
      </w:r>
      <w:r w:rsidR="00DF59EB">
        <w:t xml:space="preserve"> (247,2 tys. zł</w:t>
      </w:r>
      <w:r w:rsidR="004B2814">
        <w:t>.</w:t>
      </w:r>
      <w:r w:rsidR="00DF59EB">
        <w:t>)</w:t>
      </w:r>
      <w:r>
        <w:t xml:space="preserve">. Wśród czynników pozytywnie wpływających na wysoką sprzedaż kredytów mieszkaniowych </w:t>
      </w:r>
      <w:r w:rsidR="00DF59EB">
        <w:t>można wskazać</w:t>
      </w:r>
      <w:r>
        <w:t xml:space="preserve"> </w:t>
      </w:r>
      <w:r w:rsidR="00DF59EB">
        <w:t xml:space="preserve">rosnące </w:t>
      </w:r>
      <w:r>
        <w:t xml:space="preserve">dochody gospodarstw domowych, utrzymujące się niskie stopy procentowe, wzrost cen nieruchomości (6-10%) oraz program </w:t>
      </w:r>
      <w:proofErr w:type="spellStart"/>
      <w:r>
        <w:t>MdM</w:t>
      </w:r>
      <w:proofErr w:type="spellEnd"/>
      <w:r>
        <w:t>, który zapewnił finansowanie  ok. 5,5 mld zł</w:t>
      </w:r>
      <w:r w:rsidR="004B2814">
        <w:t>.</w:t>
      </w:r>
      <w:r>
        <w:t xml:space="preserve"> wartości kredytów. </w:t>
      </w:r>
    </w:p>
    <w:p w14:paraId="4F2E1435" w14:textId="58676EF2" w:rsidR="006A30F4" w:rsidRPr="006A30F4" w:rsidRDefault="00314395" w:rsidP="006A30F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Na rozwój </w:t>
      </w:r>
      <w:r w:rsidR="00FC542E" w:rsidRPr="0017424D">
        <w:rPr>
          <w:rFonts w:asciiTheme="minorHAnsi" w:hAnsiTheme="minorHAnsi"/>
          <w:i/>
        </w:rPr>
        <w:t xml:space="preserve">rynku kredytów mieszkaniowych w </w:t>
      </w:r>
      <w:r w:rsidR="006B40CD">
        <w:rPr>
          <w:rFonts w:asciiTheme="minorHAnsi" w:hAnsiTheme="minorHAnsi"/>
          <w:i/>
        </w:rPr>
        <w:t xml:space="preserve">2019 </w:t>
      </w:r>
      <w:r w:rsidR="00FC542E" w:rsidRPr="0017424D">
        <w:rPr>
          <w:rFonts w:asciiTheme="minorHAnsi" w:hAnsiTheme="minorHAnsi"/>
          <w:i/>
        </w:rPr>
        <w:t>roku będzie miał</w:t>
      </w:r>
      <w:r>
        <w:rPr>
          <w:rFonts w:asciiTheme="minorHAnsi" w:hAnsiTheme="minorHAnsi"/>
          <w:i/>
        </w:rPr>
        <w:t>a wpływ sytuacja na rynku deweloperskim</w:t>
      </w:r>
      <w:r w:rsidR="004B2814">
        <w:rPr>
          <w:rFonts w:asciiTheme="minorHAnsi" w:hAnsiTheme="minorHAnsi"/>
          <w:i/>
        </w:rPr>
        <w:t xml:space="preserve"> który</w:t>
      </w:r>
      <w:r w:rsidR="00FC542E" w:rsidRPr="0017424D">
        <w:rPr>
          <w:rFonts w:asciiTheme="minorHAnsi" w:hAnsiTheme="minorHAnsi"/>
          <w:i/>
        </w:rPr>
        <w:t xml:space="preserve"> może </w:t>
      </w:r>
      <w:r w:rsidR="0057511F">
        <w:rPr>
          <w:rFonts w:asciiTheme="minorHAnsi" w:hAnsiTheme="minorHAnsi"/>
          <w:i/>
        </w:rPr>
        <w:t>wy</w:t>
      </w:r>
      <w:r w:rsidR="00FC542E" w:rsidRPr="0017424D">
        <w:rPr>
          <w:rFonts w:asciiTheme="minorHAnsi" w:hAnsiTheme="minorHAnsi"/>
          <w:i/>
        </w:rPr>
        <w:t>hamować</w:t>
      </w:r>
      <w:r w:rsidR="0057511F">
        <w:rPr>
          <w:rFonts w:asciiTheme="minorHAnsi" w:hAnsiTheme="minorHAnsi"/>
          <w:i/>
        </w:rPr>
        <w:t xml:space="preserve"> z uwagi na ograniczone zasoby gruntów oraz wzrost kosztów </w:t>
      </w:r>
      <w:r w:rsidR="00FC542E" w:rsidRPr="0017424D">
        <w:rPr>
          <w:rFonts w:asciiTheme="minorHAnsi" w:hAnsiTheme="minorHAnsi"/>
          <w:i/>
        </w:rPr>
        <w:t xml:space="preserve">budowy mieszkań. </w:t>
      </w:r>
      <w:r w:rsidR="006A30F4">
        <w:rPr>
          <w:rFonts w:asciiTheme="minorHAnsi" w:hAnsiTheme="minorHAnsi"/>
          <w:i/>
        </w:rPr>
        <w:t>Dodatkowo banki s</w:t>
      </w:r>
      <w:r w:rsidR="006A30F4" w:rsidRPr="006A30F4">
        <w:rPr>
          <w:rFonts w:asciiTheme="minorHAnsi" w:hAnsiTheme="minorHAnsi"/>
          <w:i/>
        </w:rPr>
        <w:t>ygnaliz</w:t>
      </w:r>
      <w:r w:rsidR="006A30F4">
        <w:rPr>
          <w:rFonts w:asciiTheme="minorHAnsi" w:hAnsiTheme="minorHAnsi"/>
          <w:i/>
        </w:rPr>
        <w:t xml:space="preserve">ują </w:t>
      </w:r>
      <w:r w:rsidR="00DA4CDF">
        <w:rPr>
          <w:rFonts w:asciiTheme="minorHAnsi" w:hAnsiTheme="minorHAnsi"/>
          <w:i/>
        </w:rPr>
        <w:t>zaostrzenie</w:t>
      </w:r>
      <w:r w:rsidR="00DA4CDF" w:rsidRPr="006A30F4">
        <w:rPr>
          <w:rFonts w:asciiTheme="minorHAnsi" w:hAnsiTheme="minorHAnsi"/>
          <w:i/>
        </w:rPr>
        <w:t xml:space="preserve"> </w:t>
      </w:r>
      <w:r w:rsidR="006A30F4" w:rsidRPr="006A30F4">
        <w:rPr>
          <w:rFonts w:asciiTheme="minorHAnsi" w:hAnsiTheme="minorHAnsi"/>
          <w:i/>
        </w:rPr>
        <w:t>polityki kredytowej</w:t>
      </w:r>
      <w:r w:rsidR="006A30F4">
        <w:rPr>
          <w:rFonts w:asciiTheme="minorHAnsi" w:hAnsiTheme="minorHAnsi"/>
          <w:i/>
        </w:rPr>
        <w:t xml:space="preserve">. Nie do końca </w:t>
      </w:r>
      <w:r w:rsidR="00DA4CDF">
        <w:rPr>
          <w:rFonts w:asciiTheme="minorHAnsi" w:hAnsiTheme="minorHAnsi"/>
          <w:i/>
        </w:rPr>
        <w:t xml:space="preserve">możliwy do przewidzenia </w:t>
      </w:r>
      <w:r w:rsidR="00DF59EB">
        <w:rPr>
          <w:rFonts w:asciiTheme="minorHAnsi" w:hAnsiTheme="minorHAnsi"/>
          <w:i/>
        </w:rPr>
        <w:t xml:space="preserve">jest również </w:t>
      </w:r>
      <w:r w:rsidR="006A30F4">
        <w:rPr>
          <w:rFonts w:asciiTheme="minorHAnsi" w:hAnsiTheme="minorHAnsi"/>
          <w:i/>
        </w:rPr>
        <w:t xml:space="preserve">efekt braku kontynuacji </w:t>
      </w:r>
      <w:r w:rsidR="006A30F4" w:rsidRPr="006A30F4">
        <w:rPr>
          <w:rFonts w:asciiTheme="minorHAnsi" w:hAnsiTheme="minorHAnsi"/>
          <w:i/>
        </w:rPr>
        <w:t>programu „Mieszkanie dla młodych”</w:t>
      </w:r>
      <w:r w:rsidR="006A30F4">
        <w:rPr>
          <w:rFonts w:asciiTheme="minorHAnsi" w:hAnsiTheme="minorHAnsi"/>
          <w:i/>
        </w:rPr>
        <w:t xml:space="preserve"> </w:t>
      </w:r>
      <w:r w:rsidR="00DA4CDF">
        <w:rPr>
          <w:rFonts w:asciiTheme="minorHAnsi" w:hAnsiTheme="minorHAnsi"/>
          <w:i/>
        </w:rPr>
        <w:t>zarówno</w:t>
      </w:r>
      <w:r w:rsidR="001F3A07">
        <w:rPr>
          <w:rFonts w:asciiTheme="minorHAnsi" w:hAnsiTheme="minorHAnsi"/>
          <w:i/>
        </w:rPr>
        <w:t xml:space="preserve"> dla samego rynku nieruchomości jak i rynku kredytów mieszkaniowych</w:t>
      </w:r>
      <w:r w:rsidR="00DF59EB">
        <w:rPr>
          <w:rFonts w:asciiTheme="minorHAnsi" w:hAnsiTheme="minorHAnsi"/>
          <w:i/>
        </w:rPr>
        <w:t xml:space="preserve"> </w:t>
      </w:r>
      <w:r w:rsidR="006A30F4" w:rsidRPr="006A30F4">
        <w:rPr>
          <w:rFonts w:asciiTheme="minorHAnsi" w:hAnsiTheme="minorHAnsi"/>
        </w:rPr>
        <w:t xml:space="preserve">– tłumaczy </w:t>
      </w:r>
      <w:r w:rsidR="006A30F4">
        <w:rPr>
          <w:rFonts w:asciiTheme="minorHAnsi" w:hAnsiTheme="minorHAnsi"/>
        </w:rPr>
        <w:t xml:space="preserve">prezes Cholewa. </w:t>
      </w:r>
    </w:p>
    <w:p w14:paraId="10080C65" w14:textId="77777777" w:rsidR="00950B06" w:rsidRPr="00BE63AB" w:rsidRDefault="00950B06" w:rsidP="00275F2E">
      <w:pPr>
        <w:jc w:val="both"/>
        <w:rPr>
          <w:rFonts w:asciiTheme="minorHAnsi" w:hAnsiTheme="minorHAnsi"/>
          <w:b/>
          <w:color w:val="595959" w:themeColor="text1" w:themeTint="A6"/>
          <w:sz w:val="18"/>
          <w:szCs w:val="18"/>
        </w:rPr>
      </w:pPr>
    </w:p>
    <w:p w14:paraId="548B81AC" w14:textId="77777777" w:rsidR="00284E77" w:rsidRPr="00BE63AB" w:rsidRDefault="00284E77" w:rsidP="00284E77">
      <w:pPr>
        <w:jc w:val="both"/>
        <w:rPr>
          <w:rFonts w:asciiTheme="minorHAnsi" w:hAnsiTheme="minorHAnsi"/>
          <w:sz w:val="18"/>
          <w:szCs w:val="18"/>
        </w:rPr>
      </w:pPr>
      <w:r w:rsidRPr="00BE63AB">
        <w:rPr>
          <w:rFonts w:asciiTheme="minorHAnsi" w:hAnsiTheme="minorHAnsi"/>
          <w:b/>
          <w:bCs/>
          <w:color w:val="595959"/>
          <w:sz w:val="18"/>
          <w:szCs w:val="18"/>
        </w:rPr>
        <w:t xml:space="preserve">Biuro Informacji Kredytowej S.A. </w:t>
      </w:r>
      <w:r w:rsidRPr="00BE63AB">
        <w:rPr>
          <w:rFonts w:asciiTheme="minorHAnsi" w:hAnsiTheme="minorHAnsi"/>
          <w:color w:val="595959"/>
          <w:sz w:val="18"/>
          <w:szCs w:val="18"/>
        </w:rPr>
        <w:t xml:space="preserve">gromadzi i udostępnia dane o historii kredytowej klientów banków, SKOK-ów, tj. z całego rynku kredytowego w Polsce. BIK jako największy w kraju zbiór danych o klientach indywidualnych i przedsiębiorcach, także w obszarze pożyczek </w:t>
      </w:r>
      <w:proofErr w:type="spellStart"/>
      <w:r w:rsidRPr="00BE63AB">
        <w:rPr>
          <w:rFonts w:asciiTheme="minorHAnsi" w:hAnsiTheme="minorHAnsi"/>
          <w:color w:val="595959"/>
          <w:sz w:val="18"/>
          <w:szCs w:val="18"/>
        </w:rPr>
        <w:t>pozabankowych</w:t>
      </w:r>
      <w:proofErr w:type="spellEnd"/>
      <w:r w:rsidRPr="00BE63AB">
        <w:rPr>
          <w:rFonts w:asciiTheme="minorHAnsi" w:hAnsiTheme="minorHAnsi"/>
          <w:color w:val="595959"/>
          <w:sz w:val="18"/>
          <w:szCs w:val="18"/>
        </w:rPr>
        <w:t xml:space="preserve">, posiada w swojej bazie informacje o 148 mln rachunków należących do 24,3 mln klientów indywidualnych oraz informacje o historii kredytowej łącznie 1,2 mln firm, rolników i innych podmiotów, w tym o 757 tys. </w:t>
      </w:r>
      <w:proofErr w:type="spellStart"/>
      <w:r w:rsidRPr="00BE63AB">
        <w:rPr>
          <w:rFonts w:asciiTheme="minorHAnsi" w:hAnsiTheme="minorHAnsi"/>
          <w:color w:val="595959"/>
          <w:sz w:val="18"/>
          <w:szCs w:val="18"/>
        </w:rPr>
        <w:t>mikroprzedsiębiorców</w:t>
      </w:r>
      <w:proofErr w:type="spellEnd"/>
      <w:r w:rsidRPr="00BE63AB">
        <w:rPr>
          <w:rFonts w:asciiTheme="minorHAnsi" w:hAnsiTheme="minorHAnsi"/>
          <w:color w:val="595959"/>
          <w:sz w:val="18"/>
          <w:szCs w:val="18"/>
        </w:rPr>
        <w:t xml:space="preserve"> prowadzących działalność gospodarczą. Poprzez internetowy portal </w:t>
      </w:r>
      <w:hyperlink r:id="rId10" w:history="1">
        <w:r w:rsidRPr="00BE63AB">
          <w:rPr>
            <w:rStyle w:val="Hipercze"/>
            <w:rFonts w:asciiTheme="minorHAnsi" w:hAnsiTheme="minorHAnsi"/>
            <w:sz w:val="18"/>
            <w:szCs w:val="18"/>
          </w:rPr>
          <w:t>www.bik.pl</w:t>
        </w:r>
      </w:hyperlink>
      <w:r w:rsidRPr="00BE63AB">
        <w:rPr>
          <w:rFonts w:asciiTheme="minorHAnsi" w:hAnsiTheme="minorHAnsi"/>
          <w:color w:val="595959"/>
          <w:sz w:val="18"/>
          <w:szCs w:val="18"/>
        </w:rPr>
        <w:t xml:space="preserve"> umożliwia klientom indywidualnym monitorowanie własnej historii kredytowej, a dzięki Alertom BIK pomaga chronić się przed wyłudzeniem kredytu lub opóźnieniem w spłacie. BIK spełnia rolę społeczną, inicjując akcję edukacyjną Nieskradzione.pl, której celem jest uświadomienie potrzeby ochrony swoich danych osobowych. Biuro jako instytucja utworzona na podstawie art. 105 ust.4 Prawa bankowego i podlegająca przepisom tej ustawy w zakresie szczególnego reżimu ujawniania informacji stanowiących tajemnicę bankową wykorzystuje najwyższe standardy gromadzenia i przetwarzania danych. BIK udostępnia informacje stanowiące tajemnicę bankową bankom, SKOK-om, instytucjom pożyczkowym, a także na podstawie art. 12a. ust.3 Ustawy z 19 sierpnia 2011 r. o usługach płatniczych może gromadzić i udostępniać wydawcom instrumentów płatniczych informacje dotyczące użytkowników instrumentów płatniczych.</w:t>
      </w:r>
    </w:p>
    <w:p w14:paraId="06FA73BD" w14:textId="77777777" w:rsidR="00284E77" w:rsidRPr="0017424D" w:rsidRDefault="00284E77" w:rsidP="00275F2E">
      <w:pPr>
        <w:spacing w:after="60"/>
        <w:jc w:val="both"/>
        <w:rPr>
          <w:rFonts w:asciiTheme="minorHAnsi" w:hAnsiTheme="minorHAnsi"/>
          <w:b/>
          <w:bCs/>
          <w:color w:val="595959" w:themeColor="text1" w:themeTint="A6"/>
        </w:rPr>
      </w:pPr>
    </w:p>
    <w:p w14:paraId="3341EE23" w14:textId="77777777" w:rsidR="00275F2E" w:rsidRPr="00BE63AB" w:rsidRDefault="00275F2E" w:rsidP="00275F2E">
      <w:pPr>
        <w:spacing w:after="60"/>
        <w:jc w:val="both"/>
        <w:rPr>
          <w:rFonts w:asciiTheme="minorHAnsi" w:hAnsiTheme="minorHAnsi"/>
          <w:b/>
          <w:bCs/>
          <w:color w:val="595959" w:themeColor="text1" w:themeTint="A6"/>
          <w:sz w:val="16"/>
          <w:szCs w:val="16"/>
        </w:rPr>
      </w:pPr>
      <w:r w:rsidRPr="00BE63AB">
        <w:rPr>
          <w:rFonts w:asciiTheme="minorHAnsi" w:hAnsiTheme="minorHAnsi"/>
          <w:b/>
          <w:bCs/>
          <w:color w:val="595959" w:themeColor="text1" w:themeTint="A6"/>
          <w:sz w:val="16"/>
          <w:szCs w:val="16"/>
        </w:rPr>
        <w:t>Kontakt dla prasy: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8"/>
        <w:gridCol w:w="4606"/>
      </w:tblGrid>
      <w:tr w:rsidR="00275F2E" w:rsidRPr="00BE63AB" w14:paraId="5805DB36" w14:textId="77777777" w:rsidTr="008D3A14">
        <w:tc>
          <w:tcPr>
            <w:tcW w:w="4498" w:type="dxa"/>
          </w:tcPr>
          <w:p w14:paraId="6E8D1273" w14:textId="52C09B95" w:rsidR="00275F2E" w:rsidRPr="00BE63AB" w:rsidRDefault="00275F2E" w:rsidP="00275F2E">
            <w:pPr>
              <w:ind w:left="-108"/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</w:pPr>
            <w:r w:rsidRPr="00BE63AB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t>Alina Stahl</w:t>
            </w:r>
            <w:r w:rsidRPr="00BE63AB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br/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Dyrektor Biura PR i Komunikacji</w:t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br/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t>tel.: +48 22 348 4180</w:t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br/>
              <w:t>kom.: + 48 512 164 476</w:t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br/>
            </w:r>
            <w:hyperlink r:id="rId11" w:history="1">
              <w:r w:rsidRPr="00BE63AB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  <w:u w:val="single"/>
                  <w:lang w:val="sv-SE"/>
                </w:rPr>
                <w:t>kontaktmedia@bik.pl</w:t>
              </w:r>
            </w:hyperlink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14:paraId="11146F7D" w14:textId="1CB84D04" w:rsidR="00275F2E" w:rsidRPr="00BE63AB" w:rsidRDefault="00275F2E" w:rsidP="00275F2E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</w:pPr>
            <w:r w:rsidRPr="00BE63AB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t>Aleksandra Stankiewicz-Billewicz</w:t>
            </w:r>
            <w:r w:rsidRPr="00BE63AB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br/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Biuro PR i Komunikacji</w:t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br/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t>tel.: +48 22 348 4131</w:t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br/>
              <w:t>kom.: + 48 512 164 131</w:t>
            </w:r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br/>
            </w:r>
            <w:hyperlink r:id="rId12" w:history="1">
              <w:r w:rsidRPr="00BE63AB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  <w:u w:val="single"/>
                  <w:lang w:val="sv-SE"/>
                </w:rPr>
                <w:t>kontaktmedia@bik.pl</w:t>
              </w:r>
            </w:hyperlink>
            <w:r w:rsidRPr="00BE63AB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sv-SE"/>
              </w:rPr>
              <w:t xml:space="preserve"> </w:t>
            </w:r>
          </w:p>
        </w:tc>
      </w:tr>
    </w:tbl>
    <w:p w14:paraId="3D37174E" w14:textId="77777777" w:rsidR="00A56666" w:rsidRPr="0017424D" w:rsidRDefault="00A56666" w:rsidP="00275F2E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</w:p>
    <w:sectPr w:rsidR="00A56666" w:rsidRPr="0017424D" w:rsidSect="0079508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C3C1" w14:textId="77777777" w:rsidR="006138F0" w:rsidRDefault="006138F0">
      <w:pPr>
        <w:spacing w:after="0" w:line="240" w:lineRule="auto"/>
      </w:pPr>
      <w:r>
        <w:separator/>
      </w:r>
    </w:p>
  </w:endnote>
  <w:endnote w:type="continuationSeparator" w:id="0">
    <w:p w14:paraId="24872B65" w14:textId="77777777" w:rsidR="006138F0" w:rsidRDefault="006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8C9F" w14:textId="77777777" w:rsidR="00170D69" w:rsidRDefault="009E08C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B7A">
      <w:rPr>
        <w:noProof/>
      </w:rPr>
      <w:t>3</w:t>
    </w:r>
    <w:r>
      <w:rPr>
        <w:noProof/>
      </w:rPr>
      <w:fldChar w:fldCharType="end"/>
    </w:r>
  </w:p>
  <w:p w14:paraId="0CEA723A" w14:textId="77777777" w:rsidR="00170D69" w:rsidRDefault="00613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4856" w14:textId="77777777" w:rsidR="006138F0" w:rsidRDefault="006138F0">
      <w:pPr>
        <w:spacing w:after="0" w:line="240" w:lineRule="auto"/>
      </w:pPr>
      <w:r>
        <w:separator/>
      </w:r>
    </w:p>
  </w:footnote>
  <w:footnote w:type="continuationSeparator" w:id="0">
    <w:p w14:paraId="328035A4" w14:textId="77777777" w:rsidR="006138F0" w:rsidRDefault="0061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280F" w14:textId="55402199" w:rsidR="00273514" w:rsidRDefault="00950B06" w:rsidP="00273514">
    <w:pPr>
      <w:pStyle w:val="Nagwek"/>
      <w:jc w:val="center"/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 wp14:anchorId="1855C04E" wp14:editId="2CBF1C05">
          <wp:simplePos x="0" y="0"/>
          <wp:positionH relativeFrom="margin">
            <wp:posOffset>-962660</wp:posOffset>
          </wp:positionH>
          <wp:positionV relativeFrom="margin">
            <wp:posOffset>-621030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A3C"/>
    <w:multiLevelType w:val="hybridMultilevel"/>
    <w:tmpl w:val="1416E986"/>
    <w:lvl w:ilvl="0" w:tplc="AFB062C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500C"/>
    <w:multiLevelType w:val="hybridMultilevel"/>
    <w:tmpl w:val="26EC76F4"/>
    <w:lvl w:ilvl="0" w:tplc="AFB062C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64"/>
    <w:multiLevelType w:val="hybridMultilevel"/>
    <w:tmpl w:val="6B2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697B"/>
    <w:multiLevelType w:val="hybridMultilevel"/>
    <w:tmpl w:val="A630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4F9C"/>
    <w:multiLevelType w:val="hybridMultilevel"/>
    <w:tmpl w:val="8474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2B4F"/>
    <w:multiLevelType w:val="hybridMultilevel"/>
    <w:tmpl w:val="4002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4CD7"/>
    <w:multiLevelType w:val="hybridMultilevel"/>
    <w:tmpl w:val="5822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18CB"/>
    <w:multiLevelType w:val="hybridMultilevel"/>
    <w:tmpl w:val="941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ybek Sławomir">
    <w15:presenceInfo w15:providerId="AD" w15:userId="S-1-5-21-642383049-647438770-3675605203-133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6"/>
    <w:rsid w:val="0000348A"/>
    <w:rsid w:val="000260FF"/>
    <w:rsid w:val="00027688"/>
    <w:rsid w:val="00027B4A"/>
    <w:rsid w:val="000401A8"/>
    <w:rsid w:val="000435FD"/>
    <w:rsid w:val="00054EBA"/>
    <w:rsid w:val="000552C4"/>
    <w:rsid w:val="000604FD"/>
    <w:rsid w:val="000644D9"/>
    <w:rsid w:val="00064FD4"/>
    <w:rsid w:val="0007517A"/>
    <w:rsid w:val="000835CC"/>
    <w:rsid w:val="0009395D"/>
    <w:rsid w:val="00094646"/>
    <w:rsid w:val="000949CC"/>
    <w:rsid w:val="000B46A1"/>
    <w:rsid w:val="000B4A66"/>
    <w:rsid w:val="000B4A7C"/>
    <w:rsid w:val="000D7E11"/>
    <w:rsid w:val="000F5A44"/>
    <w:rsid w:val="00104B0A"/>
    <w:rsid w:val="00122D2D"/>
    <w:rsid w:val="00123C02"/>
    <w:rsid w:val="00136833"/>
    <w:rsid w:val="001377D6"/>
    <w:rsid w:val="00141389"/>
    <w:rsid w:val="00142674"/>
    <w:rsid w:val="0014318C"/>
    <w:rsid w:val="00145B7C"/>
    <w:rsid w:val="001463D2"/>
    <w:rsid w:val="00160532"/>
    <w:rsid w:val="0016064D"/>
    <w:rsid w:val="0017424D"/>
    <w:rsid w:val="00183233"/>
    <w:rsid w:val="00193CD9"/>
    <w:rsid w:val="001B62B8"/>
    <w:rsid w:val="001F0464"/>
    <w:rsid w:val="001F0916"/>
    <w:rsid w:val="001F3A07"/>
    <w:rsid w:val="001F4C02"/>
    <w:rsid w:val="001F55E0"/>
    <w:rsid w:val="0020102F"/>
    <w:rsid w:val="002070D0"/>
    <w:rsid w:val="00216A93"/>
    <w:rsid w:val="002177E8"/>
    <w:rsid w:val="00224793"/>
    <w:rsid w:val="00231D7E"/>
    <w:rsid w:val="0023681E"/>
    <w:rsid w:val="00240363"/>
    <w:rsid w:val="0026414D"/>
    <w:rsid w:val="00273A52"/>
    <w:rsid w:val="00274D9A"/>
    <w:rsid w:val="00275F2E"/>
    <w:rsid w:val="00283641"/>
    <w:rsid w:val="00284E77"/>
    <w:rsid w:val="00285259"/>
    <w:rsid w:val="0029708F"/>
    <w:rsid w:val="002A2B38"/>
    <w:rsid w:val="002B0B91"/>
    <w:rsid w:val="002B5A23"/>
    <w:rsid w:val="002B7A44"/>
    <w:rsid w:val="002C4B9B"/>
    <w:rsid w:val="002D01CF"/>
    <w:rsid w:val="002D4687"/>
    <w:rsid w:val="002E3D4A"/>
    <w:rsid w:val="002E46C5"/>
    <w:rsid w:val="002F2A30"/>
    <w:rsid w:val="00303D99"/>
    <w:rsid w:val="00314395"/>
    <w:rsid w:val="00314C8E"/>
    <w:rsid w:val="00340334"/>
    <w:rsid w:val="00356513"/>
    <w:rsid w:val="00361B53"/>
    <w:rsid w:val="0036431B"/>
    <w:rsid w:val="003728E2"/>
    <w:rsid w:val="00373516"/>
    <w:rsid w:val="00390000"/>
    <w:rsid w:val="00390D9E"/>
    <w:rsid w:val="00395DAC"/>
    <w:rsid w:val="00397A34"/>
    <w:rsid w:val="003A3249"/>
    <w:rsid w:val="003A4E64"/>
    <w:rsid w:val="003B2038"/>
    <w:rsid w:val="003B4CC0"/>
    <w:rsid w:val="003D6DF1"/>
    <w:rsid w:val="003E14FB"/>
    <w:rsid w:val="003E7F5B"/>
    <w:rsid w:val="003F7689"/>
    <w:rsid w:val="00401D38"/>
    <w:rsid w:val="004127B0"/>
    <w:rsid w:val="00417805"/>
    <w:rsid w:val="00417B76"/>
    <w:rsid w:val="00423D28"/>
    <w:rsid w:val="00434552"/>
    <w:rsid w:val="00442F37"/>
    <w:rsid w:val="00475E8C"/>
    <w:rsid w:val="004801BE"/>
    <w:rsid w:val="004A1E17"/>
    <w:rsid w:val="004B1B6B"/>
    <w:rsid w:val="004B2814"/>
    <w:rsid w:val="004C67E6"/>
    <w:rsid w:val="004D0818"/>
    <w:rsid w:val="004D5430"/>
    <w:rsid w:val="004D687B"/>
    <w:rsid w:val="004E06B3"/>
    <w:rsid w:val="004E0E0B"/>
    <w:rsid w:val="004E2AFC"/>
    <w:rsid w:val="004E4ADB"/>
    <w:rsid w:val="004F4842"/>
    <w:rsid w:val="004F5C8B"/>
    <w:rsid w:val="005000DD"/>
    <w:rsid w:val="005311F4"/>
    <w:rsid w:val="00535890"/>
    <w:rsid w:val="00535E6B"/>
    <w:rsid w:val="005459DB"/>
    <w:rsid w:val="005509C5"/>
    <w:rsid w:val="0055222F"/>
    <w:rsid w:val="005716CD"/>
    <w:rsid w:val="0057511F"/>
    <w:rsid w:val="005768AD"/>
    <w:rsid w:val="0058137B"/>
    <w:rsid w:val="005A48A6"/>
    <w:rsid w:val="005C2B77"/>
    <w:rsid w:val="005C3577"/>
    <w:rsid w:val="005C57EA"/>
    <w:rsid w:val="005C7D96"/>
    <w:rsid w:val="005E2B85"/>
    <w:rsid w:val="005E2E3B"/>
    <w:rsid w:val="005E34AE"/>
    <w:rsid w:val="005F03BA"/>
    <w:rsid w:val="005F3BE2"/>
    <w:rsid w:val="005F4787"/>
    <w:rsid w:val="005F6EB9"/>
    <w:rsid w:val="00606F3E"/>
    <w:rsid w:val="006138F0"/>
    <w:rsid w:val="00614A92"/>
    <w:rsid w:val="006223EC"/>
    <w:rsid w:val="006314E0"/>
    <w:rsid w:val="00636D3C"/>
    <w:rsid w:val="00643168"/>
    <w:rsid w:val="00643DB4"/>
    <w:rsid w:val="00647E6F"/>
    <w:rsid w:val="00661421"/>
    <w:rsid w:val="006622EE"/>
    <w:rsid w:val="00666CBB"/>
    <w:rsid w:val="00683812"/>
    <w:rsid w:val="0068555A"/>
    <w:rsid w:val="00692FDA"/>
    <w:rsid w:val="006960FD"/>
    <w:rsid w:val="00696ED1"/>
    <w:rsid w:val="00697AFB"/>
    <w:rsid w:val="00697C38"/>
    <w:rsid w:val="006A00D3"/>
    <w:rsid w:val="006A30F4"/>
    <w:rsid w:val="006B40CD"/>
    <w:rsid w:val="006C7955"/>
    <w:rsid w:val="006D1A69"/>
    <w:rsid w:val="006D1CAF"/>
    <w:rsid w:val="006D2DB0"/>
    <w:rsid w:val="006E2221"/>
    <w:rsid w:val="006E49D7"/>
    <w:rsid w:val="006E4ABC"/>
    <w:rsid w:val="006F19B0"/>
    <w:rsid w:val="00710D0E"/>
    <w:rsid w:val="00713BF7"/>
    <w:rsid w:val="00713C6C"/>
    <w:rsid w:val="0071660E"/>
    <w:rsid w:val="00734EA2"/>
    <w:rsid w:val="00737BD9"/>
    <w:rsid w:val="0074321C"/>
    <w:rsid w:val="0075717F"/>
    <w:rsid w:val="007627A4"/>
    <w:rsid w:val="00772E15"/>
    <w:rsid w:val="007751BD"/>
    <w:rsid w:val="00776EBF"/>
    <w:rsid w:val="007D56B2"/>
    <w:rsid w:val="007D7372"/>
    <w:rsid w:val="007E01B4"/>
    <w:rsid w:val="007E1946"/>
    <w:rsid w:val="007E3D53"/>
    <w:rsid w:val="007F3EFA"/>
    <w:rsid w:val="00834358"/>
    <w:rsid w:val="008705F1"/>
    <w:rsid w:val="00881BB9"/>
    <w:rsid w:val="00882D85"/>
    <w:rsid w:val="00886C83"/>
    <w:rsid w:val="00886FAB"/>
    <w:rsid w:val="00890ED0"/>
    <w:rsid w:val="008A0D9E"/>
    <w:rsid w:val="008A5FD5"/>
    <w:rsid w:val="008B558A"/>
    <w:rsid w:val="008C41AF"/>
    <w:rsid w:val="008C5686"/>
    <w:rsid w:val="008D1775"/>
    <w:rsid w:val="008D2EE7"/>
    <w:rsid w:val="008D4709"/>
    <w:rsid w:val="008D515C"/>
    <w:rsid w:val="008F6643"/>
    <w:rsid w:val="00907607"/>
    <w:rsid w:val="009215DB"/>
    <w:rsid w:val="009308DA"/>
    <w:rsid w:val="00935D9C"/>
    <w:rsid w:val="00946944"/>
    <w:rsid w:val="00947A89"/>
    <w:rsid w:val="00950B06"/>
    <w:rsid w:val="0096012D"/>
    <w:rsid w:val="009629B3"/>
    <w:rsid w:val="00995F8A"/>
    <w:rsid w:val="009A147E"/>
    <w:rsid w:val="009A438F"/>
    <w:rsid w:val="009B5516"/>
    <w:rsid w:val="009B70FB"/>
    <w:rsid w:val="009E08CC"/>
    <w:rsid w:val="00A2134F"/>
    <w:rsid w:val="00A235A6"/>
    <w:rsid w:val="00A42810"/>
    <w:rsid w:val="00A524E6"/>
    <w:rsid w:val="00A56348"/>
    <w:rsid w:val="00A56666"/>
    <w:rsid w:val="00A57F50"/>
    <w:rsid w:val="00A62491"/>
    <w:rsid w:val="00A6281B"/>
    <w:rsid w:val="00A701E1"/>
    <w:rsid w:val="00A72709"/>
    <w:rsid w:val="00AA0FA1"/>
    <w:rsid w:val="00AB2F3A"/>
    <w:rsid w:val="00AB736E"/>
    <w:rsid w:val="00AC1326"/>
    <w:rsid w:val="00AC1F6D"/>
    <w:rsid w:val="00AC5FC1"/>
    <w:rsid w:val="00AE45AE"/>
    <w:rsid w:val="00B016DA"/>
    <w:rsid w:val="00B1060E"/>
    <w:rsid w:val="00B1515B"/>
    <w:rsid w:val="00B20D0D"/>
    <w:rsid w:val="00B21BA6"/>
    <w:rsid w:val="00B302C3"/>
    <w:rsid w:val="00B37B46"/>
    <w:rsid w:val="00B404CE"/>
    <w:rsid w:val="00B47BCD"/>
    <w:rsid w:val="00B50661"/>
    <w:rsid w:val="00B55E9A"/>
    <w:rsid w:val="00B66AAC"/>
    <w:rsid w:val="00B752BE"/>
    <w:rsid w:val="00B75876"/>
    <w:rsid w:val="00B80AC6"/>
    <w:rsid w:val="00B83446"/>
    <w:rsid w:val="00B85C2E"/>
    <w:rsid w:val="00B87E37"/>
    <w:rsid w:val="00BA18D9"/>
    <w:rsid w:val="00BA40DE"/>
    <w:rsid w:val="00BA77B9"/>
    <w:rsid w:val="00BA78B1"/>
    <w:rsid w:val="00BB17BE"/>
    <w:rsid w:val="00BD156C"/>
    <w:rsid w:val="00BD3CC6"/>
    <w:rsid w:val="00BE0578"/>
    <w:rsid w:val="00BE4650"/>
    <w:rsid w:val="00BE63AB"/>
    <w:rsid w:val="00BF0B78"/>
    <w:rsid w:val="00BF70E6"/>
    <w:rsid w:val="00C051E2"/>
    <w:rsid w:val="00C128CF"/>
    <w:rsid w:val="00C30503"/>
    <w:rsid w:val="00C36052"/>
    <w:rsid w:val="00C62632"/>
    <w:rsid w:val="00C709B2"/>
    <w:rsid w:val="00C76BAD"/>
    <w:rsid w:val="00C81514"/>
    <w:rsid w:val="00C8391E"/>
    <w:rsid w:val="00C93C5D"/>
    <w:rsid w:val="00CB48B7"/>
    <w:rsid w:val="00CC325F"/>
    <w:rsid w:val="00CC33B1"/>
    <w:rsid w:val="00CC7900"/>
    <w:rsid w:val="00CD0FCE"/>
    <w:rsid w:val="00CD1EDC"/>
    <w:rsid w:val="00CE2B7A"/>
    <w:rsid w:val="00CE61DF"/>
    <w:rsid w:val="00CE6F9B"/>
    <w:rsid w:val="00CF4054"/>
    <w:rsid w:val="00D0018D"/>
    <w:rsid w:val="00D11C45"/>
    <w:rsid w:val="00D241C7"/>
    <w:rsid w:val="00D413B5"/>
    <w:rsid w:val="00D4376A"/>
    <w:rsid w:val="00D5044C"/>
    <w:rsid w:val="00D52AA8"/>
    <w:rsid w:val="00D64064"/>
    <w:rsid w:val="00DA4CDF"/>
    <w:rsid w:val="00DC0A47"/>
    <w:rsid w:val="00DC702F"/>
    <w:rsid w:val="00DD1E6B"/>
    <w:rsid w:val="00DD6FDF"/>
    <w:rsid w:val="00DE1D77"/>
    <w:rsid w:val="00DE4BBE"/>
    <w:rsid w:val="00DE7B4A"/>
    <w:rsid w:val="00DF0263"/>
    <w:rsid w:val="00DF59EB"/>
    <w:rsid w:val="00E02A2D"/>
    <w:rsid w:val="00E04330"/>
    <w:rsid w:val="00E04362"/>
    <w:rsid w:val="00E15521"/>
    <w:rsid w:val="00E2093C"/>
    <w:rsid w:val="00E22DD5"/>
    <w:rsid w:val="00E30566"/>
    <w:rsid w:val="00E339E5"/>
    <w:rsid w:val="00E40EDE"/>
    <w:rsid w:val="00E44137"/>
    <w:rsid w:val="00E4781D"/>
    <w:rsid w:val="00E500F8"/>
    <w:rsid w:val="00E56BF1"/>
    <w:rsid w:val="00E929BB"/>
    <w:rsid w:val="00E94688"/>
    <w:rsid w:val="00EA2099"/>
    <w:rsid w:val="00EA4B0B"/>
    <w:rsid w:val="00EB5C86"/>
    <w:rsid w:val="00EC2494"/>
    <w:rsid w:val="00EC2DC2"/>
    <w:rsid w:val="00ED6496"/>
    <w:rsid w:val="00ED79E5"/>
    <w:rsid w:val="00EF0B72"/>
    <w:rsid w:val="00EF6513"/>
    <w:rsid w:val="00F1760C"/>
    <w:rsid w:val="00F25630"/>
    <w:rsid w:val="00F52D5B"/>
    <w:rsid w:val="00F54008"/>
    <w:rsid w:val="00F60D63"/>
    <w:rsid w:val="00F62C51"/>
    <w:rsid w:val="00F7010C"/>
    <w:rsid w:val="00F7414F"/>
    <w:rsid w:val="00F93587"/>
    <w:rsid w:val="00F96080"/>
    <w:rsid w:val="00F97784"/>
    <w:rsid w:val="00FA3C72"/>
    <w:rsid w:val="00FC542E"/>
    <w:rsid w:val="00FC6387"/>
    <w:rsid w:val="00FF574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24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6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666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66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66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56666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666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775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C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1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1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929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FC63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StBIKsubowagwka">
    <w:name w:val="Styl StBIK służbowa główka"/>
    <w:basedOn w:val="Normalny"/>
    <w:link w:val="StylStBIKsubowagwkaZnak"/>
    <w:rsid w:val="00275F2E"/>
    <w:pPr>
      <w:keepLines/>
      <w:spacing w:after="0" w:line="415" w:lineRule="atLeast"/>
    </w:pPr>
    <w:rPr>
      <w:rFonts w:asciiTheme="minorHAnsi" w:hAnsiTheme="minorHAnsi"/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75F2E"/>
    <w:rPr>
      <w:rFonts w:eastAsia="Times New Roman" w:cs="Times New Roman"/>
      <w:b/>
      <w:spacing w:val="-5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5F0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6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666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66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66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56666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666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775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C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1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1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929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FC63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StBIKsubowagwka">
    <w:name w:val="Styl StBIK służbowa główka"/>
    <w:basedOn w:val="Normalny"/>
    <w:link w:val="StylStBIKsubowagwkaZnak"/>
    <w:rsid w:val="00275F2E"/>
    <w:pPr>
      <w:keepLines/>
      <w:spacing w:after="0" w:line="415" w:lineRule="atLeast"/>
    </w:pPr>
    <w:rPr>
      <w:rFonts w:asciiTheme="minorHAnsi" w:hAnsiTheme="minorHAnsi"/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75F2E"/>
    <w:rPr>
      <w:rFonts w:eastAsia="Times New Roman" w:cs="Times New Roman"/>
      <w:b/>
      <w:spacing w:val="-5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5F0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kontaktmedia@bik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media@bik.p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ik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7023-70F8-4518-A1D2-8CBFA8C8E0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A1BF52-1316-4E8E-BC93-2E8AC2BA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aleksandra.stankiewicz-billewicz@bik.pl</dc:creator>
  <cp:lastModifiedBy>Stankiewicz-Billewicz Aleksandra</cp:lastModifiedBy>
  <cp:revision>3</cp:revision>
  <cp:lastPrinted>2019-01-31T07:16:00Z</cp:lastPrinted>
  <dcterms:created xsi:type="dcterms:W3CDTF">2019-01-31T14:39:00Z</dcterms:created>
  <dcterms:modified xsi:type="dcterms:W3CDTF">2019-01-31T14:42:00Z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290ad700-21c3-4a88-9a4d-bf6da0070bcb</vt:lpwstr>
  </property>
  <property fmtid="{D5CDD505-2E9C-101B-9397-08002B2CF9AE}" pid="3" name="bjSaver">
    <vt:lpwstr>pO3nzJFmboRilbk4KFZKmRf7kib8w+Cz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