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71" w:rsidRPr="00F303A7" w:rsidRDefault="00E05371" w:rsidP="00EA33FC">
      <w:pPr>
        <w:jc w:val="both"/>
        <w:rPr>
          <w:szCs w:val="23"/>
        </w:rPr>
      </w:pPr>
    </w:p>
    <w:p w:rsidR="00E05371" w:rsidRPr="00411908" w:rsidRDefault="00411908" w:rsidP="00EA33FC">
      <w:pPr>
        <w:ind w:left="6372"/>
        <w:jc w:val="both"/>
        <w:rPr>
          <w:sz w:val="18"/>
          <w:szCs w:val="18"/>
        </w:rPr>
      </w:pPr>
      <w:r>
        <w:rPr>
          <w:sz w:val="18"/>
          <w:szCs w:val="18"/>
        </w:rPr>
        <w:t xml:space="preserve"> </w:t>
      </w:r>
      <w:r w:rsidR="008773D5" w:rsidRPr="00411908">
        <w:rPr>
          <w:sz w:val="18"/>
          <w:szCs w:val="18"/>
        </w:rPr>
        <w:t xml:space="preserve">Warszawa, </w:t>
      </w:r>
      <w:r w:rsidR="007E5A16" w:rsidRPr="00411908">
        <w:rPr>
          <w:sz w:val="18"/>
          <w:szCs w:val="18"/>
        </w:rPr>
        <w:t>18</w:t>
      </w:r>
      <w:r w:rsidR="00FA4E29" w:rsidRPr="00411908">
        <w:rPr>
          <w:sz w:val="18"/>
          <w:szCs w:val="18"/>
        </w:rPr>
        <w:t xml:space="preserve"> kwietnia </w:t>
      </w:r>
      <w:r w:rsidR="008773D5" w:rsidRPr="00411908">
        <w:rPr>
          <w:sz w:val="18"/>
          <w:szCs w:val="18"/>
        </w:rPr>
        <w:t>2018</w:t>
      </w:r>
      <w:r w:rsidR="00E05371" w:rsidRPr="00411908">
        <w:rPr>
          <w:sz w:val="18"/>
          <w:szCs w:val="18"/>
        </w:rPr>
        <w:t xml:space="preserve"> r.</w:t>
      </w:r>
    </w:p>
    <w:p w:rsidR="00E05371" w:rsidRPr="004F5819" w:rsidRDefault="00E05371" w:rsidP="00EA33FC">
      <w:pPr>
        <w:spacing w:after="120"/>
        <w:jc w:val="both"/>
        <w:rPr>
          <w:rFonts w:cs="Arial"/>
          <w:b/>
          <w:i/>
          <w:szCs w:val="23"/>
        </w:rPr>
      </w:pPr>
      <w:r w:rsidRPr="00F303A7">
        <w:rPr>
          <w:rFonts w:cs="Arial"/>
          <w:i/>
          <w:szCs w:val="23"/>
        </w:rPr>
        <w:t xml:space="preserve"> </w:t>
      </w:r>
      <w:bookmarkStart w:id="0" w:name="_GoBack"/>
      <w:bookmarkEnd w:id="0"/>
    </w:p>
    <w:p w:rsidR="00603C74" w:rsidRDefault="00603C74" w:rsidP="007346B0">
      <w:pPr>
        <w:jc w:val="both"/>
        <w:rPr>
          <w:rFonts w:cs="Arial"/>
          <w:b/>
          <w:sz w:val="32"/>
          <w:szCs w:val="28"/>
        </w:rPr>
      </w:pPr>
    </w:p>
    <w:p w:rsidR="007346B0" w:rsidRPr="00411908" w:rsidRDefault="007346B0" w:rsidP="007346B0">
      <w:pPr>
        <w:jc w:val="both"/>
        <w:rPr>
          <w:b/>
          <w:sz w:val="28"/>
          <w:szCs w:val="28"/>
        </w:rPr>
      </w:pPr>
      <w:r w:rsidRPr="00411908">
        <w:rPr>
          <w:b/>
          <w:sz w:val="28"/>
          <w:szCs w:val="28"/>
        </w:rPr>
        <w:t>Polacy wyrzucają jedzenie, co piąty traci na tym pieniądze</w:t>
      </w:r>
    </w:p>
    <w:p w:rsidR="00FA4E29" w:rsidRPr="000D41E7" w:rsidRDefault="00FA4E29" w:rsidP="00FA4E29">
      <w:pPr>
        <w:jc w:val="both"/>
        <w:rPr>
          <w:b/>
          <w:sz w:val="32"/>
        </w:rPr>
      </w:pPr>
    </w:p>
    <w:p w:rsidR="00F65955" w:rsidRPr="00411908" w:rsidRDefault="00FA4E29" w:rsidP="00FA4E29">
      <w:pPr>
        <w:jc w:val="both"/>
        <w:rPr>
          <w:b/>
          <w:sz w:val="22"/>
          <w:szCs w:val="22"/>
        </w:rPr>
      </w:pPr>
      <w:r w:rsidRPr="00411908">
        <w:rPr>
          <w:b/>
          <w:sz w:val="22"/>
          <w:szCs w:val="22"/>
        </w:rPr>
        <w:t>Nadchodząca Wielkanoc to pokusa, by zapełnić sklepowy koszyk, następnie lodówkę</w:t>
      </w:r>
      <w:r w:rsidR="00114D0A" w:rsidRPr="00411908">
        <w:rPr>
          <w:b/>
          <w:sz w:val="22"/>
          <w:szCs w:val="22"/>
        </w:rPr>
        <w:t>,</w:t>
      </w:r>
      <w:r w:rsidRPr="00411908">
        <w:rPr>
          <w:b/>
          <w:sz w:val="22"/>
          <w:szCs w:val="22"/>
        </w:rPr>
        <w:t xml:space="preserve"> a na końcu</w:t>
      </w:r>
      <w:r w:rsidR="008003B2" w:rsidRPr="00411908">
        <w:rPr>
          <w:b/>
          <w:sz w:val="22"/>
          <w:szCs w:val="22"/>
        </w:rPr>
        <w:t>…</w:t>
      </w:r>
      <w:r w:rsidR="00411908" w:rsidRPr="00411908">
        <w:rPr>
          <w:b/>
          <w:sz w:val="22"/>
          <w:szCs w:val="22"/>
        </w:rPr>
        <w:t xml:space="preserve"> </w:t>
      </w:r>
      <w:r w:rsidR="00CE79F9" w:rsidRPr="00411908">
        <w:rPr>
          <w:b/>
          <w:sz w:val="22"/>
          <w:szCs w:val="22"/>
        </w:rPr>
        <w:t xml:space="preserve">śmietnik. </w:t>
      </w:r>
      <w:r w:rsidRPr="00411908">
        <w:rPr>
          <w:b/>
          <w:sz w:val="22"/>
          <w:szCs w:val="22"/>
        </w:rPr>
        <w:t xml:space="preserve">Warto zastanowić się nad konsekwencjami wyrzucania produktów spożywczych, także ze względu na domowy budżet. Jak pokazują dane </w:t>
      </w:r>
      <w:r w:rsidR="00F65955" w:rsidRPr="00411908">
        <w:rPr>
          <w:b/>
          <w:sz w:val="22"/>
          <w:szCs w:val="22"/>
        </w:rPr>
        <w:t xml:space="preserve">Rejestru Dłużników </w:t>
      </w:r>
      <w:r w:rsidRPr="00411908">
        <w:rPr>
          <w:b/>
          <w:sz w:val="22"/>
          <w:szCs w:val="22"/>
        </w:rPr>
        <w:t xml:space="preserve">BIG InfoMonitor, trzy czwarte </w:t>
      </w:r>
      <w:r w:rsidR="00114D0A" w:rsidRPr="00411908">
        <w:rPr>
          <w:b/>
          <w:sz w:val="22"/>
          <w:szCs w:val="22"/>
        </w:rPr>
        <w:t>Polaków</w:t>
      </w:r>
      <w:r w:rsidRPr="00411908">
        <w:rPr>
          <w:b/>
          <w:sz w:val="22"/>
          <w:szCs w:val="22"/>
        </w:rPr>
        <w:t xml:space="preserve"> odczuwa straty w </w:t>
      </w:r>
      <w:r w:rsidR="00114D0A" w:rsidRPr="00411908">
        <w:rPr>
          <w:b/>
          <w:sz w:val="22"/>
          <w:szCs w:val="22"/>
        </w:rPr>
        <w:t xml:space="preserve">portfelu </w:t>
      </w:r>
      <w:r w:rsidR="00F65955" w:rsidRPr="00411908">
        <w:rPr>
          <w:b/>
          <w:sz w:val="22"/>
          <w:szCs w:val="22"/>
        </w:rPr>
        <w:t>ze</w:t>
      </w:r>
      <w:r w:rsidRPr="00411908">
        <w:rPr>
          <w:b/>
          <w:sz w:val="22"/>
          <w:szCs w:val="22"/>
        </w:rPr>
        <w:t xml:space="preserve"> względu </w:t>
      </w:r>
      <w:r w:rsidR="00EA5EAC" w:rsidRPr="00411908">
        <w:rPr>
          <w:b/>
          <w:sz w:val="22"/>
          <w:szCs w:val="22"/>
        </w:rPr>
        <w:t xml:space="preserve">na </w:t>
      </w:r>
      <w:r w:rsidR="00F65955" w:rsidRPr="00411908">
        <w:rPr>
          <w:b/>
          <w:sz w:val="22"/>
          <w:szCs w:val="22"/>
        </w:rPr>
        <w:t>nieprzemyślane zakupy</w:t>
      </w:r>
      <w:r w:rsidR="00B4282E" w:rsidRPr="00411908">
        <w:rPr>
          <w:b/>
          <w:sz w:val="22"/>
          <w:szCs w:val="22"/>
        </w:rPr>
        <w:t>. L</w:t>
      </w:r>
      <w:r w:rsidR="00F65955" w:rsidRPr="00411908">
        <w:rPr>
          <w:b/>
          <w:sz w:val="22"/>
          <w:szCs w:val="22"/>
        </w:rPr>
        <w:t xml:space="preserve">istę </w:t>
      </w:r>
      <w:r w:rsidR="00B4282E" w:rsidRPr="00411908">
        <w:rPr>
          <w:b/>
          <w:sz w:val="22"/>
          <w:szCs w:val="22"/>
        </w:rPr>
        <w:t xml:space="preserve">zbędnych i nadmiernych wydatków </w:t>
      </w:r>
      <w:r w:rsidR="00F65955" w:rsidRPr="00411908">
        <w:rPr>
          <w:b/>
          <w:sz w:val="22"/>
          <w:szCs w:val="22"/>
        </w:rPr>
        <w:t xml:space="preserve">otwiera żywność, na którą wskazuje </w:t>
      </w:r>
      <w:r w:rsidR="00EA5EAC" w:rsidRPr="00411908">
        <w:rPr>
          <w:b/>
          <w:sz w:val="22"/>
          <w:szCs w:val="22"/>
        </w:rPr>
        <w:t>22 proc. badanych</w:t>
      </w:r>
      <w:r w:rsidR="00B4282E" w:rsidRPr="00411908">
        <w:rPr>
          <w:b/>
          <w:sz w:val="22"/>
          <w:szCs w:val="22"/>
        </w:rPr>
        <w:t>, wyprzedza</w:t>
      </w:r>
      <w:r w:rsidR="00E9286C" w:rsidRPr="00411908">
        <w:rPr>
          <w:b/>
          <w:sz w:val="22"/>
          <w:szCs w:val="22"/>
        </w:rPr>
        <w:t>jąc</w:t>
      </w:r>
      <w:r w:rsidR="00B4282E" w:rsidRPr="00411908">
        <w:rPr>
          <w:b/>
          <w:sz w:val="22"/>
          <w:szCs w:val="22"/>
        </w:rPr>
        <w:t xml:space="preserve"> </w:t>
      </w:r>
      <w:r w:rsidR="009A6D17" w:rsidRPr="00411908">
        <w:rPr>
          <w:b/>
          <w:sz w:val="22"/>
          <w:szCs w:val="22"/>
        </w:rPr>
        <w:t xml:space="preserve">w tej roli </w:t>
      </w:r>
      <w:r w:rsidR="00B4282E" w:rsidRPr="00411908">
        <w:rPr>
          <w:b/>
          <w:sz w:val="22"/>
          <w:szCs w:val="22"/>
        </w:rPr>
        <w:t>leki, odzież</w:t>
      </w:r>
      <w:r w:rsidR="009A6D17" w:rsidRPr="00411908">
        <w:rPr>
          <w:b/>
          <w:sz w:val="22"/>
          <w:szCs w:val="22"/>
        </w:rPr>
        <w:t>,</w:t>
      </w:r>
      <w:r w:rsidR="00B4282E" w:rsidRPr="00411908">
        <w:rPr>
          <w:b/>
          <w:sz w:val="22"/>
          <w:szCs w:val="22"/>
        </w:rPr>
        <w:t xml:space="preserve"> </w:t>
      </w:r>
      <w:r w:rsidR="00F65955" w:rsidRPr="00411908">
        <w:rPr>
          <w:b/>
          <w:sz w:val="22"/>
          <w:szCs w:val="22"/>
        </w:rPr>
        <w:t>wyposażenie mieszkania</w:t>
      </w:r>
      <w:r w:rsidR="009A6D17" w:rsidRPr="00411908">
        <w:rPr>
          <w:b/>
          <w:sz w:val="22"/>
          <w:szCs w:val="22"/>
        </w:rPr>
        <w:t xml:space="preserve"> i wiele innych nieprzemyślanych </w:t>
      </w:r>
      <w:r w:rsidR="00E9286C" w:rsidRPr="00411908">
        <w:rPr>
          <w:b/>
          <w:sz w:val="22"/>
          <w:szCs w:val="22"/>
        </w:rPr>
        <w:t xml:space="preserve">obciążających budżet </w:t>
      </w:r>
      <w:r w:rsidR="009A6D17" w:rsidRPr="00411908">
        <w:rPr>
          <w:b/>
          <w:sz w:val="22"/>
          <w:szCs w:val="22"/>
        </w:rPr>
        <w:t xml:space="preserve">zakupów. </w:t>
      </w:r>
    </w:p>
    <w:p w:rsidR="00F65955" w:rsidRPr="00411908" w:rsidRDefault="00F65955" w:rsidP="00FA4E29">
      <w:pPr>
        <w:jc w:val="both"/>
        <w:rPr>
          <w:b/>
          <w:sz w:val="22"/>
          <w:szCs w:val="22"/>
        </w:rPr>
      </w:pPr>
    </w:p>
    <w:p w:rsidR="007E5A16" w:rsidRPr="00411908" w:rsidRDefault="00F65955" w:rsidP="002864EC">
      <w:pPr>
        <w:jc w:val="both"/>
        <w:rPr>
          <w:sz w:val="22"/>
          <w:szCs w:val="22"/>
        </w:rPr>
      </w:pPr>
      <w:r w:rsidRPr="00411908">
        <w:rPr>
          <w:sz w:val="22"/>
          <w:szCs w:val="22"/>
        </w:rPr>
        <w:t>W Polsce rocznie marnuje się około 9 mln ton żywności. Oznacza to, że statystycznie na każdego z nas przypada 235 kg jedzenia, które ląduje w koszu.</w:t>
      </w:r>
      <w:r w:rsidR="00B406B6" w:rsidRPr="00411908">
        <w:rPr>
          <w:sz w:val="22"/>
          <w:szCs w:val="22"/>
        </w:rPr>
        <w:t xml:space="preserve"> Z jednej strony duża ilość przeterminowan</w:t>
      </w:r>
      <w:r w:rsidR="00CE79F9" w:rsidRPr="00411908">
        <w:rPr>
          <w:sz w:val="22"/>
          <w:szCs w:val="22"/>
        </w:rPr>
        <w:t>ych</w:t>
      </w:r>
      <w:r w:rsidR="00B406B6" w:rsidRPr="00411908">
        <w:rPr>
          <w:sz w:val="22"/>
          <w:szCs w:val="22"/>
        </w:rPr>
        <w:t xml:space="preserve"> </w:t>
      </w:r>
      <w:r w:rsidR="00CE79F9" w:rsidRPr="00411908">
        <w:rPr>
          <w:sz w:val="22"/>
          <w:szCs w:val="22"/>
        </w:rPr>
        <w:t>produktów</w:t>
      </w:r>
      <w:r w:rsidR="006C3004" w:rsidRPr="00411908">
        <w:rPr>
          <w:sz w:val="22"/>
          <w:szCs w:val="22"/>
        </w:rPr>
        <w:t xml:space="preserve"> </w:t>
      </w:r>
      <w:r w:rsidR="00B406B6" w:rsidRPr="00411908">
        <w:rPr>
          <w:sz w:val="22"/>
          <w:szCs w:val="22"/>
        </w:rPr>
        <w:t>to wynik, m.in. zbyt dużego poziomu zaopatrzenia w sklepach, gdzie towar zalega na półkach i z czasem traci termin przydatności. Z drugiej zbyt dużych zakupów</w:t>
      </w:r>
      <w:r w:rsidRPr="00411908">
        <w:rPr>
          <w:sz w:val="22"/>
          <w:szCs w:val="22"/>
        </w:rPr>
        <w:t>,</w:t>
      </w:r>
      <w:r w:rsidR="00CE79F9" w:rsidRPr="00411908">
        <w:rPr>
          <w:sz w:val="22"/>
          <w:szCs w:val="22"/>
        </w:rPr>
        <w:t xml:space="preserve"> </w:t>
      </w:r>
      <w:r w:rsidR="00B406B6" w:rsidRPr="00411908">
        <w:rPr>
          <w:sz w:val="22"/>
          <w:szCs w:val="22"/>
        </w:rPr>
        <w:t>które są</w:t>
      </w:r>
      <w:r w:rsidRPr="00411908">
        <w:rPr>
          <w:sz w:val="22"/>
          <w:szCs w:val="22"/>
        </w:rPr>
        <w:t xml:space="preserve"> m.in. efekt</w:t>
      </w:r>
      <w:r w:rsidR="00B406B6" w:rsidRPr="00411908">
        <w:rPr>
          <w:sz w:val="22"/>
          <w:szCs w:val="22"/>
        </w:rPr>
        <w:t>em</w:t>
      </w:r>
      <w:r w:rsidRPr="00411908">
        <w:rPr>
          <w:sz w:val="22"/>
          <w:szCs w:val="22"/>
        </w:rPr>
        <w:t xml:space="preserve"> relatywnie ni</w:t>
      </w:r>
      <w:r w:rsidR="00C31333" w:rsidRPr="00411908">
        <w:rPr>
          <w:sz w:val="22"/>
          <w:szCs w:val="22"/>
        </w:rPr>
        <w:t xml:space="preserve">ewysokich </w:t>
      </w:r>
      <w:r w:rsidRPr="00411908">
        <w:rPr>
          <w:sz w:val="22"/>
          <w:szCs w:val="22"/>
        </w:rPr>
        <w:t xml:space="preserve">cen produktów spożywczych oraz naszej niskiej odporności wobec działań marketingowych producentów i sprzedawców. </w:t>
      </w:r>
      <w:r w:rsidR="00B406B6" w:rsidRPr="00411908">
        <w:rPr>
          <w:sz w:val="22"/>
          <w:szCs w:val="22"/>
        </w:rPr>
        <w:t xml:space="preserve">A w </w:t>
      </w:r>
      <w:r w:rsidRPr="00411908">
        <w:rPr>
          <w:sz w:val="22"/>
          <w:szCs w:val="22"/>
        </w:rPr>
        <w:t>okresach przedświątecznych</w:t>
      </w:r>
      <w:r w:rsidR="00B406B6" w:rsidRPr="00411908">
        <w:rPr>
          <w:sz w:val="22"/>
          <w:szCs w:val="22"/>
        </w:rPr>
        <w:t xml:space="preserve"> jesteśmy na nie szczególnie podatni</w:t>
      </w:r>
      <w:r w:rsidRPr="00411908">
        <w:rPr>
          <w:sz w:val="22"/>
          <w:szCs w:val="22"/>
        </w:rPr>
        <w:t xml:space="preserve">. </w:t>
      </w:r>
    </w:p>
    <w:p w:rsidR="007E5A16" w:rsidRPr="00411908" w:rsidRDefault="007E5A16" w:rsidP="002864EC">
      <w:pPr>
        <w:jc w:val="both"/>
        <w:rPr>
          <w:sz w:val="22"/>
          <w:szCs w:val="22"/>
        </w:rPr>
      </w:pPr>
    </w:p>
    <w:p w:rsidR="007E5A16" w:rsidRDefault="007E5A16" w:rsidP="007E5A16">
      <w:pPr>
        <w:jc w:val="both"/>
        <w:rPr>
          <w:b/>
          <w:sz w:val="22"/>
          <w:szCs w:val="22"/>
        </w:rPr>
      </w:pPr>
      <w:r w:rsidRPr="00411908">
        <w:rPr>
          <w:b/>
          <w:sz w:val="22"/>
          <w:szCs w:val="22"/>
        </w:rPr>
        <w:t>Pokaż mi swoją lodówkę a powiem ci czy masz dobre nawyki finansowe</w:t>
      </w:r>
    </w:p>
    <w:p w:rsidR="00411908" w:rsidRPr="00411908" w:rsidRDefault="00411908" w:rsidP="007E5A16">
      <w:pPr>
        <w:jc w:val="both"/>
        <w:rPr>
          <w:b/>
          <w:sz w:val="22"/>
          <w:szCs w:val="22"/>
        </w:rPr>
      </w:pPr>
    </w:p>
    <w:p w:rsidR="00625028" w:rsidRPr="00411908" w:rsidRDefault="00F65955" w:rsidP="00C31333">
      <w:pPr>
        <w:jc w:val="both"/>
        <w:rPr>
          <w:sz w:val="22"/>
          <w:szCs w:val="22"/>
        </w:rPr>
      </w:pPr>
      <w:r w:rsidRPr="00411908">
        <w:rPr>
          <w:sz w:val="22"/>
          <w:szCs w:val="22"/>
        </w:rPr>
        <w:t>Jak</w:t>
      </w:r>
      <w:r w:rsidR="00CE79F9" w:rsidRPr="00411908">
        <w:rPr>
          <w:sz w:val="22"/>
          <w:szCs w:val="22"/>
        </w:rPr>
        <w:t xml:space="preserve"> </w:t>
      </w:r>
      <w:r w:rsidRPr="00411908">
        <w:rPr>
          <w:sz w:val="22"/>
          <w:szCs w:val="22"/>
        </w:rPr>
        <w:t>widać z badania przeprowadzonego</w:t>
      </w:r>
      <w:r w:rsidR="00CE79F9" w:rsidRPr="00411908">
        <w:rPr>
          <w:sz w:val="22"/>
          <w:szCs w:val="22"/>
        </w:rPr>
        <w:t xml:space="preserve"> </w:t>
      </w:r>
      <w:r w:rsidRPr="00411908">
        <w:rPr>
          <w:sz w:val="22"/>
          <w:szCs w:val="22"/>
        </w:rPr>
        <w:t xml:space="preserve">przez </w:t>
      </w:r>
      <w:proofErr w:type="spellStart"/>
      <w:r w:rsidRPr="00411908">
        <w:rPr>
          <w:sz w:val="22"/>
          <w:szCs w:val="22"/>
        </w:rPr>
        <w:t>Qulity</w:t>
      </w:r>
      <w:proofErr w:type="spellEnd"/>
      <w:r w:rsidRPr="00411908">
        <w:rPr>
          <w:sz w:val="22"/>
          <w:szCs w:val="22"/>
        </w:rPr>
        <w:t xml:space="preserve"> Watch na zlecenie Rejestru Dłużników BIG InfoMonitor</w:t>
      </w:r>
      <w:r w:rsidR="002864EC" w:rsidRPr="00411908">
        <w:rPr>
          <w:sz w:val="22"/>
          <w:szCs w:val="22"/>
        </w:rPr>
        <w:t>,</w:t>
      </w:r>
      <w:r w:rsidRPr="00411908">
        <w:rPr>
          <w:sz w:val="22"/>
          <w:szCs w:val="22"/>
        </w:rPr>
        <w:t xml:space="preserve"> dyscyplinę finansową </w:t>
      </w:r>
      <w:r w:rsidR="002864EC" w:rsidRPr="00411908">
        <w:rPr>
          <w:sz w:val="22"/>
          <w:szCs w:val="22"/>
        </w:rPr>
        <w:t>łatwiej złamać w sklepie spożywczym (</w:t>
      </w:r>
      <w:r w:rsidR="009C3CAB" w:rsidRPr="00411908">
        <w:rPr>
          <w:sz w:val="22"/>
          <w:szCs w:val="22"/>
        </w:rPr>
        <w:t>przyznaje się do tego 22 proc.</w:t>
      </w:r>
      <w:r w:rsidR="002864EC" w:rsidRPr="00411908">
        <w:rPr>
          <w:sz w:val="22"/>
          <w:szCs w:val="22"/>
        </w:rPr>
        <w:t>) n</w:t>
      </w:r>
      <w:r w:rsidR="00BE2BFC" w:rsidRPr="00411908">
        <w:rPr>
          <w:sz w:val="22"/>
          <w:szCs w:val="22"/>
        </w:rPr>
        <w:t>iż</w:t>
      </w:r>
      <w:r w:rsidR="002864EC" w:rsidRPr="00411908">
        <w:rPr>
          <w:sz w:val="22"/>
          <w:szCs w:val="22"/>
        </w:rPr>
        <w:t xml:space="preserve"> w aptece</w:t>
      </w:r>
      <w:r w:rsidR="00CE79F9" w:rsidRPr="00411908">
        <w:rPr>
          <w:sz w:val="22"/>
          <w:szCs w:val="22"/>
        </w:rPr>
        <w:t xml:space="preserve"> </w:t>
      </w:r>
      <w:r w:rsidR="00B50111" w:rsidRPr="00411908">
        <w:rPr>
          <w:sz w:val="22"/>
          <w:szCs w:val="22"/>
        </w:rPr>
        <w:t>(18 proc.)</w:t>
      </w:r>
      <w:r w:rsidR="002864EC" w:rsidRPr="00411908">
        <w:rPr>
          <w:sz w:val="22"/>
          <w:szCs w:val="22"/>
        </w:rPr>
        <w:t>, sklepach z odzieżą</w:t>
      </w:r>
      <w:r w:rsidR="00B50111" w:rsidRPr="00411908">
        <w:rPr>
          <w:sz w:val="22"/>
          <w:szCs w:val="22"/>
        </w:rPr>
        <w:t xml:space="preserve"> (15 proc.)</w:t>
      </w:r>
      <w:r w:rsidR="002864EC" w:rsidRPr="00411908">
        <w:rPr>
          <w:sz w:val="22"/>
          <w:szCs w:val="22"/>
        </w:rPr>
        <w:t>, wyposażeniem wnętrz</w:t>
      </w:r>
      <w:r w:rsidR="00B50111" w:rsidRPr="00411908">
        <w:rPr>
          <w:sz w:val="22"/>
          <w:szCs w:val="22"/>
        </w:rPr>
        <w:t xml:space="preserve"> (12 proc.)</w:t>
      </w:r>
      <w:r w:rsidR="002864EC" w:rsidRPr="00411908">
        <w:rPr>
          <w:sz w:val="22"/>
          <w:szCs w:val="22"/>
        </w:rPr>
        <w:t xml:space="preserve">, </w:t>
      </w:r>
      <w:r w:rsidR="00BE2BFC" w:rsidRPr="00411908">
        <w:rPr>
          <w:sz w:val="22"/>
          <w:szCs w:val="22"/>
        </w:rPr>
        <w:t>elektronik</w:t>
      </w:r>
      <w:r w:rsidR="002864EC" w:rsidRPr="00411908">
        <w:rPr>
          <w:sz w:val="22"/>
          <w:szCs w:val="22"/>
        </w:rPr>
        <w:t>ą</w:t>
      </w:r>
      <w:r w:rsidR="00B50111" w:rsidRPr="00411908">
        <w:rPr>
          <w:sz w:val="22"/>
          <w:szCs w:val="22"/>
        </w:rPr>
        <w:t xml:space="preserve"> (10 proc.)</w:t>
      </w:r>
      <w:r w:rsidR="005E2A66" w:rsidRPr="00411908">
        <w:rPr>
          <w:sz w:val="22"/>
          <w:szCs w:val="22"/>
        </w:rPr>
        <w:t>,</w:t>
      </w:r>
      <w:r w:rsidR="002864EC" w:rsidRPr="00411908">
        <w:rPr>
          <w:sz w:val="22"/>
          <w:szCs w:val="22"/>
        </w:rPr>
        <w:t xml:space="preserve"> a także w restauracjach </w:t>
      </w:r>
      <w:r w:rsidR="00B50111" w:rsidRPr="00411908">
        <w:rPr>
          <w:sz w:val="22"/>
          <w:szCs w:val="22"/>
        </w:rPr>
        <w:t xml:space="preserve">(11 proc.) </w:t>
      </w:r>
      <w:r w:rsidR="002864EC" w:rsidRPr="00411908">
        <w:rPr>
          <w:sz w:val="22"/>
          <w:szCs w:val="22"/>
        </w:rPr>
        <w:t>czy kupując wakacyjną wycieczkę w biurze podróży</w:t>
      </w:r>
      <w:r w:rsidR="00B50111" w:rsidRPr="00411908">
        <w:rPr>
          <w:sz w:val="22"/>
          <w:szCs w:val="22"/>
        </w:rPr>
        <w:t xml:space="preserve"> (11 proc.)</w:t>
      </w:r>
      <w:r w:rsidR="002864EC" w:rsidRPr="00411908">
        <w:rPr>
          <w:sz w:val="22"/>
          <w:szCs w:val="22"/>
        </w:rPr>
        <w:t>.Tego t</w:t>
      </w:r>
      <w:r w:rsidR="008C1783" w:rsidRPr="00411908">
        <w:rPr>
          <w:sz w:val="22"/>
          <w:szCs w:val="22"/>
        </w:rPr>
        <w:t xml:space="preserve">ypu wydatki </w:t>
      </w:r>
      <w:r w:rsidR="00CE2364" w:rsidRPr="00411908">
        <w:rPr>
          <w:sz w:val="22"/>
          <w:szCs w:val="22"/>
        </w:rPr>
        <w:t xml:space="preserve">w większości </w:t>
      </w:r>
      <w:r w:rsidR="008C1783" w:rsidRPr="00411908">
        <w:rPr>
          <w:sz w:val="22"/>
          <w:szCs w:val="22"/>
        </w:rPr>
        <w:t xml:space="preserve">przypadków </w:t>
      </w:r>
      <w:r w:rsidR="00C31333" w:rsidRPr="00411908">
        <w:rPr>
          <w:sz w:val="22"/>
          <w:szCs w:val="22"/>
        </w:rPr>
        <w:t>mają</w:t>
      </w:r>
      <w:r w:rsidR="00CE2364" w:rsidRPr="00411908">
        <w:rPr>
          <w:sz w:val="22"/>
          <w:szCs w:val="22"/>
        </w:rPr>
        <w:t xml:space="preserve"> </w:t>
      </w:r>
      <w:r w:rsidR="00CE79F9" w:rsidRPr="00411908">
        <w:rPr>
          <w:sz w:val="22"/>
          <w:szCs w:val="22"/>
        </w:rPr>
        <w:t xml:space="preserve">wysokie </w:t>
      </w:r>
      <w:r w:rsidR="00CE2364" w:rsidRPr="00411908">
        <w:rPr>
          <w:sz w:val="22"/>
          <w:szCs w:val="22"/>
        </w:rPr>
        <w:t>ceny</w:t>
      </w:r>
      <w:r w:rsidR="008C1783" w:rsidRPr="00411908">
        <w:rPr>
          <w:sz w:val="22"/>
          <w:szCs w:val="22"/>
        </w:rPr>
        <w:t>,</w:t>
      </w:r>
      <w:r w:rsidR="00C31333" w:rsidRPr="00411908">
        <w:rPr>
          <w:sz w:val="22"/>
          <w:szCs w:val="22"/>
        </w:rPr>
        <w:t xml:space="preserve"> które zaczynamy</w:t>
      </w:r>
      <w:r w:rsidR="00CE2364" w:rsidRPr="00411908">
        <w:rPr>
          <w:sz w:val="22"/>
          <w:szCs w:val="22"/>
        </w:rPr>
        <w:t xml:space="preserve"> analizować</w:t>
      </w:r>
      <w:r w:rsidR="00CE79F9" w:rsidRPr="00411908">
        <w:rPr>
          <w:sz w:val="22"/>
          <w:szCs w:val="22"/>
        </w:rPr>
        <w:t xml:space="preserve"> </w:t>
      </w:r>
      <w:r w:rsidR="00C31333" w:rsidRPr="00411908">
        <w:rPr>
          <w:sz w:val="22"/>
          <w:szCs w:val="22"/>
        </w:rPr>
        <w:t>i</w:t>
      </w:r>
      <w:r w:rsidR="00CE79F9" w:rsidRPr="00411908">
        <w:rPr>
          <w:sz w:val="22"/>
          <w:szCs w:val="22"/>
        </w:rPr>
        <w:t xml:space="preserve"> </w:t>
      </w:r>
      <w:r w:rsidR="00C31333" w:rsidRPr="00411908">
        <w:rPr>
          <w:sz w:val="22"/>
          <w:szCs w:val="22"/>
        </w:rPr>
        <w:t>rozważać</w:t>
      </w:r>
      <w:r w:rsidR="005E2A66" w:rsidRPr="00411908">
        <w:rPr>
          <w:sz w:val="22"/>
          <w:szCs w:val="22"/>
        </w:rPr>
        <w:t>,</w:t>
      </w:r>
      <w:r w:rsidR="008C1783" w:rsidRPr="00411908">
        <w:rPr>
          <w:sz w:val="22"/>
          <w:szCs w:val="22"/>
        </w:rPr>
        <w:t xml:space="preserve"> czy aby na pewno </w:t>
      </w:r>
      <w:r w:rsidR="00C31333" w:rsidRPr="00411908">
        <w:rPr>
          <w:sz w:val="22"/>
          <w:szCs w:val="22"/>
        </w:rPr>
        <w:t xml:space="preserve">nas na </w:t>
      </w:r>
      <w:r w:rsidR="008C1783" w:rsidRPr="00411908">
        <w:rPr>
          <w:sz w:val="22"/>
          <w:szCs w:val="22"/>
        </w:rPr>
        <w:t xml:space="preserve">nie </w:t>
      </w:r>
      <w:r w:rsidR="00CE2364" w:rsidRPr="00411908">
        <w:rPr>
          <w:sz w:val="22"/>
          <w:szCs w:val="22"/>
        </w:rPr>
        <w:t>stać</w:t>
      </w:r>
      <w:r w:rsidR="008C1783" w:rsidRPr="00411908">
        <w:rPr>
          <w:sz w:val="22"/>
          <w:szCs w:val="22"/>
        </w:rPr>
        <w:t>.</w:t>
      </w:r>
      <w:r w:rsidR="002864EC" w:rsidRPr="00411908">
        <w:rPr>
          <w:sz w:val="22"/>
          <w:szCs w:val="22"/>
        </w:rPr>
        <w:t xml:space="preserve"> Tymczasem wrzucając do koszyka artykuły </w:t>
      </w:r>
      <w:r w:rsidR="00CE79F9" w:rsidRPr="00411908">
        <w:rPr>
          <w:sz w:val="22"/>
          <w:szCs w:val="22"/>
        </w:rPr>
        <w:t xml:space="preserve">kosztujące </w:t>
      </w:r>
      <w:r w:rsidR="002864EC" w:rsidRPr="00411908">
        <w:rPr>
          <w:sz w:val="22"/>
          <w:szCs w:val="22"/>
        </w:rPr>
        <w:t>po kilka, kilkanaście złotych bariera ta nie zawsze działa, a ostatecznie efekt jest taki sam, jeśli nie gorszy. Nie</w:t>
      </w:r>
      <w:r w:rsidR="00CE79F9" w:rsidRPr="00411908">
        <w:rPr>
          <w:sz w:val="22"/>
          <w:szCs w:val="22"/>
        </w:rPr>
        <w:t xml:space="preserve"> </w:t>
      </w:r>
      <w:r w:rsidR="002864EC" w:rsidRPr="00411908">
        <w:rPr>
          <w:sz w:val="22"/>
          <w:szCs w:val="22"/>
        </w:rPr>
        <w:t>dość, że wydaliśmy więcej, to jeszcze wszystkiego nie zjemy i po prostu wyrzucimy.</w:t>
      </w:r>
      <w:r w:rsidR="00CE79F9" w:rsidRPr="00411908">
        <w:rPr>
          <w:sz w:val="22"/>
          <w:szCs w:val="22"/>
        </w:rPr>
        <w:t xml:space="preserve"> </w:t>
      </w:r>
      <w:r w:rsidR="009E441A" w:rsidRPr="00411908">
        <w:rPr>
          <w:sz w:val="22"/>
          <w:szCs w:val="22"/>
        </w:rPr>
        <w:t>T</w:t>
      </w:r>
      <w:r w:rsidR="002864EC" w:rsidRPr="00411908">
        <w:rPr>
          <w:sz w:val="22"/>
          <w:szCs w:val="22"/>
        </w:rPr>
        <w:t>ak tydzień po tygodniu, miesiąc po miesiącu nasze zachowanie jest zarówno problemem dla środowiska</w:t>
      </w:r>
      <w:r w:rsidR="005E2A66" w:rsidRPr="00411908">
        <w:rPr>
          <w:sz w:val="22"/>
          <w:szCs w:val="22"/>
        </w:rPr>
        <w:t>,</w:t>
      </w:r>
      <w:r w:rsidR="002864EC" w:rsidRPr="00411908">
        <w:rPr>
          <w:sz w:val="22"/>
          <w:szCs w:val="22"/>
        </w:rPr>
        <w:t xml:space="preserve"> jak i dla domowych finansów. Z danych Rejestru Dłużników BIG InfoMonitor oraz Biura Informacji Kredytowej wynika, że kłopoty z regulowaniem bieżących zobowiązań oraz rat kredytów i pożyczek ma w Polsce prawie 2,2 mln osób. </w:t>
      </w:r>
      <w:r w:rsidR="00260A2E" w:rsidRPr="00411908">
        <w:rPr>
          <w:sz w:val="22"/>
          <w:szCs w:val="22"/>
        </w:rPr>
        <w:t xml:space="preserve">- </w:t>
      </w:r>
      <w:r w:rsidR="002864EC" w:rsidRPr="00411908">
        <w:rPr>
          <w:i/>
          <w:sz w:val="22"/>
          <w:szCs w:val="22"/>
        </w:rPr>
        <w:t>Dyscyplina finansowa i powściągliwość na zakupach z pewnością zmniejszyłyby liczbę niesolidnych dłużników, tym bardziej</w:t>
      </w:r>
      <w:r w:rsidR="00774AFA" w:rsidRPr="00411908">
        <w:rPr>
          <w:i/>
          <w:sz w:val="22"/>
          <w:szCs w:val="22"/>
        </w:rPr>
        <w:t>,</w:t>
      </w:r>
      <w:r w:rsidR="002864EC" w:rsidRPr="00411908">
        <w:rPr>
          <w:i/>
          <w:sz w:val="22"/>
          <w:szCs w:val="22"/>
        </w:rPr>
        <w:t xml:space="preserve"> że zaległości wielu osób nie są bardzo wysokie. Prawie 450 tys. osób ma przeterminowane płatności na mniej niż 1 tys. zł, a kolejnych 300 tys. osób między 1 a 2 tys. zł</w:t>
      </w:r>
      <w:r w:rsidR="00411908" w:rsidRPr="00411908">
        <w:rPr>
          <w:i/>
          <w:sz w:val="22"/>
          <w:szCs w:val="22"/>
        </w:rPr>
        <w:t xml:space="preserve"> </w:t>
      </w:r>
      <w:r w:rsidR="003A0DEE" w:rsidRPr="00411908">
        <w:rPr>
          <w:sz w:val="22"/>
          <w:szCs w:val="22"/>
        </w:rPr>
        <w:t xml:space="preserve">– mówi </w:t>
      </w:r>
      <w:r w:rsidR="003A0DEE" w:rsidRPr="00411908">
        <w:rPr>
          <w:b/>
          <w:sz w:val="22"/>
          <w:szCs w:val="22"/>
        </w:rPr>
        <w:t>Sławomir Grzelczak, prezes BIG InfoMonitor</w:t>
      </w:r>
      <w:r w:rsidR="008E4258">
        <w:rPr>
          <w:b/>
          <w:sz w:val="22"/>
          <w:szCs w:val="22"/>
        </w:rPr>
        <w:t>.</w:t>
      </w:r>
    </w:p>
    <w:p w:rsidR="00625028" w:rsidRPr="00411908" w:rsidRDefault="007346B0" w:rsidP="00625028">
      <w:pPr>
        <w:jc w:val="both"/>
        <w:rPr>
          <w:sz w:val="22"/>
          <w:szCs w:val="22"/>
        </w:rPr>
      </w:pPr>
      <w:r w:rsidRPr="00411908">
        <w:rPr>
          <w:noProof/>
          <w:sz w:val="22"/>
          <w:szCs w:val="22"/>
        </w:rPr>
        <w:lastRenderedPageBreak/>
        <w:drawing>
          <wp:inline distT="0" distB="0" distL="0" distR="0" wp14:anchorId="2384ADEC" wp14:editId="34110BB4">
            <wp:extent cx="3664424" cy="6864824"/>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028" w:rsidRPr="00411908" w:rsidRDefault="00260A2E" w:rsidP="00625028">
      <w:pPr>
        <w:rPr>
          <w:i/>
          <w:sz w:val="18"/>
          <w:szCs w:val="18"/>
          <w:lang w:val="en-US"/>
        </w:rPr>
      </w:pPr>
      <w:proofErr w:type="spellStart"/>
      <w:r w:rsidRPr="00411908">
        <w:rPr>
          <w:i/>
          <w:sz w:val="18"/>
          <w:szCs w:val="18"/>
          <w:lang w:val="en-US"/>
        </w:rPr>
        <w:t>Źródło</w:t>
      </w:r>
      <w:proofErr w:type="spellEnd"/>
      <w:r w:rsidRPr="00411908">
        <w:rPr>
          <w:i/>
          <w:sz w:val="18"/>
          <w:szCs w:val="18"/>
          <w:lang w:val="en-US"/>
        </w:rPr>
        <w:t xml:space="preserve">: BIG InfoMonitor, </w:t>
      </w:r>
      <w:proofErr w:type="spellStart"/>
      <w:r w:rsidRPr="00411908">
        <w:rPr>
          <w:i/>
          <w:sz w:val="18"/>
          <w:szCs w:val="18"/>
          <w:lang w:val="en-US"/>
        </w:rPr>
        <w:t>badanie</w:t>
      </w:r>
      <w:proofErr w:type="spellEnd"/>
      <w:r w:rsidRPr="00411908">
        <w:rPr>
          <w:i/>
          <w:sz w:val="18"/>
          <w:szCs w:val="18"/>
          <w:lang w:val="en-US"/>
        </w:rPr>
        <w:t xml:space="preserve"> Quality Watch</w:t>
      </w:r>
    </w:p>
    <w:p w:rsidR="00625028" w:rsidRPr="00411908" w:rsidRDefault="00625028" w:rsidP="00625028">
      <w:pPr>
        <w:jc w:val="both"/>
        <w:rPr>
          <w:sz w:val="22"/>
          <w:szCs w:val="22"/>
          <w:lang w:val="en-US"/>
        </w:rPr>
      </w:pPr>
    </w:p>
    <w:p w:rsidR="007346B0" w:rsidRDefault="007346B0" w:rsidP="00C31333">
      <w:pPr>
        <w:jc w:val="both"/>
        <w:rPr>
          <w:sz w:val="22"/>
          <w:szCs w:val="22"/>
        </w:rPr>
      </w:pPr>
      <w:r w:rsidRPr="00411908">
        <w:rPr>
          <w:b/>
          <w:sz w:val="22"/>
          <w:szCs w:val="22"/>
        </w:rPr>
        <w:t>Przeterminowana żywność psuje domowe budżety</w:t>
      </w:r>
      <w:r w:rsidRPr="00411908">
        <w:rPr>
          <w:sz w:val="22"/>
          <w:szCs w:val="22"/>
        </w:rPr>
        <w:t xml:space="preserve"> </w:t>
      </w:r>
    </w:p>
    <w:p w:rsidR="00411908" w:rsidRPr="00411908" w:rsidRDefault="00411908" w:rsidP="00C31333">
      <w:pPr>
        <w:jc w:val="both"/>
        <w:rPr>
          <w:sz w:val="22"/>
          <w:szCs w:val="22"/>
        </w:rPr>
      </w:pPr>
    </w:p>
    <w:p w:rsidR="00625028" w:rsidRPr="00411908" w:rsidRDefault="00AB318C" w:rsidP="00C31333">
      <w:pPr>
        <w:jc w:val="both"/>
        <w:rPr>
          <w:sz w:val="22"/>
          <w:szCs w:val="22"/>
        </w:rPr>
      </w:pPr>
      <w:r w:rsidRPr="00411908">
        <w:rPr>
          <w:sz w:val="22"/>
          <w:szCs w:val="22"/>
        </w:rPr>
        <w:t>M</w:t>
      </w:r>
      <w:r w:rsidR="002864EC" w:rsidRPr="00411908">
        <w:rPr>
          <w:sz w:val="22"/>
          <w:szCs w:val="22"/>
        </w:rPr>
        <w:t>arnotrawstw</w:t>
      </w:r>
      <w:r w:rsidRPr="00411908">
        <w:rPr>
          <w:sz w:val="22"/>
          <w:szCs w:val="22"/>
        </w:rPr>
        <w:t>o</w:t>
      </w:r>
      <w:r w:rsidR="002864EC" w:rsidRPr="00411908">
        <w:rPr>
          <w:sz w:val="22"/>
          <w:szCs w:val="22"/>
        </w:rPr>
        <w:t xml:space="preserve"> żywności oraz nietrafion</w:t>
      </w:r>
      <w:r w:rsidRPr="00411908">
        <w:rPr>
          <w:sz w:val="22"/>
          <w:szCs w:val="22"/>
        </w:rPr>
        <w:t>e</w:t>
      </w:r>
      <w:r w:rsidR="002864EC" w:rsidRPr="00411908">
        <w:rPr>
          <w:sz w:val="22"/>
          <w:szCs w:val="22"/>
        </w:rPr>
        <w:t xml:space="preserve"> zakup</w:t>
      </w:r>
      <w:r w:rsidRPr="00411908">
        <w:rPr>
          <w:sz w:val="22"/>
          <w:szCs w:val="22"/>
        </w:rPr>
        <w:t>y</w:t>
      </w:r>
      <w:r w:rsidR="00CE79F9" w:rsidRPr="00411908">
        <w:rPr>
          <w:sz w:val="22"/>
          <w:szCs w:val="22"/>
        </w:rPr>
        <w:t xml:space="preserve"> </w:t>
      </w:r>
      <w:r w:rsidRPr="00411908">
        <w:rPr>
          <w:sz w:val="22"/>
          <w:szCs w:val="22"/>
        </w:rPr>
        <w:t>nie pozostają obojętne dla kieszeni Polaków</w:t>
      </w:r>
      <w:r w:rsidR="003305CC" w:rsidRPr="00411908">
        <w:rPr>
          <w:sz w:val="22"/>
          <w:szCs w:val="22"/>
        </w:rPr>
        <w:t>.</w:t>
      </w:r>
      <w:r w:rsidR="00CE79F9" w:rsidRPr="00411908">
        <w:rPr>
          <w:sz w:val="22"/>
          <w:szCs w:val="22"/>
        </w:rPr>
        <w:t xml:space="preserve"> </w:t>
      </w:r>
      <w:r w:rsidR="003305CC" w:rsidRPr="00411908">
        <w:rPr>
          <w:sz w:val="22"/>
          <w:szCs w:val="22"/>
        </w:rPr>
        <w:t>Realne straty odczuwa z tego powodu trzech na czterech badanych</w:t>
      </w:r>
      <w:r w:rsidR="002864EC" w:rsidRPr="00411908">
        <w:rPr>
          <w:sz w:val="22"/>
          <w:szCs w:val="22"/>
        </w:rPr>
        <w:t xml:space="preserve">. </w:t>
      </w:r>
      <w:r w:rsidRPr="00411908">
        <w:rPr>
          <w:sz w:val="22"/>
          <w:szCs w:val="22"/>
        </w:rPr>
        <w:t>31 proc. w n</w:t>
      </w:r>
      <w:r w:rsidR="002864EC" w:rsidRPr="00411908">
        <w:rPr>
          <w:sz w:val="22"/>
          <w:szCs w:val="22"/>
        </w:rPr>
        <w:t>iewielkim stopniu</w:t>
      </w:r>
      <w:r w:rsidRPr="00411908">
        <w:rPr>
          <w:sz w:val="22"/>
          <w:szCs w:val="22"/>
        </w:rPr>
        <w:t xml:space="preserve">, bo </w:t>
      </w:r>
      <w:r w:rsidR="00774AFA" w:rsidRPr="00411908">
        <w:rPr>
          <w:sz w:val="22"/>
          <w:szCs w:val="22"/>
        </w:rPr>
        <w:t>przecieka</w:t>
      </w:r>
      <w:r w:rsidR="003305CC" w:rsidRPr="00411908">
        <w:rPr>
          <w:sz w:val="22"/>
          <w:szCs w:val="22"/>
        </w:rPr>
        <w:t xml:space="preserve"> im</w:t>
      </w:r>
      <w:r w:rsidR="00CE79F9" w:rsidRPr="00411908">
        <w:rPr>
          <w:sz w:val="22"/>
          <w:szCs w:val="22"/>
        </w:rPr>
        <w:t xml:space="preserve"> </w:t>
      </w:r>
      <w:r w:rsidR="003305CC" w:rsidRPr="00411908">
        <w:rPr>
          <w:sz w:val="22"/>
          <w:szCs w:val="22"/>
        </w:rPr>
        <w:t>przez palce</w:t>
      </w:r>
      <w:r w:rsidRPr="00411908">
        <w:rPr>
          <w:sz w:val="22"/>
          <w:szCs w:val="22"/>
        </w:rPr>
        <w:t xml:space="preserve"> do</w:t>
      </w:r>
      <w:r w:rsidR="00CE79F9" w:rsidRPr="00411908">
        <w:rPr>
          <w:sz w:val="22"/>
          <w:szCs w:val="22"/>
        </w:rPr>
        <w:t xml:space="preserve"> </w:t>
      </w:r>
      <w:r w:rsidR="002864EC" w:rsidRPr="00411908">
        <w:rPr>
          <w:sz w:val="22"/>
          <w:szCs w:val="22"/>
        </w:rPr>
        <w:t xml:space="preserve">3 proc. </w:t>
      </w:r>
      <w:r w:rsidRPr="00411908">
        <w:rPr>
          <w:sz w:val="22"/>
          <w:szCs w:val="22"/>
        </w:rPr>
        <w:t xml:space="preserve">dochodów, ale </w:t>
      </w:r>
      <w:r w:rsidR="003305CC" w:rsidRPr="00411908">
        <w:rPr>
          <w:sz w:val="22"/>
          <w:szCs w:val="22"/>
        </w:rPr>
        <w:t>k</w:t>
      </w:r>
      <w:r w:rsidR="002864EC" w:rsidRPr="00411908">
        <w:rPr>
          <w:sz w:val="22"/>
          <w:szCs w:val="22"/>
        </w:rPr>
        <w:t xml:space="preserve">olejne 33 proc. ponosi </w:t>
      </w:r>
      <w:r w:rsidR="003305CC" w:rsidRPr="00411908">
        <w:rPr>
          <w:sz w:val="22"/>
          <w:szCs w:val="22"/>
        </w:rPr>
        <w:t xml:space="preserve">już </w:t>
      </w:r>
      <w:r w:rsidR="002864EC" w:rsidRPr="00411908">
        <w:rPr>
          <w:sz w:val="22"/>
          <w:szCs w:val="22"/>
        </w:rPr>
        <w:t xml:space="preserve">straty </w:t>
      </w:r>
      <w:r w:rsidR="003305CC" w:rsidRPr="00411908">
        <w:rPr>
          <w:sz w:val="22"/>
          <w:szCs w:val="22"/>
        </w:rPr>
        <w:t xml:space="preserve">dochodzące do </w:t>
      </w:r>
      <w:r w:rsidR="002864EC" w:rsidRPr="00411908">
        <w:rPr>
          <w:sz w:val="22"/>
          <w:szCs w:val="22"/>
        </w:rPr>
        <w:t>10 proc.</w:t>
      </w:r>
      <w:r w:rsidR="003305CC" w:rsidRPr="00411908">
        <w:rPr>
          <w:sz w:val="22"/>
          <w:szCs w:val="22"/>
        </w:rPr>
        <w:t xml:space="preserve"> budżetu, a</w:t>
      </w:r>
      <w:r w:rsidR="00CE79F9" w:rsidRPr="00411908">
        <w:rPr>
          <w:sz w:val="22"/>
          <w:szCs w:val="22"/>
        </w:rPr>
        <w:t xml:space="preserve"> </w:t>
      </w:r>
      <w:r w:rsidR="003305CC" w:rsidRPr="00411908">
        <w:rPr>
          <w:sz w:val="22"/>
          <w:szCs w:val="22"/>
        </w:rPr>
        <w:t>niemal co dziesiąty traci przez brak dyscypliny i planowania ponad 10 proc. posiadanych pieniędzy.</w:t>
      </w:r>
      <w:r w:rsidR="00CE79F9" w:rsidRPr="00411908">
        <w:rPr>
          <w:sz w:val="22"/>
          <w:szCs w:val="22"/>
        </w:rPr>
        <w:t xml:space="preserve"> </w:t>
      </w:r>
    </w:p>
    <w:p w:rsidR="00CE79F9" w:rsidRPr="00411908" w:rsidRDefault="00FA4E29" w:rsidP="00CE79F9">
      <w:pPr>
        <w:rPr>
          <w:i/>
          <w:sz w:val="18"/>
          <w:szCs w:val="18"/>
          <w:lang w:val="en-US"/>
        </w:rPr>
      </w:pPr>
      <w:r w:rsidRPr="00411908">
        <w:rPr>
          <w:noProof/>
          <w:sz w:val="22"/>
          <w:szCs w:val="22"/>
          <w:lang w:val="en-US"/>
        </w:rPr>
        <w:br/>
      </w:r>
      <w:r w:rsidRPr="00411908">
        <w:rPr>
          <w:noProof/>
          <w:sz w:val="22"/>
          <w:szCs w:val="22"/>
        </w:rPr>
        <w:drawing>
          <wp:inline distT="0" distB="0" distL="0" distR="0" wp14:anchorId="0CFAD17C" wp14:editId="0D433467">
            <wp:extent cx="5745708" cy="2565780"/>
            <wp:effectExtent l="0" t="0" r="7620" b="63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11908">
        <w:rPr>
          <w:sz w:val="22"/>
          <w:szCs w:val="22"/>
          <w:lang w:val="en-US"/>
        </w:rPr>
        <w:br/>
      </w:r>
      <w:proofErr w:type="spellStart"/>
      <w:r w:rsidR="00CE79F9" w:rsidRPr="00411908">
        <w:rPr>
          <w:i/>
          <w:sz w:val="18"/>
          <w:szCs w:val="18"/>
          <w:lang w:val="en-US"/>
        </w:rPr>
        <w:t>Źródło</w:t>
      </w:r>
      <w:proofErr w:type="spellEnd"/>
      <w:r w:rsidR="00CE79F9" w:rsidRPr="00411908">
        <w:rPr>
          <w:i/>
          <w:sz w:val="18"/>
          <w:szCs w:val="18"/>
          <w:lang w:val="en-US"/>
        </w:rPr>
        <w:t>: BIG InfoMonitor</w:t>
      </w:r>
      <w:r w:rsidR="00260A2E" w:rsidRPr="00411908">
        <w:rPr>
          <w:i/>
          <w:sz w:val="18"/>
          <w:szCs w:val="18"/>
          <w:lang w:val="en-US"/>
        </w:rPr>
        <w:t xml:space="preserve">, </w:t>
      </w:r>
      <w:proofErr w:type="spellStart"/>
      <w:r w:rsidR="00260A2E" w:rsidRPr="00411908">
        <w:rPr>
          <w:i/>
          <w:sz w:val="18"/>
          <w:szCs w:val="18"/>
          <w:lang w:val="en-US"/>
        </w:rPr>
        <w:t>badanie</w:t>
      </w:r>
      <w:proofErr w:type="spellEnd"/>
      <w:r w:rsidR="00260A2E" w:rsidRPr="00411908">
        <w:rPr>
          <w:i/>
          <w:sz w:val="18"/>
          <w:szCs w:val="18"/>
          <w:lang w:val="en-US"/>
        </w:rPr>
        <w:t xml:space="preserve"> Quality Watch</w:t>
      </w:r>
    </w:p>
    <w:p w:rsidR="00FA4E29" w:rsidRPr="00411908" w:rsidRDefault="00FA4E29" w:rsidP="00FA4E29">
      <w:pPr>
        <w:jc w:val="both"/>
        <w:rPr>
          <w:i/>
          <w:sz w:val="18"/>
          <w:szCs w:val="18"/>
          <w:lang w:val="en-US"/>
        </w:rPr>
      </w:pPr>
    </w:p>
    <w:p w:rsidR="00EC452D" w:rsidRPr="00411908" w:rsidRDefault="00FA4E29" w:rsidP="00FA4E29">
      <w:pPr>
        <w:jc w:val="both"/>
        <w:rPr>
          <w:sz w:val="22"/>
          <w:szCs w:val="22"/>
        </w:rPr>
      </w:pPr>
      <w:r w:rsidRPr="00411908">
        <w:rPr>
          <w:sz w:val="22"/>
          <w:szCs w:val="22"/>
        </w:rPr>
        <w:t xml:space="preserve">Co </w:t>
      </w:r>
      <w:r w:rsidR="00EC452D" w:rsidRPr="00411908">
        <w:rPr>
          <w:sz w:val="22"/>
          <w:szCs w:val="22"/>
        </w:rPr>
        <w:t>warto podkreślić</w:t>
      </w:r>
      <w:r w:rsidRPr="00411908">
        <w:rPr>
          <w:sz w:val="22"/>
          <w:szCs w:val="22"/>
        </w:rPr>
        <w:t xml:space="preserve">, odsetek osób </w:t>
      </w:r>
      <w:r w:rsidR="00EC452D" w:rsidRPr="00411908">
        <w:rPr>
          <w:sz w:val="22"/>
          <w:szCs w:val="22"/>
        </w:rPr>
        <w:t>przyznających się do</w:t>
      </w:r>
      <w:r w:rsidR="00CE79F9" w:rsidRPr="00411908">
        <w:rPr>
          <w:sz w:val="22"/>
          <w:szCs w:val="22"/>
        </w:rPr>
        <w:t xml:space="preserve"> </w:t>
      </w:r>
      <w:r w:rsidRPr="00411908">
        <w:rPr>
          <w:sz w:val="22"/>
          <w:szCs w:val="22"/>
        </w:rPr>
        <w:t xml:space="preserve">marnowania żywności i dokonywania zbędnych zakupów </w:t>
      </w:r>
      <w:r w:rsidR="00EC452D" w:rsidRPr="00411908">
        <w:rPr>
          <w:sz w:val="22"/>
          <w:szCs w:val="22"/>
        </w:rPr>
        <w:t xml:space="preserve">spada </w:t>
      </w:r>
      <w:r w:rsidRPr="00411908">
        <w:rPr>
          <w:sz w:val="22"/>
          <w:szCs w:val="22"/>
        </w:rPr>
        <w:t>wraz z wiekiem</w:t>
      </w:r>
      <w:r w:rsidR="00114D0A" w:rsidRPr="00411908">
        <w:rPr>
          <w:sz w:val="22"/>
          <w:szCs w:val="22"/>
        </w:rPr>
        <w:t>.</w:t>
      </w:r>
      <w:r w:rsidRPr="00411908">
        <w:rPr>
          <w:sz w:val="22"/>
          <w:szCs w:val="22"/>
        </w:rPr>
        <w:t xml:space="preserve"> </w:t>
      </w:r>
      <w:r w:rsidR="00114D0A" w:rsidRPr="00411908">
        <w:rPr>
          <w:sz w:val="22"/>
          <w:szCs w:val="22"/>
        </w:rPr>
        <w:t>Wśr</w:t>
      </w:r>
      <w:r w:rsidR="003305CC" w:rsidRPr="00411908">
        <w:rPr>
          <w:sz w:val="22"/>
          <w:szCs w:val="22"/>
        </w:rPr>
        <w:t>ód osób</w:t>
      </w:r>
      <w:r w:rsidR="00114D0A" w:rsidRPr="00411908">
        <w:rPr>
          <w:sz w:val="22"/>
          <w:szCs w:val="22"/>
        </w:rPr>
        <w:t xml:space="preserve"> do 24 lat </w:t>
      </w:r>
      <w:r w:rsidR="00EC452D" w:rsidRPr="00411908">
        <w:rPr>
          <w:sz w:val="22"/>
          <w:szCs w:val="22"/>
        </w:rPr>
        <w:t>– takie zachowania zdarzają się 8</w:t>
      </w:r>
      <w:r w:rsidR="007B7E3F" w:rsidRPr="00411908">
        <w:rPr>
          <w:sz w:val="22"/>
          <w:szCs w:val="22"/>
        </w:rPr>
        <w:t>1</w:t>
      </w:r>
      <w:r w:rsidR="00EC452D" w:rsidRPr="00411908">
        <w:rPr>
          <w:sz w:val="22"/>
          <w:szCs w:val="22"/>
        </w:rPr>
        <w:t xml:space="preserve"> </w:t>
      </w:r>
      <w:r w:rsidRPr="00411908">
        <w:rPr>
          <w:sz w:val="22"/>
          <w:szCs w:val="22"/>
        </w:rPr>
        <w:t>proc.</w:t>
      </w:r>
      <w:r w:rsidR="00EC452D" w:rsidRPr="00411908">
        <w:rPr>
          <w:sz w:val="22"/>
          <w:szCs w:val="22"/>
        </w:rPr>
        <w:t xml:space="preserve"> badanych</w:t>
      </w:r>
      <w:r w:rsidR="00114D0A" w:rsidRPr="00411908">
        <w:rPr>
          <w:sz w:val="22"/>
          <w:szCs w:val="22"/>
        </w:rPr>
        <w:t xml:space="preserve">, </w:t>
      </w:r>
      <w:r w:rsidR="000D4F11" w:rsidRPr="00411908">
        <w:rPr>
          <w:sz w:val="22"/>
          <w:szCs w:val="22"/>
        </w:rPr>
        <w:t xml:space="preserve">wśród 25-34 latków – 83 proc. ankietowanych, </w:t>
      </w:r>
      <w:r w:rsidR="00114D0A" w:rsidRPr="00411908">
        <w:rPr>
          <w:sz w:val="22"/>
          <w:szCs w:val="22"/>
        </w:rPr>
        <w:t xml:space="preserve">podczas gdy w grupie Polaków w </w:t>
      </w:r>
      <w:r w:rsidRPr="00411908">
        <w:rPr>
          <w:sz w:val="22"/>
          <w:szCs w:val="22"/>
        </w:rPr>
        <w:t>wieku 65-74 lat</w:t>
      </w:r>
      <w:r w:rsidR="00114D0A" w:rsidRPr="00411908">
        <w:rPr>
          <w:sz w:val="22"/>
          <w:szCs w:val="22"/>
        </w:rPr>
        <w:t xml:space="preserve"> jest to </w:t>
      </w:r>
      <w:r w:rsidR="00EC452D" w:rsidRPr="00411908">
        <w:rPr>
          <w:sz w:val="22"/>
          <w:szCs w:val="22"/>
        </w:rPr>
        <w:t xml:space="preserve">problem 65 </w:t>
      </w:r>
      <w:r w:rsidR="00114D0A" w:rsidRPr="00411908">
        <w:rPr>
          <w:sz w:val="22"/>
          <w:szCs w:val="22"/>
        </w:rPr>
        <w:t>proc</w:t>
      </w:r>
      <w:r w:rsidRPr="00411908">
        <w:rPr>
          <w:sz w:val="22"/>
          <w:szCs w:val="22"/>
        </w:rPr>
        <w:t>.</w:t>
      </w:r>
      <w:r w:rsidR="00EC452D" w:rsidRPr="00411908">
        <w:rPr>
          <w:sz w:val="22"/>
          <w:szCs w:val="22"/>
        </w:rPr>
        <w:t xml:space="preserve"> osób. </w:t>
      </w:r>
      <w:r w:rsidRPr="00411908">
        <w:rPr>
          <w:sz w:val="22"/>
          <w:szCs w:val="22"/>
        </w:rPr>
        <w:t>P</w:t>
      </w:r>
      <w:r w:rsidR="007B7E3F" w:rsidRPr="00411908">
        <w:rPr>
          <w:sz w:val="22"/>
          <w:szCs w:val="22"/>
        </w:rPr>
        <w:t>okazuj</w:t>
      </w:r>
      <w:r w:rsidR="000D4F11" w:rsidRPr="00411908">
        <w:rPr>
          <w:sz w:val="22"/>
          <w:szCs w:val="22"/>
        </w:rPr>
        <w:t xml:space="preserve">e to, że jeśli wejdzie się w dorosłe życie </w:t>
      </w:r>
      <w:r w:rsidR="007B7E3F" w:rsidRPr="00411908">
        <w:rPr>
          <w:sz w:val="22"/>
          <w:szCs w:val="22"/>
        </w:rPr>
        <w:t xml:space="preserve">z </w:t>
      </w:r>
      <w:r w:rsidR="000D4F11" w:rsidRPr="00411908">
        <w:rPr>
          <w:sz w:val="22"/>
          <w:szCs w:val="22"/>
        </w:rPr>
        <w:t xml:space="preserve">brakiem umiejętności </w:t>
      </w:r>
      <w:r w:rsidR="00EC452D" w:rsidRPr="00411908">
        <w:rPr>
          <w:sz w:val="22"/>
          <w:szCs w:val="22"/>
        </w:rPr>
        <w:t>planowania wydatków</w:t>
      </w:r>
      <w:r w:rsidR="000D4F11" w:rsidRPr="00411908">
        <w:rPr>
          <w:sz w:val="22"/>
          <w:szCs w:val="22"/>
        </w:rPr>
        <w:t xml:space="preserve"> i brakiem samodyscypliny to trudno z tego długo wyrosnąć. </w:t>
      </w:r>
    </w:p>
    <w:p w:rsidR="007E5A16" w:rsidRPr="00411908" w:rsidRDefault="007E5A16" w:rsidP="00FA4E29">
      <w:pPr>
        <w:jc w:val="both"/>
        <w:rPr>
          <w:sz w:val="22"/>
          <w:szCs w:val="22"/>
        </w:rPr>
      </w:pPr>
    </w:p>
    <w:p w:rsidR="00FA4E29" w:rsidRPr="00411908" w:rsidRDefault="00FA4E29" w:rsidP="00FA4E29">
      <w:pPr>
        <w:jc w:val="both"/>
        <w:rPr>
          <w:sz w:val="22"/>
          <w:szCs w:val="22"/>
        </w:rPr>
      </w:pPr>
      <w:r w:rsidRPr="00411908">
        <w:rPr>
          <w:b/>
          <w:bCs/>
          <w:sz w:val="22"/>
          <w:szCs w:val="22"/>
        </w:rPr>
        <w:t>Straty w dochodach z powodu marnotrawstwa żywności oraz nietrafionych zakupów w podziale na wiek</w:t>
      </w:r>
    </w:p>
    <w:tbl>
      <w:tblPr>
        <w:tblStyle w:val="Jasnecieniowanieakcent1"/>
        <w:tblW w:w="9317" w:type="dxa"/>
        <w:tblLook w:val="04A0" w:firstRow="1" w:lastRow="0" w:firstColumn="1" w:lastColumn="0" w:noHBand="0" w:noVBand="1"/>
      </w:tblPr>
      <w:tblGrid>
        <w:gridCol w:w="1439"/>
        <w:gridCol w:w="1357"/>
        <w:gridCol w:w="1357"/>
        <w:gridCol w:w="1357"/>
        <w:gridCol w:w="1357"/>
        <w:gridCol w:w="1225"/>
        <w:gridCol w:w="1225"/>
      </w:tblGrid>
      <w:tr w:rsidR="00FA4E29" w:rsidRPr="00411908" w:rsidTr="00FA4E29">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439" w:type="dxa"/>
          </w:tcPr>
          <w:p w:rsidR="00FA4E29" w:rsidRPr="00411908" w:rsidRDefault="00FA4E29" w:rsidP="00DA1802">
            <w:pPr>
              <w:jc w:val="both"/>
              <w:rPr>
                <w:i/>
                <w:sz w:val="22"/>
                <w:szCs w:val="22"/>
              </w:rPr>
            </w:pPr>
          </w:p>
        </w:tc>
        <w:tc>
          <w:tcPr>
            <w:tcW w:w="1357" w:type="dxa"/>
          </w:tcPr>
          <w:p w:rsidR="00FA4E29" w:rsidRPr="00411908" w:rsidRDefault="00FA4E29" w:rsidP="00DA1802">
            <w:pPr>
              <w:jc w:val="both"/>
              <w:cnfStyle w:val="100000000000" w:firstRow="1" w:lastRow="0" w:firstColumn="0" w:lastColumn="0" w:oddVBand="0" w:evenVBand="0" w:oddHBand="0" w:evenHBand="0" w:firstRowFirstColumn="0" w:firstRowLastColumn="0" w:lastRowFirstColumn="0" w:lastRowLastColumn="0"/>
              <w:rPr>
                <w:i/>
                <w:sz w:val="22"/>
                <w:szCs w:val="22"/>
              </w:rPr>
            </w:pPr>
            <w:r w:rsidRPr="00411908">
              <w:rPr>
                <w:i/>
                <w:sz w:val="22"/>
                <w:szCs w:val="22"/>
              </w:rPr>
              <w:t>18-24 lata</w:t>
            </w:r>
          </w:p>
        </w:tc>
        <w:tc>
          <w:tcPr>
            <w:tcW w:w="1357" w:type="dxa"/>
          </w:tcPr>
          <w:p w:rsidR="00FA4E29" w:rsidRPr="00411908" w:rsidRDefault="00FA4E29" w:rsidP="00DA1802">
            <w:pPr>
              <w:jc w:val="both"/>
              <w:cnfStyle w:val="100000000000" w:firstRow="1" w:lastRow="0" w:firstColumn="0" w:lastColumn="0" w:oddVBand="0" w:evenVBand="0" w:oddHBand="0" w:evenHBand="0" w:firstRowFirstColumn="0" w:firstRowLastColumn="0" w:lastRowFirstColumn="0" w:lastRowLastColumn="0"/>
              <w:rPr>
                <w:i/>
                <w:sz w:val="22"/>
                <w:szCs w:val="22"/>
              </w:rPr>
            </w:pPr>
            <w:r w:rsidRPr="00411908">
              <w:rPr>
                <w:i/>
                <w:sz w:val="22"/>
                <w:szCs w:val="22"/>
              </w:rPr>
              <w:t>25-34 lata</w:t>
            </w:r>
          </w:p>
        </w:tc>
        <w:tc>
          <w:tcPr>
            <w:tcW w:w="1357" w:type="dxa"/>
          </w:tcPr>
          <w:p w:rsidR="00FA4E29" w:rsidRPr="00411908" w:rsidRDefault="00FA4E29" w:rsidP="00DA1802">
            <w:pPr>
              <w:jc w:val="both"/>
              <w:cnfStyle w:val="100000000000" w:firstRow="1" w:lastRow="0" w:firstColumn="0" w:lastColumn="0" w:oddVBand="0" w:evenVBand="0" w:oddHBand="0" w:evenHBand="0" w:firstRowFirstColumn="0" w:firstRowLastColumn="0" w:lastRowFirstColumn="0" w:lastRowLastColumn="0"/>
              <w:rPr>
                <w:i/>
                <w:sz w:val="22"/>
                <w:szCs w:val="22"/>
              </w:rPr>
            </w:pPr>
            <w:r w:rsidRPr="00411908">
              <w:rPr>
                <w:i/>
                <w:sz w:val="22"/>
                <w:szCs w:val="22"/>
              </w:rPr>
              <w:t>35-44 lata</w:t>
            </w:r>
          </w:p>
        </w:tc>
        <w:tc>
          <w:tcPr>
            <w:tcW w:w="1357" w:type="dxa"/>
          </w:tcPr>
          <w:p w:rsidR="00FA4E29" w:rsidRPr="00411908" w:rsidRDefault="00FA4E29" w:rsidP="00DA1802">
            <w:pPr>
              <w:jc w:val="both"/>
              <w:cnfStyle w:val="100000000000" w:firstRow="1" w:lastRow="0" w:firstColumn="0" w:lastColumn="0" w:oddVBand="0" w:evenVBand="0" w:oddHBand="0" w:evenHBand="0" w:firstRowFirstColumn="0" w:firstRowLastColumn="0" w:lastRowFirstColumn="0" w:lastRowLastColumn="0"/>
              <w:rPr>
                <w:i/>
                <w:sz w:val="22"/>
                <w:szCs w:val="22"/>
              </w:rPr>
            </w:pPr>
            <w:r w:rsidRPr="00411908">
              <w:rPr>
                <w:i/>
                <w:sz w:val="22"/>
                <w:szCs w:val="22"/>
              </w:rPr>
              <w:t>45-54 lata</w:t>
            </w:r>
          </w:p>
        </w:tc>
        <w:tc>
          <w:tcPr>
            <w:tcW w:w="1225" w:type="dxa"/>
          </w:tcPr>
          <w:p w:rsidR="00FA4E29" w:rsidRPr="00411908" w:rsidRDefault="00FA4E29" w:rsidP="00DA1802">
            <w:pPr>
              <w:jc w:val="both"/>
              <w:cnfStyle w:val="100000000000" w:firstRow="1" w:lastRow="0" w:firstColumn="0" w:lastColumn="0" w:oddVBand="0" w:evenVBand="0" w:oddHBand="0" w:evenHBand="0" w:firstRowFirstColumn="0" w:firstRowLastColumn="0" w:lastRowFirstColumn="0" w:lastRowLastColumn="0"/>
              <w:rPr>
                <w:i/>
                <w:sz w:val="22"/>
                <w:szCs w:val="22"/>
              </w:rPr>
            </w:pPr>
            <w:r w:rsidRPr="00411908">
              <w:rPr>
                <w:i/>
                <w:sz w:val="22"/>
                <w:szCs w:val="22"/>
              </w:rPr>
              <w:t>55-64 lata</w:t>
            </w:r>
          </w:p>
        </w:tc>
        <w:tc>
          <w:tcPr>
            <w:tcW w:w="1225" w:type="dxa"/>
          </w:tcPr>
          <w:p w:rsidR="00FA4E29" w:rsidRPr="00411908" w:rsidRDefault="00FA4E29" w:rsidP="00DA1802">
            <w:pPr>
              <w:jc w:val="both"/>
              <w:cnfStyle w:val="100000000000" w:firstRow="1" w:lastRow="0" w:firstColumn="0" w:lastColumn="0" w:oddVBand="0" w:evenVBand="0" w:oddHBand="0" w:evenHBand="0" w:firstRowFirstColumn="0" w:firstRowLastColumn="0" w:lastRowFirstColumn="0" w:lastRowLastColumn="0"/>
              <w:rPr>
                <w:i/>
                <w:sz w:val="22"/>
                <w:szCs w:val="22"/>
              </w:rPr>
            </w:pPr>
            <w:r w:rsidRPr="00411908">
              <w:rPr>
                <w:i/>
                <w:sz w:val="22"/>
                <w:szCs w:val="22"/>
              </w:rPr>
              <w:t>65-74 lat</w:t>
            </w:r>
          </w:p>
        </w:tc>
      </w:tr>
      <w:tr w:rsidR="00FA4E29" w:rsidRPr="00411908" w:rsidTr="00FA4E2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439" w:type="dxa"/>
          </w:tcPr>
          <w:p w:rsidR="00FA4E29" w:rsidRPr="00411908" w:rsidRDefault="00FA4E29" w:rsidP="00DA1802">
            <w:pPr>
              <w:jc w:val="both"/>
              <w:rPr>
                <w:i/>
                <w:sz w:val="22"/>
                <w:szCs w:val="22"/>
              </w:rPr>
            </w:pPr>
            <w:r w:rsidRPr="00411908">
              <w:rPr>
                <w:i/>
                <w:sz w:val="22"/>
                <w:szCs w:val="22"/>
              </w:rPr>
              <w:t>nic</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19%</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17%</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25%</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33%</w:t>
            </w:r>
          </w:p>
        </w:tc>
        <w:tc>
          <w:tcPr>
            <w:tcW w:w="1225"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31%</w:t>
            </w:r>
          </w:p>
        </w:tc>
        <w:tc>
          <w:tcPr>
            <w:tcW w:w="1225"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35%</w:t>
            </w:r>
          </w:p>
        </w:tc>
      </w:tr>
      <w:tr w:rsidR="00FA4E29" w:rsidRPr="00411908" w:rsidTr="00FA4E29">
        <w:trPr>
          <w:trHeight w:val="370"/>
        </w:trPr>
        <w:tc>
          <w:tcPr>
            <w:cnfStyle w:val="001000000000" w:firstRow="0" w:lastRow="0" w:firstColumn="1" w:lastColumn="0" w:oddVBand="0" w:evenVBand="0" w:oddHBand="0" w:evenHBand="0" w:firstRowFirstColumn="0" w:firstRowLastColumn="0" w:lastRowFirstColumn="0" w:lastRowLastColumn="0"/>
            <w:tcW w:w="1439" w:type="dxa"/>
          </w:tcPr>
          <w:p w:rsidR="00FA4E29" w:rsidRPr="00411908" w:rsidRDefault="00FA4E29" w:rsidP="00DA1802">
            <w:pPr>
              <w:jc w:val="both"/>
              <w:rPr>
                <w:i/>
                <w:sz w:val="22"/>
                <w:szCs w:val="22"/>
              </w:rPr>
            </w:pPr>
            <w:r w:rsidRPr="00411908">
              <w:rPr>
                <w:i/>
                <w:sz w:val="22"/>
                <w:szCs w:val="22"/>
              </w:rPr>
              <w:t>do 3%</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27%</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32%</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30%</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28%</w:t>
            </w:r>
          </w:p>
        </w:tc>
        <w:tc>
          <w:tcPr>
            <w:tcW w:w="1225"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37%</w:t>
            </w:r>
          </w:p>
        </w:tc>
        <w:tc>
          <w:tcPr>
            <w:tcW w:w="1225"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33%</w:t>
            </w:r>
          </w:p>
        </w:tc>
      </w:tr>
      <w:tr w:rsidR="00FA4E29" w:rsidRPr="00411908" w:rsidTr="00FA4E2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439" w:type="dxa"/>
          </w:tcPr>
          <w:p w:rsidR="00FA4E29" w:rsidRPr="00411908" w:rsidRDefault="00FA4E29" w:rsidP="00DA1802">
            <w:pPr>
              <w:jc w:val="both"/>
              <w:rPr>
                <w:i/>
                <w:sz w:val="22"/>
                <w:szCs w:val="22"/>
              </w:rPr>
            </w:pPr>
            <w:r w:rsidRPr="00411908">
              <w:rPr>
                <w:i/>
                <w:sz w:val="22"/>
                <w:szCs w:val="22"/>
              </w:rPr>
              <w:t>do 5%</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23%</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20%</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18%</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14%</w:t>
            </w:r>
          </w:p>
        </w:tc>
        <w:tc>
          <w:tcPr>
            <w:tcW w:w="1225"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15%</w:t>
            </w:r>
          </w:p>
        </w:tc>
        <w:tc>
          <w:tcPr>
            <w:tcW w:w="1225"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21%</w:t>
            </w:r>
          </w:p>
        </w:tc>
      </w:tr>
      <w:tr w:rsidR="00FA4E29" w:rsidRPr="00411908" w:rsidTr="00FA4E29">
        <w:trPr>
          <w:trHeight w:val="351"/>
        </w:trPr>
        <w:tc>
          <w:tcPr>
            <w:cnfStyle w:val="001000000000" w:firstRow="0" w:lastRow="0" w:firstColumn="1" w:lastColumn="0" w:oddVBand="0" w:evenVBand="0" w:oddHBand="0" w:evenHBand="0" w:firstRowFirstColumn="0" w:firstRowLastColumn="0" w:lastRowFirstColumn="0" w:lastRowLastColumn="0"/>
            <w:tcW w:w="1439" w:type="dxa"/>
          </w:tcPr>
          <w:p w:rsidR="00FA4E29" w:rsidRPr="00411908" w:rsidRDefault="00FA4E29" w:rsidP="00DA1802">
            <w:pPr>
              <w:jc w:val="both"/>
              <w:rPr>
                <w:i/>
                <w:sz w:val="22"/>
                <w:szCs w:val="22"/>
              </w:rPr>
            </w:pPr>
            <w:r w:rsidRPr="00411908">
              <w:rPr>
                <w:i/>
                <w:sz w:val="22"/>
                <w:szCs w:val="22"/>
              </w:rPr>
              <w:t>5-10%</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20%</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20%</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15%</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14%</w:t>
            </w:r>
          </w:p>
        </w:tc>
        <w:tc>
          <w:tcPr>
            <w:tcW w:w="1225"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10%</w:t>
            </w:r>
          </w:p>
        </w:tc>
        <w:tc>
          <w:tcPr>
            <w:tcW w:w="1225"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9%</w:t>
            </w:r>
          </w:p>
        </w:tc>
      </w:tr>
      <w:tr w:rsidR="00FA4E29" w:rsidRPr="00411908" w:rsidTr="00FA4E2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439" w:type="dxa"/>
          </w:tcPr>
          <w:p w:rsidR="00FA4E29" w:rsidRPr="00411908" w:rsidRDefault="00FA4E29" w:rsidP="00DA1802">
            <w:pPr>
              <w:jc w:val="both"/>
              <w:rPr>
                <w:i/>
                <w:sz w:val="22"/>
                <w:szCs w:val="22"/>
              </w:rPr>
            </w:pPr>
            <w:r w:rsidRPr="00411908">
              <w:rPr>
                <w:i/>
                <w:sz w:val="22"/>
                <w:szCs w:val="22"/>
              </w:rPr>
              <w:t>10-20%</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8%</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6%</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10%</w:t>
            </w:r>
          </w:p>
        </w:tc>
        <w:tc>
          <w:tcPr>
            <w:tcW w:w="1357"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9%</w:t>
            </w:r>
          </w:p>
        </w:tc>
        <w:tc>
          <w:tcPr>
            <w:tcW w:w="1225"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6%</w:t>
            </w:r>
          </w:p>
        </w:tc>
        <w:tc>
          <w:tcPr>
            <w:tcW w:w="1225" w:type="dxa"/>
          </w:tcPr>
          <w:p w:rsidR="00FA4E29" w:rsidRPr="00411908" w:rsidRDefault="00FA4E29" w:rsidP="00DA1802">
            <w:pPr>
              <w:jc w:val="both"/>
              <w:cnfStyle w:val="000000100000" w:firstRow="0" w:lastRow="0" w:firstColumn="0" w:lastColumn="0" w:oddVBand="0" w:evenVBand="0" w:oddHBand="1" w:evenHBand="0" w:firstRowFirstColumn="0" w:firstRowLastColumn="0" w:lastRowFirstColumn="0" w:lastRowLastColumn="0"/>
              <w:rPr>
                <w:i/>
                <w:sz w:val="22"/>
                <w:szCs w:val="22"/>
              </w:rPr>
            </w:pPr>
            <w:r w:rsidRPr="00411908">
              <w:rPr>
                <w:i/>
                <w:sz w:val="22"/>
                <w:szCs w:val="22"/>
              </w:rPr>
              <w:t>2%</w:t>
            </w:r>
          </w:p>
        </w:tc>
      </w:tr>
      <w:tr w:rsidR="00FA4E29" w:rsidRPr="00411908" w:rsidTr="00FA4E29">
        <w:trPr>
          <w:trHeight w:val="370"/>
        </w:trPr>
        <w:tc>
          <w:tcPr>
            <w:cnfStyle w:val="001000000000" w:firstRow="0" w:lastRow="0" w:firstColumn="1" w:lastColumn="0" w:oddVBand="0" w:evenVBand="0" w:oddHBand="0" w:evenHBand="0" w:firstRowFirstColumn="0" w:firstRowLastColumn="0" w:lastRowFirstColumn="0" w:lastRowLastColumn="0"/>
            <w:tcW w:w="1439" w:type="dxa"/>
          </w:tcPr>
          <w:p w:rsidR="00FA4E29" w:rsidRPr="00411908" w:rsidRDefault="00FA4E29" w:rsidP="00DA1802">
            <w:pPr>
              <w:jc w:val="both"/>
              <w:rPr>
                <w:i/>
                <w:sz w:val="22"/>
                <w:szCs w:val="22"/>
              </w:rPr>
            </w:pPr>
            <w:r w:rsidRPr="00411908">
              <w:rPr>
                <w:i/>
                <w:sz w:val="22"/>
                <w:szCs w:val="22"/>
              </w:rPr>
              <w:t>ponad 20%</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3%</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5%</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3%</w:t>
            </w:r>
          </w:p>
        </w:tc>
        <w:tc>
          <w:tcPr>
            <w:tcW w:w="1357"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2%</w:t>
            </w:r>
          </w:p>
        </w:tc>
        <w:tc>
          <w:tcPr>
            <w:tcW w:w="1225"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0%</w:t>
            </w:r>
          </w:p>
        </w:tc>
        <w:tc>
          <w:tcPr>
            <w:tcW w:w="1225" w:type="dxa"/>
          </w:tcPr>
          <w:p w:rsidR="00FA4E29" w:rsidRPr="00411908" w:rsidRDefault="00FA4E29" w:rsidP="00DA1802">
            <w:pPr>
              <w:jc w:val="both"/>
              <w:cnfStyle w:val="000000000000" w:firstRow="0" w:lastRow="0" w:firstColumn="0" w:lastColumn="0" w:oddVBand="0" w:evenVBand="0" w:oddHBand="0" w:evenHBand="0" w:firstRowFirstColumn="0" w:firstRowLastColumn="0" w:lastRowFirstColumn="0" w:lastRowLastColumn="0"/>
              <w:rPr>
                <w:i/>
                <w:sz w:val="22"/>
                <w:szCs w:val="22"/>
              </w:rPr>
            </w:pPr>
            <w:r w:rsidRPr="00411908">
              <w:rPr>
                <w:i/>
                <w:sz w:val="22"/>
                <w:szCs w:val="22"/>
              </w:rPr>
              <w:t>1%</w:t>
            </w:r>
          </w:p>
        </w:tc>
      </w:tr>
    </w:tbl>
    <w:p w:rsidR="00FA4E29" w:rsidRPr="00411908" w:rsidRDefault="00260A2E" w:rsidP="00FA4E29">
      <w:pPr>
        <w:spacing w:after="200"/>
        <w:jc w:val="both"/>
        <w:rPr>
          <w:b/>
          <w:bCs/>
          <w:i/>
          <w:color w:val="595959" w:themeColor="text1" w:themeTint="A6"/>
          <w:sz w:val="18"/>
          <w:szCs w:val="18"/>
          <w:lang w:val="en-US"/>
        </w:rPr>
      </w:pPr>
      <w:proofErr w:type="spellStart"/>
      <w:r w:rsidRPr="00411908">
        <w:rPr>
          <w:i/>
          <w:sz w:val="18"/>
          <w:szCs w:val="18"/>
          <w:lang w:val="en-US"/>
        </w:rPr>
        <w:t>Źródło</w:t>
      </w:r>
      <w:proofErr w:type="spellEnd"/>
      <w:r w:rsidRPr="00411908">
        <w:rPr>
          <w:i/>
          <w:sz w:val="18"/>
          <w:szCs w:val="18"/>
          <w:lang w:val="en-US"/>
        </w:rPr>
        <w:t xml:space="preserve">: BIG InfoMonitor, </w:t>
      </w:r>
      <w:proofErr w:type="spellStart"/>
      <w:r w:rsidRPr="00411908">
        <w:rPr>
          <w:i/>
          <w:sz w:val="18"/>
          <w:szCs w:val="18"/>
          <w:lang w:val="en-US"/>
        </w:rPr>
        <w:t>badanie</w:t>
      </w:r>
      <w:proofErr w:type="spellEnd"/>
      <w:r w:rsidRPr="00411908">
        <w:rPr>
          <w:i/>
          <w:sz w:val="18"/>
          <w:szCs w:val="18"/>
          <w:lang w:val="en-US"/>
        </w:rPr>
        <w:t xml:space="preserve"> Quality Watch</w:t>
      </w:r>
    </w:p>
    <w:p w:rsidR="00CE79F9" w:rsidRDefault="005E2A66" w:rsidP="008A75B3">
      <w:pPr>
        <w:jc w:val="both"/>
        <w:rPr>
          <w:b/>
          <w:sz w:val="22"/>
          <w:szCs w:val="22"/>
        </w:rPr>
      </w:pPr>
      <w:r w:rsidRPr="00411908">
        <w:rPr>
          <w:b/>
          <w:sz w:val="22"/>
          <w:szCs w:val="22"/>
        </w:rPr>
        <w:t>Proste przepisy na zarządzanie jedzeniem</w:t>
      </w:r>
    </w:p>
    <w:p w:rsidR="00411908" w:rsidRPr="00411908" w:rsidRDefault="00411908" w:rsidP="008A75B3">
      <w:pPr>
        <w:jc w:val="both"/>
        <w:rPr>
          <w:b/>
          <w:sz w:val="22"/>
          <w:szCs w:val="22"/>
        </w:rPr>
      </w:pPr>
    </w:p>
    <w:p w:rsidR="008A75B3" w:rsidRPr="00411908" w:rsidRDefault="000D4F11" w:rsidP="008A75B3">
      <w:pPr>
        <w:jc w:val="both"/>
        <w:rPr>
          <w:sz w:val="22"/>
          <w:szCs w:val="22"/>
        </w:rPr>
      </w:pPr>
      <w:r w:rsidRPr="00411908">
        <w:rPr>
          <w:sz w:val="22"/>
          <w:szCs w:val="22"/>
        </w:rPr>
        <w:t>Tymczasem, j</w:t>
      </w:r>
      <w:r w:rsidR="00625028" w:rsidRPr="00411908">
        <w:rPr>
          <w:sz w:val="22"/>
          <w:szCs w:val="22"/>
        </w:rPr>
        <w:t xml:space="preserve">ak argumentują eksperci, jeśli dobrze planuje się zakupy, można uniknąć 80 proc. problemów z popsutym jedzeniem. Wszystko zależy od dobrych chęci i budowania swojej świadomości w tym obszarze. Jedynie 24 proc. Polaków wie, że produkty, którym upłynął termin „daty minimalnej trwałości” nadal nadają się do spożycia. Bardzo prostym sposobem zagospodarowania niechcianych artykułów spożywczych, jest też przekazanie ich do banków żywności. Niestety, nie jest to zbyt popularne. Z marnotrawionych 9 mln ton do odpowiednich instytucji przekazywanych jest jedynie 65 tys. ton, czyli mniej niż 1 proc. Bardziej świadomi mogą zaangażować się w </w:t>
      </w:r>
      <w:proofErr w:type="spellStart"/>
      <w:r w:rsidR="00625028" w:rsidRPr="00411908">
        <w:rPr>
          <w:sz w:val="22"/>
          <w:szCs w:val="22"/>
        </w:rPr>
        <w:t>jadłodzielnie</w:t>
      </w:r>
      <w:proofErr w:type="spellEnd"/>
      <w:r w:rsidR="00625028" w:rsidRPr="00411908">
        <w:rPr>
          <w:sz w:val="22"/>
          <w:szCs w:val="22"/>
        </w:rPr>
        <w:t xml:space="preserve"> (</w:t>
      </w:r>
      <w:proofErr w:type="spellStart"/>
      <w:r w:rsidR="00625028" w:rsidRPr="00411908">
        <w:rPr>
          <w:sz w:val="22"/>
          <w:szCs w:val="22"/>
        </w:rPr>
        <w:t>foodsharing</w:t>
      </w:r>
      <w:proofErr w:type="spellEnd"/>
      <w:r w:rsidR="00625028" w:rsidRPr="00411908">
        <w:rPr>
          <w:sz w:val="22"/>
          <w:szCs w:val="22"/>
        </w:rPr>
        <w:t>). Polega to na dzieleniu się jedzeniem w wyznaczonych lodówkach, które są zlokalizowane w miejscach publicznych (np. w akademikach, przy sklepach).</w:t>
      </w:r>
      <w:r w:rsidRPr="00411908">
        <w:rPr>
          <w:sz w:val="22"/>
          <w:szCs w:val="22"/>
        </w:rPr>
        <w:t xml:space="preserve"> </w:t>
      </w:r>
      <w:r w:rsidR="008A75B3" w:rsidRPr="00411908">
        <w:rPr>
          <w:sz w:val="22"/>
          <w:szCs w:val="22"/>
        </w:rPr>
        <w:t xml:space="preserve">Część sklepów </w:t>
      </w:r>
      <w:r w:rsidRPr="00411908">
        <w:rPr>
          <w:sz w:val="22"/>
          <w:szCs w:val="22"/>
        </w:rPr>
        <w:t xml:space="preserve">również </w:t>
      </w:r>
      <w:r w:rsidR="008A75B3" w:rsidRPr="00411908">
        <w:rPr>
          <w:sz w:val="22"/>
          <w:szCs w:val="22"/>
        </w:rPr>
        <w:t xml:space="preserve">wychodzi </w:t>
      </w:r>
      <w:r w:rsidRPr="00411908">
        <w:rPr>
          <w:sz w:val="22"/>
          <w:szCs w:val="22"/>
        </w:rPr>
        <w:t xml:space="preserve">naprzeciw </w:t>
      </w:r>
      <w:r w:rsidR="008A75B3" w:rsidRPr="00411908">
        <w:rPr>
          <w:sz w:val="22"/>
          <w:szCs w:val="22"/>
        </w:rPr>
        <w:t xml:space="preserve">problemowi </w:t>
      </w:r>
      <w:r w:rsidR="007E5A16" w:rsidRPr="00411908">
        <w:rPr>
          <w:sz w:val="22"/>
          <w:szCs w:val="22"/>
        </w:rPr>
        <w:t>u</w:t>
      </w:r>
      <w:r w:rsidRPr="00411908">
        <w:rPr>
          <w:sz w:val="22"/>
          <w:szCs w:val="22"/>
        </w:rPr>
        <w:t>tra</w:t>
      </w:r>
      <w:r w:rsidR="007E5A16" w:rsidRPr="00411908">
        <w:rPr>
          <w:sz w:val="22"/>
          <w:szCs w:val="22"/>
        </w:rPr>
        <w:t xml:space="preserve">ty </w:t>
      </w:r>
      <w:r w:rsidRPr="00411908">
        <w:rPr>
          <w:sz w:val="22"/>
          <w:szCs w:val="22"/>
        </w:rPr>
        <w:t>termin</w:t>
      </w:r>
      <w:r w:rsidR="007E5A16" w:rsidRPr="00411908">
        <w:rPr>
          <w:sz w:val="22"/>
          <w:szCs w:val="22"/>
        </w:rPr>
        <w:t>u</w:t>
      </w:r>
      <w:r w:rsidRPr="00411908">
        <w:rPr>
          <w:sz w:val="22"/>
          <w:szCs w:val="22"/>
        </w:rPr>
        <w:t xml:space="preserve"> przydatności</w:t>
      </w:r>
      <w:r w:rsidR="007E5A16" w:rsidRPr="00411908">
        <w:rPr>
          <w:sz w:val="22"/>
          <w:szCs w:val="22"/>
        </w:rPr>
        <w:t xml:space="preserve"> posiadanego towaru </w:t>
      </w:r>
      <w:r w:rsidR="008A75B3" w:rsidRPr="00411908">
        <w:rPr>
          <w:sz w:val="22"/>
          <w:szCs w:val="22"/>
        </w:rPr>
        <w:t xml:space="preserve">przekazując produkty do banków żywności. Już niedługo ta kwestia powinna być uregulowana dzięki ustawie o przeciwdziałaniu marnowaniu żywności. Innym rozwiązaniem jest zmiana przyzwyczajeń kupujących. Jedna z obecnych na polskim rynku sieci supermarketów </w:t>
      </w:r>
      <w:r w:rsidR="00811EBD" w:rsidRPr="00411908">
        <w:rPr>
          <w:sz w:val="22"/>
          <w:szCs w:val="22"/>
        </w:rPr>
        <w:t xml:space="preserve">wdrożyła </w:t>
      </w:r>
      <w:r w:rsidR="008A75B3" w:rsidRPr="00411908">
        <w:rPr>
          <w:sz w:val="22"/>
          <w:szCs w:val="22"/>
        </w:rPr>
        <w:t>nawet aplikację</w:t>
      </w:r>
      <w:r w:rsidR="00811EBD" w:rsidRPr="00411908">
        <w:rPr>
          <w:sz w:val="22"/>
          <w:szCs w:val="22"/>
        </w:rPr>
        <w:t xml:space="preserve"> „Nie marnujemy żywności”</w:t>
      </w:r>
      <w:r w:rsidR="008A75B3" w:rsidRPr="00411908">
        <w:rPr>
          <w:sz w:val="22"/>
          <w:szCs w:val="22"/>
        </w:rPr>
        <w:t>, która pozwala klientom rozpoznać produkty z końc</w:t>
      </w:r>
      <w:r w:rsidR="007E5A16" w:rsidRPr="00411908">
        <w:rPr>
          <w:sz w:val="22"/>
          <w:szCs w:val="22"/>
        </w:rPr>
        <w:t xml:space="preserve">zącymi się terminami spożycia, </w:t>
      </w:r>
      <w:r w:rsidR="008A75B3" w:rsidRPr="00411908">
        <w:rPr>
          <w:sz w:val="22"/>
          <w:szCs w:val="22"/>
        </w:rPr>
        <w:t xml:space="preserve">oczywiście </w:t>
      </w:r>
      <w:r w:rsidR="007E5A16" w:rsidRPr="00411908">
        <w:rPr>
          <w:sz w:val="22"/>
          <w:szCs w:val="22"/>
        </w:rPr>
        <w:t>oferując je p</w:t>
      </w:r>
      <w:r w:rsidR="008A75B3" w:rsidRPr="00411908">
        <w:rPr>
          <w:sz w:val="22"/>
          <w:szCs w:val="22"/>
        </w:rPr>
        <w:t>o obniżonej cenie.</w:t>
      </w:r>
      <w:r w:rsidR="008A75B3" w:rsidRPr="00411908">
        <w:rPr>
          <w:rStyle w:val="Odwoanieprzypisudolnego"/>
          <w:sz w:val="22"/>
          <w:szCs w:val="22"/>
        </w:rPr>
        <w:t xml:space="preserve"> </w:t>
      </w:r>
      <w:r w:rsidR="008A75B3" w:rsidRPr="00411908">
        <w:rPr>
          <w:sz w:val="22"/>
          <w:szCs w:val="22"/>
        </w:rPr>
        <w:t xml:space="preserve">To rozwiązanie, na którym zyskują wszyscy. Sklep sprzedaje towar, który musiałby wyrzucić, a klient może </w:t>
      </w:r>
      <w:r w:rsidR="007E5A16" w:rsidRPr="00411908">
        <w:rPr>
          <w:sz w:val="22"/>
          <w:szCs w:val="22"/>
        </w:rPr>
        <w:t>zrobić zakupy taniej.</w:t>
      </w:r>
      <w:r w:rsidR="00CE79F9" w:rsidRPr="00411908">
        <w:rPr>
          <w:sz w:val="22"/>
          <w:szCs w:val="22"/>
        </w:rPr>
        <w:t xml:space="preserve"> </w:t>
      </w:r>
    </w:p>
    <w:p w:rsidR="007E5A16" w:rsidRPr="00411908" w:rsidRDefault="007E5A16" w:rsidP="00FA4E29">
      <w:pPr>
        <w:spacing w:after="200"/>
        <w:jc w:val="both"/>
        <w:rPr>
          <w:rFonts w:cs="Calibri"/>
          <w:color w:val="595959"/>
          <w:sz w:val="22"/>
          <w:szCs w:val="22"/>
        </w:rPr>
      </w:pPr>
    </w:p>
    <w:p w:rsidR="00260575" w:rsidRPr="00FA4E29" w:rsidRDefault="00FA4E29" w:rsidP="00FA4E29">
      <w:pPr>
        <w:spacing w:after="200"/>
        <w:jc w:val="both"/>
        <w:rPr>
          <w:rFonts w:ascii="Times New Roman" w:hAnsi="Times New Roman"/>
          <w:sz w:val="24"/>
        </w:rPr>
      </w:pPr>
      <w:r>
        <w:rPr>
          <w:rFonts w:ascii="Calibri" w:hAnsi="Calibri" w:cs="Calibri"/>
          <w:color w:val="595959"/>
          <w:sz w:val="16"/>
          <w:szCs w:val="16"/>
        </w:rPr>
        <w:t xml:space="preserve">*Badanie zrealizowane na zlecenie BIG InfoMonitor przez </w:t>
      </w:r>
      <w:proofErr w:type="spellStart"/>
      <w:r>
        <w:rPr>
          <w:rFonts w:ascii="Calibri" w:hAnsi="Calibri" w:cs="Calibri"/>
          <w:color w:val="595959"/>
          <w:sz w:val="16"/>
          <w:szCs w:val="16"/>
        </w:rPr>
        <w:t>Quality</w:t>
      </w:r>
      <w:proofErr w:type="spellEnd"/>
      <w:r>
        <w:rPr>
          <w:rFonts w:ascii="Calibri" w:hAnsi="Calibri" w:cs="Calibri"/>
          <w:color w:val="595959"/>
          <w:sz w:val="16"/>
          <w:szCs w:val="16"/>
        </w:rPr>
        <w:t xml:space="preserve"> Watch, techniką wywiadów internetowych (CAWI) wspomaganych komputerowo na reprezentatywnej próbie 1296 dorosłych mieszkańców Polski, listopad 2018 r.</w:t>
      </w:r>
    </w:p>
    <w:p w:rsidR="00E05371" w:rsidRPr="00CA6058" w:rsidRDefault="00E05371" w:rsidP="00EA33FC">
      <w:pPr>
        <w:spacing w:before="120"/>
        <w:jc w:val="both"/>
        <w:rPr>
          <w:bCs/>
          <w:color w:val="595959" w:themeColor="text1" w:themeTint="A6"/>
          <w:sz w:val="18"/>
          <w:szCs w:val="18"/>
        </w:rPr>
      </w:pPr>
      <w:r w:rsidRPr="00CA6058">
        <w:rPr>
          <w:b/>
          <w:bCs/>
          <w:color w:val="595959" w:themeColor="text1" w:themeTint="A6"/>
          <w:sz w:val="18"/>
          <w:szCs w:val="18"/>
        </w:rPr>
        <w:t xml:space="preserve">Biuro Informacji Gospodarczej InfoMonitor </w:t>
      </w:r>
      <w:r w:rsidRPr="00CA6058">
        <w:rPr>
          <w:bCs/>
          <w:color w:val="595959" w:themeColor="text1" w:themeTint="A6"/>
          <w:sz w:val="18"/>
          <w:szCs w:val="18"/>
        </w:rPr>
        <w:t>(BIG InfoMonitor) prowadzi Rejestr Dłużników BIG. Działając w oparciu o Ustawę o udostępnianiu informacji gospodarczych i wymianie danych gospodarczych przyjmuje, przechowuje i udostępnia informacje gospodarcze o przeterminowanym zadłużeniu osób i firm. BIG InfoMonitor umożliwia dostęp do baz: Biura Informacji Kredytowej i Związku Banków Polskich, dzięki czemu stanowi platformę wymiany informacji pomiędzy sektorem bankowym i pozostałymi sektorami gospodarki. Oferuje również sektorowi bankowemu i przedsiębiorcom narzędzia do weryfikowania wiarygodności płatniczej klientów i kontrahentów oraz wspiera ich w odzyskiwaniu zaległych należności. BIG InfoMonitor jest spółką zależną sektora bankowego - poprzez Biuro Informacji Kredytowej – swojego głównego akcjonariusza.</w:t>
      </w:r>
    </w:p>
    <w:p w:rsidR="00E05371" w:rsidRPr="00CA6058" w:rsidRDefault="00E05371" w:rsidP="00EA33FC">
      <w:pPr>
        <w:spacing w:after="120"/>
        <w:ind w:left="1423"/>
        <w:contextualSpacing/>
        <w:jc w:val="both"/>
      </w:pPr>
    </w:p>
    <w:p w:rsidR="00E05371" w:rsidRDefault="00E05371" w:rsidP="00EA33FC">
      <w:pPr>
        <w:spacing w:after="60"/>
        <w:jc w:val="both"/>
        <w:rPr>
          <w:rFonts w:cs="Arial"/>
          <w:b/>
          <w:color w:val="595959" w:themeColor="text1" w:themeTint="A6"/>
          <w:sz w:val="18"/>
          <w:szCs w:val="18"/>
        </w:rPr>
      </w:pPr>
      <w:r w:rsidRPr="00F303A7">
        <w:rPr>
          <w:rFonts w:cs="Arial"/>
          <w:b/>
          <w:color w:val="595959" w:themeColor="text1" w:themeTint="A6"/>
          <w:sz w:val="18"/>
          <w:szCs w:val="18"/>
        </w:rPr>
        <w:t>Kontakt dla prasy:</w:t>
      </w:r>
    </w:p>
    <w:p w:rsidR="00E05371" w:rsidRPr="00F303A7" w:rsidRDefault="00E05371" w:rsidP="00EA33FC">
      <w:pPr>
        <w:spacing w:after="60"/>
        <w:jc w:val="both"/>
        <w:rPr>
          <w:rFonts w:cs="Arial"/>
          <w:b/>
          <w:color w:val="595959" w:themeColor="text1" w:themeTint="A6"/>
          <w:sz w:val="18"/>
          <w:szCs w:val="18"/>
        </w:rPr>
      </w:pPr>
    </w:p>
    <w:tbl>
      <w:tblPr>
        <w:tblW w:w="0" w:type="auto"/>
        <w:tblLook w:val="04A0" w:firstRow="1" w:lastRow="0" w:firstColumn="1" w:lastColumn="0" w:noHBand="0" w:noVBand="1"/>
      </w:tblPr>
      <w:tblGrid>
        <w:gridCol w:w="4606"/>
        <w:gridCol w:w="4606"/>
      </w:tblGrid>
      <w:tr w:rsidR="00E05371" w:rsidRPr="00F303A7" w:rsidTr="007D4158">
        <w:tc>
          <w:tcPr>
            <w:tcW w:w="4606" w:type="dxa"/>
            <w:hideMark/>
          </w:tcPr>
          <w:p w:rsidR="00E05371" w:rsidRPr="00F303A7" w:rsidRDefault="00E05371" w:rsidP="00EA33FC">
            <w:pPr>
              <w:ind w:left="-108"/>
              <w:jc w:val="both"/>
              <w:rPr>
                <w:rFonts w:cs="Arial"/>
                <w:b/>
                <w:color w:val="595959" w:themeColor="text1" w:themeTint="A6"/>
                <w:sz w:val="18"/>
                <w:szCs w:val="18"/>
              </w:rPr>
            </w:pPr>
            <w:r w:rsidRPr="00F303A7">
              <w:rPr>
                <w:rFonts w:cs="Arial"/>
                <w:b/>
                <w:color w:val="595959" w:themeColor="text1" w:themeTint="A6"/>
                <w:sz w:val="18"/>
                <w:szCs w:val="18"/>
              </w:rPr>
              <w:t>Halina Kochalska</w:t>
            </w:r>
          </w:p>
          <w:p w:rsidR="00E05371" w:rsidRPr="00F303A7" w:rsidRDefault="00E05371" w:rsidP="00EA33FC">
            <w:pPr>
              <w:ind w:left="-108"/>
              <w:jc w:val="both"/>
              <w:rPr>
                <w:rFonts w:cs="Arial"/>
                <w:color w:val="595959" w:themeColor="text1" w:themeTint="A6"/>
                <w:sz w:val="18"/>
                <w:szCs w:val="18"/>
              </w:rPr>
            </w:pPr>
            <w:r w:rsidRPr="00F303A7">
              <w:rPr>
                <w:rFonts w:cs="Arial"/>
                <w:color w:val="595959" w:themeColor="text1" w:themeTint="A6"/>
                <w:sz w:val="18"/>
                <w:szCs w:val="18"/>
              </w:rPr>
              <w:t>Rzecznik Prasowy</w:t>
            </w:r>
          </w:p>
          <w:p w:rsidR="00E05371" w:rsidRPr="00F303A7" w:rsidRDefault="00E05371" w:rsidP="00EA33FC">
            <w:pPr>
              <w:ind w:left="-108"/>
              <w:jc w:val="both"/>
              <w:rPr>
                <w:rFonts w:cs="Arial"/>
                <w:color w:val="595959" w:themeColor="text1" w:themeTint="A6"/>
                <w:sz w:val="18"/>
                <w:szCs w:val="18"/>
              </w:rPr>
            </w:pPr>
            <w:r w:rsidRPr="00F303A7">
              <w:rPr>
                <w:rFonts w:cs="Arial"/>
                <w:color w:val="595959" w:themeColor="text1" w:themeTint="A6"/>
                <w:sz w:val="18"/>
                <w:szCs w:val="18"/>
              </w:rPr>
              <w:t>tel.: +48 22 486 56 16</w:t>
            </w:r>
          </w:p>
          <w:p w:rsidR="00E05371" w:rsidRPr="00F303A7" w:rsidRDefault="00E05371" w:rsidP="00EA33FC">
            <w:pPr>
              <w:ind w:left="-108"/>
              <w:jc w:val="both"/>
              <w:rPr>
                <w:rFonts w:cs="Arial"/>
                <w:color w:val="595959" w:themeColor="text1" w:themeTint="A6"/>
                <w:sz w:val="18"/>
                <w:szCs w:val="18"/>
              </w:rPr>
            </w:pPr>
            <w:r w:rsidRPr="00F303A7">
              <w:rPr>
                <w:rFonts w:cs="Arial"/>
                <w:color w:val="595959" w:themeColor="text1" w:themeTint="A6"/>
                <w:sz w:val="18"/>
                <w:szCs w:val="18"/>
              </w:rPr>
              <w:t>kom.: + 48 602 601 010</w:t>
            </w:r>
          </w:p>
          <w:p w:rsidR="00E05371" w:rsidRPr="00F303A7" w:rsidRDefault="00AF24F5" w:rsidP="00EA33FC">
            <w:pPr>
              <w:ind w:left="-108"/>
              <w:jc w:val="both"/>
              <w:rPr>
                <w:rFonts w:cs="Arial"/>
                <w:color w:val="595959" w:themeColor="text1" w:themeTint="A6"/>
                <w:sz w:val="18"/>
                <w:szCs w:val="18"/>
              </w:rPr>
            </w:pPr>
            <w:hyperlink r:id="rId12" w:history="1">
              <w:r w:rsidR="00E05371" w:rsidRPr="00F303A7">
                <w:rPr>
                  <w:color w:val="595959" w:themeColor="text1" w:themeTint="A6"/>
                  <w:sz w:val="18"/>
                  <w:szCs w:val="18"/>
                </w:rPr>
                <w:t>Halina.Kochalska@big.pl</w:t>
              </w:r>
            </w:hyperlink>
          </w:p>
        </w:tc>
        <w:tc>
          <w:tcPr>
            <w:tcW w:w="4606" w:type="dxa"/>
            <w:hideMark/>
          </w:tcPr>
          <w:p w:rsidR="00E05371" w:rsidRPr="00F303A7" w:rsidRDefault="00E05371" w:rsidP="00EA33FC">
            <w:pPr>
              <w:jc w:val="both"/>
              <w:rPr>
                <w:rFonts w:cs="Arial"/>
                <w:b/>
                <w:color w:val="595959" w:themeColor="text1" w:themeTint="A6"/>
                <w:sz w:val="18"/>
                <w:szCs w:val="18"/>
              </w:rPr>
            </w:pPr>
            <w:r w:rsidRPr="00F303A7">
              <w:rPr>
                <w:rFonts w:cs="Arial"/>
                <w:b/>
                <w:color w:val="595959" w:themeColor="text1" w:themeTint="A6"/>
                <w:sz w:val="18"/>
                <w:szCs w:val="18"/>
              </w:rPr>
              <w:t>Diana Borowiecka</w:t>
            </w:r>
          </w:p>
          <w:p w:rsidR="00E05371" w:rsidRPr="00F303A7" w:rsidRDefault="00E05371" w:rsidP="00EA33FC">
            <w:pPr>
              <w:jc w:val="both"/>
              <w:rPr>
                <w:rFonts w:cs="Arial"/>
                <w:color w:val="595959" w:themeColor="text1" w:themeTint="A6"/>
                <w:sz w:val="18"/>
                <w:szCs w:val="18"/>
              </w:rPr>
            </w:pPr>
            <w:r w:rsidRPr="00F303A7">
              <w:rPr>
                <w:rFonts w:cs="Arial"/>
                <w:color w:val="595959" w:themeColor="text1" w:themeTint="A6"/>
                <w:sz w:val="18"/>
                <w:szCs w:val="18"/>
              </w:rPr>
              <w:t>Biuro PR i Komunikacji</w:t>
            </w:r>
          </w:p>
          <w:p w:rsidR="00E05371" w:rsidRPr="00F303A7" w:rsidRDefault="00E05371" w:rsidP="00EA33FC">
            <w:pPr>
              <w:jc w:val="both"/>
              <w:rPr>
                <w:rFonts w:cs="Arial"/>
                <w:color w:val="595959" w:themeColor="text1" w:themeTint="A6"/>
                <w:sz w:val="18"/>
                <w:szCs w:val="18"/>
              </w:rPr>
            </w:pPr>
            <w:r w:rsidRPr="00F303A7">
              <w:rPr>
                <w:rFonts w:cs="Arial"/>
                <w:color w:val="595959" w:themeColor="text1" w:themeTint="A6"/>
                <w:sz w:val="18"/>
                <w:szCs w:val="18"/>
              </w:rPr>
              <w:t>tel.: +48 22 486 56 46</w:t>
            </w:r>
          </w:p>
          <w:p w:rsidR="00E05371" w:rsidRPr="00F303A7" w:rsidRDefault="00E05371" w:rsidP="00EA33FC">
            <w:pPr>
              <w:jc w:val="both"/>
              <w:rPr>
                <w:rFonts w:cs="Arial"/>
                <w:color w:val="595959" w:themeColor="text1" w:themeTint="A6"/>
                <w:sz w:val="18"/>
                <w:szCs w:val="18"/>
              </w:rPr>
            </w:pPr>
            <w:r w:rsidRPr="00F303A7">
              <w:rPr>
                <w:rFonts w:cs="Arial"/>
                <w:color w:val="595959" w:themeColor="text1" w:themeTint="A6"/>
                <w:sz w:val="18"/>
                <w:szCs w:val="18"/>
              </w:rPr>
              <w:t>kom.: + 48 607 146 583</w:t>
            </w:r>
          </w:p>
          <w:p w:rsidR="00E05371" w:rsidRPr="00F303A7" w:rsidRDefault="00AF24F5" w:rsidP="00EA33FC">
            <w:pPr>
              <w:jc w:val="both"/>
              <w:rPr>
                <w:rFonts w:cs="Arial"/>
                <w:color w:val="595959" w:themeColor="text1" w:themeTint="A6"/>
                <w:sz w:val="18"/>
                <w:szCs w:val="18"/>
              </w:rPr>
            </w:pPr>
            <w:hyperlink r:id="rId13" w:history="1">
              <w:r w:rsidR="00E05371" w:rsidRPr="00F303A7">
                <w:rPr>
                  <w:color w:val="595959" w:themeColor="text1" w:themeTint="A6"/>
                  <w:sz w:val="18"/>
                  <w:szCs w:val="18"/>
                </w:rPr>
                <w:t>Diana.Borowiecka@big.pl</w:t>
              </w:r>
            </w:hyperlink>
            <w:r w:rsidR="00E05371" w:rsidRPr="00F303A7">
              <w:rPr>
                <w:rFonts w:cs="Arial"/>
                <w:color w:val="595959" w:themeColor="text1" w:themeTint="A6"/>
                <w:sz w:val="18"/>
                <w:szCs w:val="18"/>
              </w:rPr>
              <w:t xml:space="preserve"> </w:t>
            </w:r>
          </w:p>
        </w:tc>
      </w:tr>
    </w:tbl>
    <w:p w:rsidR="00517C2D" w:rsidRDefault="00AF24F5" w:rsidP="00EA33FC">
      <w:pPr>
        <w:jc w:val="both"/>
      </w:pPr>
    </w:p>
    <w:sectPr w:rsidR="00517C2D" w:rsidSect="003E4F9A">
      <w:headerReference w:type="default" r:id="rId14"/>
      <w:footerReference w:type="even" r:id="rId15"/>
      <w:footerReference w:type="default" r:id="rId16"/>
      <w:headerReference w:type="first" r:id="rId17"/>
      <w:pgSz w:w="11906" w:h="16838" w:code="9"/>
      <w:pgMar w:top="2180" w:right="1417" w:bottom="1417" w:left="1417"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F5" w:rsidRDefault="00AF24F5">
      <w:r>
        <w:separator/>
      </w:r>
    </w:p>
  </w:endnote>
  <w:endnote w:type="continuationSeparator" w:id="0">
    <w:p w:rsidR="00AF24F5" w:rsidRDefault="00AF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6" w:rsidRDefault="00375ACB" w:rsidP="00314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3A26" w:rsidRDefault="00AF24F5" w:rsidP="00DB3A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6" w:rsidRDefault="00375ACB" w:rsidP="00314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C401A">
      <w:rPr>
        <w:rStyle w:val="Numerstrony"/>
        <w:noProof/>
      </w:rPr>
      <w:t>2</w:t>
    </w:r>
    <w:r>
      <w:rPr>
        <w:rStyle w:val="Numerstrony"/>
      </w:rPr>
      <w:fldChar w:fldCharType="end"/>
    </w:r>
  </w:p>
  <w:p w:rsidR="00C44FC5" w:rsidRPr="00D94BC7" w:rsidRDefault="00AF24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F5" w:rsidRDefault="00AF24F5">
      <w:r>
        <w:separator/>
      </w:r>
    </w:p>
  </w:footnote>
  <w:footnote w:type="continuationSeparator" w:id="0">
    <w:p w:rsidR="00AF24F5" w:rsidRDefault="00AF2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25" w:rsidRDefault="00375ACB" w:rsidP="003F47E5">
    <w:pPr>
      <w:pStyle w:val="Nagwek"/>
    </w:pPr>
    <w:r>
      <w:rPr>
        <w:noProof/>
      </w:rPr>
      <w:drawing>
        <wp:anchor distT="0" distB="0" distL="114300" distR="114300" simplePos="0" relativeHeight="251659264" behindDoc="0" locked="0" layoutInCell="1" allowOverlap="1" wp14:anchorId="3305650D" wp14:editId="71026B94">
          <wp:simplePos x="0" y="0"/>
          <wp:positionH relativeFrom="column">
            <wp:posOffset>4500245</wp:posOffset>
          </wp:positionH>
          <wp:positionV relativeFrom="paragraph">
            <wp:posOffset>274081</wp:posOffset>
          </wp:positionV>
          <wp:extent cx="1144905" cy="486410"/>
          <wp:effectExtent l="0" t="0" r="0" b="8890"/>
          <wp:wrapSquare wrapText="bothSides"/>
          <wp:docPr id="64" name="Obraz 64" descr="LogoBIG_pr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G_pr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4864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C5" w:rsidRDefault="00375ACB">
    <w:pPr>
      <w:pStyle w:val="Nagwek"/>
    </w:pPr>
    <w:r>
      <w:rPr>
        <w:noProof/>
      </w:rPr>
      <w:drawing>
        <wp:anchor distT="0" distB="0" distL="114300" distR="114300" simplePos="0" relativeHeight="251657216" behindDoc="0" locked="0" layoutInCell="1" allowOverlap="1" wp14:anchorId="04E5EE07" wp14:editId="03E92D2E">
          <wp:simplePos x="0" y="0"/>
          <wp:positionH relativeFrom="column">
            <wp:posOffset>4194175</wp:posOffset>
          </wp:positionH>
          <wp:positionV relativeFrom="paragraph">
            <wp:posOffset>35428</wp:posOffset>
          </wp:positionV>
          <wp:extent cx="1522730" cy="647065"/>
          <wp:effectExtent l="0" t="0" r="1270" b="635"/>
          <wp:wrapSquare wrapText="bothSides"/>
          <wp:docPr id="65" name="Obraz 65" descr="LogoBIG_pr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G_pr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47065"/>
                  </a:xfrm>
                  <a:prstGeom prst="rect">
                    <a:avLst/>
                  </a:prstGeom>
                  <a:noFill/>
                </pic:spPr>
              </pic:pic>
            </a:graphicData>
          </a:graphic>
          <wp14:sizeRelH relativeFrom="page">
            <wp14:pctWidth>0</wp14:pctWidth>
          </wp14:sizeRelH>
          <wp14:sizeRelV relativeFrom="page">
            <wp14:pctHeight>0</wp14:pctHeight>
          </wp14:sizeRelV>
        </wp:anchor>
      </w:drawing>
    </w:r>
  </w:p>
  <w:p w:rsidR="00926ACD" w:rsidRDefault="00AF24F5">
    <w:pPr>
      <w:pStyle w:val="Nagwek"/>
    </w:pPr>
  </w:p>
  <w:p w:rsidR="006E7F0C" w:rsidRDefault="00AF24F5">
    <w:pPr>
      <w:pStyle w:val="Nagwek"/>
    </w:pPr>
  </w:p>
  <w:p w:rsidR="00085155" w:rsidRPr="00695EB6" w:rsidRDefault="00375ACB">
    <w:pPr>
      <w:pStyle w:val="Nagwek"/>
      <w:rPr>
        <w:b/>
        <w:sz w:val="24"/>
      </w:rPr>
    </w:pPr>
    <w:r w:rsidRPr="00695EB6">
      <w:rPr>
        <w:b/>
        <w:sz w:val="24"/>
      </w:rPr>
      <w:t>Informacja prasowa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D7F"/>
    <w:multiLevelType w:val="hybridMultilevel"/>
    <w:tmpl w:val="C8D06654"/>
    <w:lvl w:ilvl="0" w:tplc="0D302F7C">
      <w:start w:val="1"/>
      <w:numFmt w:val="bullet"/>
      <w:lvlText w:val=""/>
      <w:lvlJc w:val="left"/>
      <w:pPr>
        <w:tabs>
          <w:tab w:val="num" w:pos="720"/>
        </w:tabs>
        <w:ind w:left="720" w:hanging="360"/>
      </w:pPr>
      <w:rPr>
        <w:rFonts w:ascii="Wingdings" w:hAnsi="Wingdings" w:hint="default"/>
      </w:rPr>
    </w:lvl>
    <w:lvl w:ilvl="1" w:tplc="F3EC6474" w:tentative="1">
      <w:start w:val="1"/>
      <w:numFmt w:val="bullet"/>
      <w:lvlText w:val=""/>
      <w:lvlJc w:val="left"/>
      <w:pPr>
        <w:tabs>
          <w:tab w:val="num" w:pos="1440"/>
        </w:tabs>
        <w:ind w:left="1440" w:hanging="360"/>
      </w:pPr>
      <w:rPr>
        <w:rFonts w:ascii="Wingdings" w:hAnsi="Wingdings" w:hint="default"/>
      </w:rPr>
    </w:lvl>
    <w:lvl w:ilvl="2" w:tplc="4F700FB4" w:tentative="1">
      <w:start w:val="1"/>
      <w:numFmt w:val="bullet"/>
      <w:lvlText w:val=""/>
      <w:lvlJc w:val="left"/>
      <w:pPr>
        <w:tabs>
          <w:tab w:val="num" w:pos="2160"/>
        </w:tabs>
        <w:ind w:left="2160" w:hanging="360"/>
      </w:pPr>
      <w:rPr>
        <w:rFonts w:ascii="Wingdings" w:hAnsi="Wingdings" w:hint="default"/>
      </w:rPr>
    </w:lvl>
    <w:lvl w:ilvl="3" w:tplc="B88EB98C" w:tentative="1">
      <w:start w:val="1"/>
      <w:numFmt w:val="bullet"/>
      <w:lvlText w:val=""/>
      <w:lvlJc w:val="left"/>
      <w:pPr>
        <w:tabs>
          <w:tab w:val="num" w:pos="2880"/>
        </w:tabs>
        <w:ind w:left="2880" w:hanging="360"/>
      </w:pPr>
      <w:rPr>
        <w:rFonts w:ascii="Wingdings" w:hAnsi="Wingdings" w:hint="default"/>
      </w:rPr>
    </w:lvl>
    <w:lvl w:ilvl="4" w:tplc="E4F890E8" w:tentative="1">
      <w:start w:val="1"/>
      <w:numFmt w:val="bullet"/>
      <w:lvlText w:val=""/>
      <w:lvlJc w:val="left"/>
      <w:pPr>
        <w:tabs>
          <w:tab w:val="num" w:pos="3600"/>
        </w:tabs>
        <w:ind w:left="3600" w:hanging="360"/>
      </w:pPr>
      <w:rPr>
        <w:rFonts w:ascii="Wingdings" w:hAnsi="Wingdings" w:hint="default"/>
      </w:rPr>
    </w:lvl>
    <w:lvl w:ilvl="5" w:tplc="ABEAABB8" w:tentative="1">
      <w:start w:val="1"/>
      <w:numFmt w:val="bullet"/>
      <w:lvlText w:val=""/>
      <w:lvlJc w:val="left"/>
      <w:pPr>
        <w:tabs>
          <w:tab w:val="num" w:pos="4320"/>
        </w:tabs>
        <w:ind w:left="4320" w:hanging="360"/>
      </w:pPr>
      <w:rPr>
        <w:rFonts w:ascii="Wingdings" w:hAnsi="Wingdings" w:hint="default"/>
      </w:rPr>
    </w:lvl>
    <w:lvl w:ilvl="6" w:tplc="1F4AACB8" w:tentative="1">
      <w:start w:val="1"/>
      <w:numFmt w:val="bullet"/>
      <w:lvlText w:val=""/>
      <w:lvlJc w:val="left"/>
      <w:pPr>
        <w:tabs>
          <w:tab w:val="num" w:pos="5040"/>
        </w:tabs>
        <w:ind w:left="5040" w:hanging="360"/>
      </w:pPr>
      <w:rPr>
        <w:rFonts w:ascii="Wingdings" w:hAnsi="Wingdings" w:hint="default"/>
      </w:rPr>
    </w:lvl>
    <w:lvl w:ilvl="7" w:tplc="7FAC8F46" w:tentative="1">
      <w:start w:val="1"/>
      <w:numFmt w:val="bullet"/>
      <w:lvlText w:val=""/>
      <w:lvlJc w:val="left"/>
      <w:pPr>
        <w:tabs>
          <w:tab w:val="num" w:pos="5760"/>
        </w:tabs>
        <w:ind w:left="5760" w:hanging="360"/>
      </w:pPr>
      <w:rPr>
        <w:rFonts w:ascii="Wingdings" w:hAnsi="Wingdings" w:hint="default"/>
      </w:rPr>
    </w:lvl>
    <w:lvl w:ilvl="8" w:tplc="09C40E34" w:tentative="1">
      <w:start w:val="1"/>
      <w:numFmt w:val="bullet"/>
      <w:lvlText w:val=""/>
      <w:lvlJc w:val="left"/>
      <w:pPr>
        <w:tabs>
          <w:tab w:val="num" w:pos="6480"/>
        </w:tabs>
        <w:ind w:left="6480" w:hanging="360"/>
      </w:pPr>
      <w:rPr>
        <w:rFonts w:ascii="Wingdings" w:hAnsi="Wingdings" w:hint="default"/>
      </w:rPr>
    </w:lvl>
  </w:abstractNum>
  <w:abstractNum w:abstractNumId="1">
    <w:nsid w:val="2C5C0C11"/>
    <w:multiLevelType w:val="hybridMultilevel"/>
    <w:tmpl w:val="248EE460"/>
    <w:lvl w:ilvl="0" w:tplc="D5E673C6">
      <w:start w:val="1"/>
      <w:numFmt w:val="bullet"/>
      <w:lvlText w:val=""/>
      <w:lvlJc w:val="left"/>
      <w:pPr>
        <w:tabs>
          <w:tab w:val="num" w:pos="720"/>
        </w:tabs>
        <w:ind w:left="720" w:hanging="360"/>
      </w:pPr>
      <w:rPr>
        <w:rFonts w:ascii="Wingdings" w:hAnsi="Wingdings" w:hint="default"/>
      </w:rPr>
    </w:lvl>
    <w:lvl w:ilvl="1" w:tplc="E9EEECCC" w:tentative="1">
      <w:start w:val="1"/>
      <w:numFmt w:val="bullet"/>
      <w:lvlText w:val=""/>
      <w:lvlJc w:val="left"/>
      <w:pPr>
        <w:tabs>
          <w:tab w:val="num" w:pos="1440"/>
        </w:tabs>
        <w:ind w:left="1440" w:hanging="360"/>
      </w:pPr>
      <w:rPr>
        <w:rFonts w:ascii="Wingdings" w:hAnsi="Wingdings" w:hint="default"/>
      </w:rPr>
    </w:lvl>
    <w:lvl w:ilvl="2" w:tplc="066EF3BA" w:tentative="1">
      <w:start w:val="1"/>
      <w:numFmt w:val="bullet"/>
      <w:lvlText w:val=""/>
      <w:lvlJc w:val="left"/>
      <w:pPr>
        <w:tabs>
          <w:tab w:val="num" w:pos="2160"/>
        </w:tabs>
        <w:ind w:left="2160" w:hanging="360"/>
      </w:pPr>
      <w:rPr>
        <w:rFonts w:ascii="Wingdings" w:hAnsi="Wingdings" w:hint="default"/>
      </w:rPr>
    </w:lvl>
    <w:lvl w:ilvl="3" w:tplc="BEEC1276" w:tentative="1">
      <w:start w:val="1"/>
      <w:numFmt w:val="bullet"/>
      <w:lvlText w:val=""/>
      <w:lvlJc w:val="left"/>
      <w:pPr>
        <w:tabs>
          <w:tab w:val="num" w:pos="2880"/>
        </w:tabs>
        <w:ind w:left="2880" w:hanging="360"/>
      </w:pPr>
      <w:rPr>
        <w:rFonts w:ascii="Wingdings" w:hAnsi="Wingdings" w:hint="default"/>
      </w:rPr>
    </w:lvl>
    <w:lvl w:ilvl="4" w:tplc="BB6E1610" w:tentative="1">
      <w:start w:val="1"/>
      <w:numFmt w:val="bullet"/>
      <w:lvlText w:val=""/>
      <w:lvlJc w:val="left"/>
      <w:pPr>
        <w:tabs>
          <w:tab w:val="num" w:pos="3600"/>
        </w:tabs>
        <w:ind w:left="3600" w:hanging="360"/>
      </w:pPr>
      <w:rPr>
        <w:rFonts w:ascii="Wingdings" w:hAnsi="Wingdings" w:hint="default"/>
      </w:rPr>
    </w:lvl>
    <w:lvl w:ilvl="5" w:tplc="B022A690" w:tentative="1">
      <w:start w:val="1"/>
      <w:numFmt w:val="bullet"/>
      <w:lvlText w:val=""/>
      <w:lvlJc w:val="left"/>
      <w:pPr>
        <w:tabs>
          <w:tab w:val="num" w:pos="4320"/>
        </w:tabs>
        <w:ind w:left="4320" w:hanging="360"/>
      </w:pPr>
      <w:rPr>
        <w:rFonts w:ascii="Wingdings" w:hAnsi="Wingdings" w:hint="default"/>
      </w:rPr>
    </w:lvl>
    <w:lvl w:ilvl="6" w:tplc="5E9E5014" w:tentative="1">
      <w:start w:val="1"/>
      <w:numFmt w:val="bullet"/>
      <w:lvlText w:val=""/>
      <w:lvlJc w:val="left"/>
      <w:pPr>
        <w:tabs>
          <w:tab w:val="num" w:pos="5040"/>
        </w:tabs>
        <w:ind w:left="5040" w:hanging="360"/>
      </w:pPr>
      <w:rPr>
        <w:rFonts w:ascii="Wingdings" w:hAnsi="Wingdings" w:hint="default"/>
      </w:rPr>
    </w:lvl>
    <w:lvl w:ilvl="7" w:tplc="60B2F146" w:tentative="1">
      <w:start w:val="1"/>
      <w:numFmt w:val="bullet"/>
      <w:lvlText w:val=""/>
      <w:lvlJc w:val="left"/>
      <w:pPr>
        <w:tabs>
          <w:tab w:val="num" w:pos="5760"/>
        </w:tabs>
        <w:ind w:left="5760" w:hanging="360"/>
      </w:pPr>
      <w:rPr>
        <w:rFonts w:ascii="Wingdings" w:hAnsi="Wingdings" w:hint="default"/>
      </w:rPr>
    </w:lvl>
    <w:lvl w:ilvl="8" w:tplc="D30C19FC" w:tentative="1">
      <w:start w:val="1"/>
      <w:numFmt w:val="bullet"/>
      <w:lvlText w:val=""/>
      <w:lvlJc w:val="left"/>
      <w:pPr>
        <w:tabs>
          <w:tab w:val="num" w:pos="6480"/>
        </w:tabs>
        <w:ind w:left="6480" w:hanging="360"/>
      </w:pPr>
      <w:rPr>
        <w:rFonts w:ascii="Wingdings" w:hAnsi="Wingdings" w:hint="default"/>
      </w:rPr>
    </w:lvl>
  </w:abstractNum>
  <w:abstractNum w:abstractNumId="2">
    <w:nsid w:val="37D10669"/>
    <w:multiLevelType w:val="hybridMultilevel"/>
    <w:tmpl w:val="33BC3286"/>
    <w:lvl w:ilvl="0" w:tplc="CB203BCC">
      <w:start w:val="1"/>
      <w:numFmt w:val="bullet"/>
      <w:lvlText w:val=""/>
      <w:lvlJc w:val="left"/>
      <w:pPr>
        <w:tabs>
          <w:tab w:val="num" w:pos="720"/>
        </w:tabs>
        <w:ind w:left="720" w:hanging="360"/>
      </w:pPr>
      <w:rPr>
        <w:rFonts w:ascii="Wingdings" w:hAnsi="Wingdings" w:hint="default"/>
      </w:rPr>
    </w:lvl>
    <w:lvl w:ilvl="1" w:tplc="8562969A" w:tentative="1">
      <w:start w:val="1"/>
      <w:numFmt w:val="bullet"/>
      <w:lvlText w:val=""/>
      <w:lvlJc w:val="left"/>
      <w:pPr>
        <w:tabs>
          <w:tab w:val="num" w:pos="1440"/>
        </w:tabs>
        <w:ind w:left="1440" w:hanging="360"/>
      </w:pPr>
      <w:rPr>
        <w:rFonts w:ascii="Wingdings" w:hAnsi="Wingdings" w:hint="default"/>
      </w:rPr>
    </w:lvl>
    <w:lvl w:ilvl="2" w:tplc="033A1FDA" w:tentative="1">
      <w:start w:val="1"/>
      <w:numFmt w:val="bullet"/>
      <w:lvlText w:val=""/>
      <w:lvlJc w:val="left"/>
      <w:pPr>
        <w:tabs>
          <w:tab w:val="num" w:pos="2160"/>
        </w:tabs>
        <w:ind w:left="2160" w:hanging="360"/>
      </w:pPr>
      <w:rPr>
        <w:rFonts w:ascii="Wingdings" w:hAnsi="Wingdings" w:hint="default"/>
      </w:rPr>
    </w:lvl>
    <w:lvl w:ilvl="3" w:tplc="62DE5CD2" w:tentative="1">
      <w:start w:val="1"/>
      <w:numFmt w:val="bullet"/>
      <w:lvlText w:val=""/>
      <w:lvlJc w:val="left"/>
      <w:pPr>
        <w:tabs>
          <w:tab w:val="num" w:pos="2880"/>
        </w:tabs>
        <w:ind w:left="2880" w:hanging="360"/>
      </w:pPr>
      <w:rPr>
        <w:rFonts w:ascii="Wingdings" w:hAnsi="Wingdings" w:hint="default"/>
      </w:rPr>
    </w:lvl>
    <w:lvl w:ilvl="4" w:tplc="4D68FC2E" w:tentative="1">
      <w:start w:val="1"/>
      <w:numFmt w:val="bullet"/>
      <w:lvlText w:val=""/>
      <w:lvlJc w:val="left"/>
      <w:pPr>
        <w:tabs>
          <w:tab w:val="num" w:pos="3600"/>
        </w:tabs>
        <w:ind w:left="3600" w:hanging="360"/>
      </w:pPr>
      <w:rPr>
        <w:rFonts w:ascii="Wingdings" w:hAnsi="Wingdings" w:hint="default"/>
      </w:rPr>
    </w:lvl>
    <w:lvl w:ilvl="5" w:tplc="1E420B16" w:tentative="1">
      <w:start w:val="1"/>
      <w:numFmt w:val="bullet"/>
      <w:lvlText w:val=""/>
      <w:lvlJc w:val="left"/>
      <w:pPr>
        <w:tabs>
          <w:tab w:val="num" w:pos="4320"/>
        </w:tabs>
        <w:ind w:left="4320" w:hanging="360"/>
      </w:pPr>
      <w:rPr>
        <w:rFonts w:ascii="Wingdings" w:hAnsi="Wingdings" w:hint="default"/>
      </w:rPr>
    </w:lvl>
    <w:lvl w:ilvl="6" w:tplc="BF44062A" w:tentative="1">
      <w:start w:val="1"/>
      <w:numFmt w:val="bullet"/>
      <w:lvlText w:val=""/>
      <w:lvlJc w:val="left"/>
      <w:pPr>
        <w:tabs>
          <w:tab w:val="num" w:pos="5040"/>
        </w:tabs>
        <w:ind w:left="5040" w:hanging="360"/>
      </w:pPr>
      <w:rPr>
        <w:rFonts w:ascii="Wingdings" w:hAnsi="Wingdings" w:hint="default"/>
      </w:rPr>
    </w:lvl>
    <w:lvl w:ilvl="7" w:tplc="F51CC976" w:tentative="1">
      <w:start w:val="1"/>
      <w:numFmt w:val="bullet"/>
      <w:lvlText w:val=""/>
      <w:lvlJc w:val="left"/>
      <w:pPr>
        <w:tabs>
          <w:tab w:val="num" w:pos="5760"/>
        </w:tabs>
        <w:ind w:left="5760" w:hanging="360"/>
      </w:pPr>
      <w:rPr>
        <w:rFonts w:ascii="Wingdings" w:hAnsi="Wingdings" w:hint="default"/>
      </w:rPr>
    </w:lvl>
    <w:lvl w:ilvl="8" w:tplc="679E6EDC" w:tentative="1">
      <w:start w:val="1"/>
      <w:numFmt w:val="bullet"/>
      <w:lvlText w:val=""/>
      <w:lvlJc w:val="left"/>
      <w:pPr>
        <w:tabs>
          <w:tab w:val="num" w:pos="6480"/>
        </w:tabs>
        <w:ind w:left="6480" w:hanging="360"/>
      </w:pPr>
      <w:rPr>
        <w:rFonts w:ascii="Wingdings" w:hAnsi="Wingdings" w:hint="default"/>
      </w:rPr>
    </w:lvl>
  </w:abstractNum>
  <w:abstractNum w:abstractNumId="3">
    <w:nsid w:val="3BBC6DFB"/>
    <w:multiLevelType w:val="hybridMultilevel"/>
    <w:tmpl w:val="16BA304C"/>
    <w:lvl w:ilvl="0" w:tplc="12C0D11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1"/>
    <w:rsid w:val="00004B50"/>
    <w:rsid w:val="00014928"/>
    <w:rsid w:val="00024C6E"/>
    <w:rsid w:val="00030ED7"/>
    <w:rsid w:val="0004226E"/>
    <w:rsid w:val="000439D4"/>
    <w:rsid w:val="00052A42"/>
    <w:rsid w:val="000558A6"/>
    <w:rsid w:val="00071761"/>
    <w:rsid w:val="00083938"/>
    <w:rsid w:val="000A4850"/>
    <w:rsid w:val="000A5ABE"/>
    <w:rsid w:val="000B484A"/>
    <w:rsid w:val="000D46D7"/>
    <w:rsid w:val="000D4F11"/>
    <w:rsid w:val="000E7FA7"/>
    <w:rsid w:val="000F4C45"/>
    <w:rsid w:val="000F6CCA"/>
    <w:rsid w:val="00114D0A"/>
    <w:rsid w:val="00122F25"/>
    <w:rsid w:val="0012489A"/>
    <w:rsid w:val="001274B3"/>
    <w:rsid w:val="00134414"/>
    <w:rsid w:val="001363CB"/>
    <w:rsid w:val="001377B6"/>
    <w:rsid w:val="0014520B"/>
    <w:rsid w:val="00156B42"/>
    <w:rsid w:val="00172740"/>
    <w:rsid w:val="00177ED6"/>
    <w:rsid w:val="00187889"/>
    <w:rsid w:val="001E0B2D"/>
    <w:rsid w:val="001F02F7"/>
    <w:rsid w:val="00205564"/>
    <w:rsid w:val="0022423D"/>
    <w:rsid w:val="00232769"/>
    <w:rsid w:val="00235F07"/>
    <w:rsid w:val="002423F1"/>
    <w:rsid w:val="00242CD7"/>
    <w:rsid w:val="00244D9B"/>
    <w:rsid w:val="002548BD"/>
    <w:rsid w:val="00254E26"/>
    <w:rsid w:val="00260575"/>
    <w:rsid w:val="00260A2E"/>
    <w:rsid w:val="00261AEC"/>
    <w:rsid w:val="00266850"/>
    <w:rsid w:val="0028070D"/>
    <w:rsid w:val="00282F26"/>
    <w:rsid w:val="002864EC"/>
    <w:rsid w:val="00287111"/>
    <w:rsid w:val="002A2B10"/>
    <w:rsid w:val="002B410C"/>
    <w:rsid w:val="002C4CA6"/>
    <w:rsid w:val="002D5375"/>
    <w:rsid w:val="002F7A21"/>
    <w:rsid w:val="00300C51"/>
    <w:rsid w:val="003013DC"/>
    <w:rsid w:val="003043AB"/>
    <w:rsid w:val="003305CC"/>
    <w:rsid w:val="00330D4A"/>
    <w:rsid w:val="00332FA3"/>
    <w:rsid w:val="0033487D"/>
    <w:rsid w:val="0034105E"/>
    <w:rsid w:val="003518EB"/>
    <w:rsid w:val="00356955"/>
    <w:rsid w:val="00362C85"/>
    <w:rsid w:val="0037597D"/>
    <w:rsid w:val="00375ACB"/>
    <w:rsid w:val="00380360"/>
    <w:rsid w:val="00382F79"/>
    <w:rsid w:val="003A0ACF"/>
    <w:rsid w:val="003A0DEE"/>
    <w:rsid w:val="003A0ED4"/>
    <w:rsid w:val="003A264F"/>
    <w:rsid w:val="003A4A46"/>
    <w:rsid w:val="003B4201"/>
    <w:rsid w:val="003C2D42"/>
    <w:rsid w:val="003C4490"/>
    <w:rsid w:val="003E11AB"/>
    <w:rsid w:val="003F07B9"/>
    <w:rsid w:val="0040283B"/>
    <w:rsid w:val="00411908"/>
    <w:rsid w:val="00413926"/>
    <w:rsid w:val="00417E9C"/>
    <w:rsid w:val="00422C61"/>
    <w:rsid w:val="0042401F"/>
    <w:rsid w:val="004300CF"/>
    <w:rsid w:val="00431B76"/>
    <w:rsid w:val="0043400A"/>
    <w:rsid w:val="00434A03"/>
    <w:rsid w:val="0044579C"/>
    <w:rsid w:val="00460D20"/>
    <w:rsid w:val="00472FB2"/>
    <w:rsid w:val="00474BAC"/>
    <w:rsid w:val="004842DF"/>
    <w:rsid w:val="00484867"/>
    <w:rsid w:val="0048685D"/>
    <w:rsid w:val="0049425E"/>
    <w:rsid w:val="004A77A2"/>
    <w:rsid w:val="004C7D9A"/>
    <w:rsid w:val="004E2B0F"/>
    <w:rsid w:val="004F352A"/>
    <w:rsid w:val="004F5819"/>
    <w:rsid w:val="00510923"/>
    <w:rsid w:val="00526CA0"/>
    <w:rsid w:val="005320F5"/>
    <w:rsid w:val="005401A4"/>
    <w:rsid w:val="00543762"/>
    <w:rsid w:val="00553F11"/>
    <w:rsid w:val="00556FC9"/>
    <w:rsid w:val="00557514"/>
    <w:rsid w:val="00575A07"/>
    <w:rsid w:val="00575B44"/>
    <w:rsid w:val="00576136"/>
    <w:rsid w:val="00580B1A"/>
    <w:rsid w:val="00583515"/>
    <w:rsid w:val="00595A73"/>
    <w:rsid w:val="005A2E4C"/>
    <w:rsid w:val="005A54B0"/>
    <w:rsid w:val="005A5978"/>
    <w:rsid w:val="005B1B7C"/>
    <w:rsid w:val="005B7AF7"/>
    <w:rsid w:val="005D7C0F"/>
    <w:rsid w:val="005E2A66"/>
    <w:rsid w:val="005E681E"/>
    <w:rsid w:val="005E7106"/>
    <w:rsid w:val="005F23E8"/>
    <w:rsid w:val="005F26C4"/>
    <w:rsid w:val="00603C74"/>
    <w:rsid w:val="00610FD6"/>
    <w:rsid w:val="00620887"/>
    <w:rsid w:val="00622F9B"/>
    <w:rsid w:val="00623124"/>
    <w:rsid w:val="006241D1"/>
    <w:rsid w:val="00625028"/>
    <w:rsid w:val="00626319"/>
    <w:rsid w:val="0063509B"/>
    <w:rsid w:val="00654079"/>
    <w:rsid w:val="00656402"/>
    <w:rsid w:val="00664342"/>
    <w:rsid w:val="00684AB3"/>
    <w:rsid w:val="006B0F16"/>
    <w:rsid w:val="006C1638"/>
    <w:rsid w:val="006C3004"/>
    <w:rsid w:val="006C4CF6"/>
    <w:rsid w:val="006E04AA"/>
    <w:rsid w:val="006F6835"/>
    <w:rsid w:val="006F7015"/>
    <w:rsid w:val="006F72CC"/>
    <w:rsid w:val="00701476"/>
    <w:rsid w:val="0071568B"/>
    <w:rsid w:val="007346B0"/>
    <w:rsid w:val="00736387"/>
    <w:rsid w:val="0074023C"/>
    <w:rsid w:val="00740BC7"/>
    <w:rsid w:val="00745404"/>
    <w:rsid w:val="007504BF"/>
    <w:rsid w:val="00761E0C"/>
    <w:rsid w:val="00762E63"/>
    <w:rsid w:val="00770B07"/>
    <w:rsid w:val="00774AFA"/>
    <w:rsid w:val="0078617D"/>
    <w:rsid w:val="007A2F6D"/>
    <w:rsid w:val="007A638C"/>
    <w:rsid w:val="007B6C5C"/>
    <w:rsid w:val="007B7E3F"/>
    <w:rsid w:val="007C2F77"/>
    <w:rsid w:val="007C55D8"/>
    <w:rsid w:val="007C7C06"/>
    <w:rsid w:val="007D48DC"/>
    <w:rsid w:val="007E423B"/>
    <w:rsid w:val="007E48F2"/>
    <w:rsid w:val="007E5A16"/>
    <w:rsid w:val="008003B2"/>
    <w:rsid w:val="00811EBD"/>
    <w:rsid w:val="0081425F"/>
    <w:rsid w:val="008304AF"/>
    <w:rsid w:val="00835148"/>
    <w:rsid w:val="00835D79"/>
    <w:rsid w:val="0084044E"/>
    <w:rsid w:val="00844CF9"/>
    <w:rsid w:val="00856F73"/>
    <w:rsid w:val="00867FC8"/>
    <w:rsid w:val="008773D5"/>
    <w:rsid w:val="00882560"/>
    <w:rsid w:val="00884B3B"/>
    <w:rsid w:val="0089308A"/>
    <w:rsid w:val="008A75B3"/>
    <w:rsid w:val="008B2136"/>
    <w:rsid w:val="008C1783"/>
    <w:rsid w:val="008C6AFD"/>
    <w:rsid w:val="008C7D88"/>
    <w:rsid w:val="008D1D5D"/>
    <w:rsid w:val="008D2176"/>
    <w:rsid w:val="008D4F6B"/>
    <w:rsid w:val="008E1FFF"/>
    <w:rsid w:val="008E4258"/>
    <w:rsid w:val="00901CFF"/>
    <w:rsid w:val="00921517"/>
    <w:rsid w:val="0092358F"/>
    <w:rsid w:val="00925398"/>
    <w:rsid w:val="009313E3"/>
    <w:rsid w:val="00941FEF"/>
    <w:rsid w:val="00952067"/>
    <w:rsid w:val="00961B4D"/>
    <w:rsid w:val="0099152C"/>
    <w:rsid w:val="0099708A"/>
    <w:rsid w:val="00997EAA"/>
    <w:rsid w:val="009A3717"/>
    <w:rsid w:val="009A6D17"/>
    <w:rsid w:val="009B75BF"/>
    <w:rsid w:val="009C3CAB"/>
    <w:rsid w:val="009C3DF9"/>
    <w:rsid w:val="009C4A7B"/>
    <w:rsid w:val="009D459E"/>
    <w:rsid w:val="009E441A"/>
    <w:rsid w:val="00A079B8"/>
    <w:rsid w:val="00A138B5"/>
    <w:rsid w:val="00A53E7E"/>
    <w:rsid w:val="00A57B70"/>
    <w:rsid w:val="00A60954"/>
    <w:rsid w:val="00A72592"/>
    <w:rsid w:val="00A73C37"/>
    <w:rsid w:val="00A74EC1"/>
    <w:rsid w:val="00A821DE"/>
    <w:rsid w:val="00A85C51"/>
    <w:rsid w:val="00A8798F"/>
    <w:rsid w:val="00AA2706"/>
    <w:rsid w:val="00AA4ADE"/>
    <w:rsid w:val="00AB318C"/>
    <w:rsid w:val="00AC0F4D"/>
    <w:rsid w:val="00AD7159"/>
    <w:rsid w:val="00AF24F5"/>
    <w:rsid w:val="00B033AB"/>
    <w:rsid w:val="00B168B6"/>
    <w:rsid w:val="00B21ECD"/>
    <w:rsid w:val="00B221FA"/>
    <w:rsid w:val="00B26A67"/>
    <w:rsid w:val="00B27C8F"/>
    <w:rsid w:val="00B3042C"/>
    <w:rsid w:val="00B30958"/>
    <w:rsid w:val="00B319E7"/>
    <w:rsid w:val="00B35B72"/>
    <w:rsid w:val="00B36184"/>
    <w:rsid w:val="00B37EFE"/>
    <w:rsid w:val="00B406B6"/>
    <w:rsid w:val="00B410A7"/>
    <w:rsid w:val="00B4282E"/>
    <w:rsid w:val="00B50111"/>
    <w:rsid w:val="00B537B2"/>
    <w:rsid w:val="00B57C7A"/>
    <w:rsid w:val="00B624C8"/>
    <w:rsid w:val="00B6348F"/>
    <w:rsid w:val="00B63650"/>
    <w:rsid w:val="00B649B9"/>
    <w:rsid w:val="00B673DC"/>
    <w:rsid w:val="00B72F89"/>
    <w:rsid w:val="00B74761"/>
    <w:rsid w:val="00B9046F"/>
    <w:rsid w:val="00B93525"/>
    <w:rsid w:val="00BB23E9"/>
    <w:rsid w:val="00BB28C9"/>
    <w:rsid w:val="00BB6665"/>
    <w:rsid w:val="00BB6F38"/>
    <w:rsid w:val="00BC156E"/>
    <w:rsid w:val="00BC3BEC"/>
    <w:rsid w:val="00BD316C"/>
    <w:rsid w:val="00BE2BFC"/>
    <w:rsid w:val="00BE4504"/>
    <w:rsid w:val="00BE6B4A"/>
    <w:rsid w:val="00C00F4A"/>
    <w:rsid w:val="00C02C08"/>
    <w:rsid w:val="00C11B1C"/>
    <w:rsid w:val="00C31333"/>
    <w:rsid w:val="00C3205C"/>
    <w:rsid w:val="00C44EF8"/>
    <w:rsid w:val="00C4676C"/>
    <w:rsid w:val="00C65EE9"/>
    <w:rsid w:val="00C678B1"/>
    <w:rsid w:val="00C75AFB"/>
    <w:rsid w:val="00C85DF2"/>
    <w:rsid w:val="00C96083"/>
    <w:rsid w:val="00CA6343"/>
    <w:rsid w:val="00CA6A1F"/>
    <w:rsid w:val="00CB686B"/>
    <w:rsid w:val="00CC3319"/>
    <w:rsid w:val="00CC7644"/>
    <w:rsid w:val="00CD28AC"/>
    <w:rsid w:val="00CE2364"/>
    <w:rsid w:val="00CE3F13"/>
    <w:rsid w:val="00CE79F9"/>
    <w:rsid w:val="00D055AF"/>
    <w:rsid w:val="00D1075A"/>
    <w:rsid w:val="00D2243C"/>
    <w:rsid w:val="00D2538D"/>
    <w:rsid w:val="00D25EE3"/>
    <w:rsid w:val="00D32E59"/>
    <w:rsid w:val="00D34D87"/>
    <w:rsid w:val="00D42906"/>
    <w:rsid w:val="00D51E8F"/>
    <w:rsid w:val="00D52C83"/>
    <w:rsid w:val="00D55700"/>
    <w:rsid w:val="00D611B2"/>
    <w:rsid w:val="00D6541D"/>
    <w:rsid w:val="00D66793"/>
    <w:rsid w:val="00D70443"/>
    <w:rsid w:val="00D708D2"/>
    <w:rsid w:val="00D74C90"/>
    <w:rsid w:val="00D818EA"/>
    <w:rsid w:val="00DA0DED"/>
    <w:rsid w:val="00DB01F1"/>
    <w:rsid w:val="00DB5B9B"/>
    <w:rsid w:val="00DB6291"/>
    <w:rsid w:val="00DC62BD"/>
    <w:rsid w:val="00DD12A3"/>
    <w:rsid w:val="00DD4D7B"/>
    <w:rsid w:val="00DE0CBC"/>
    <w:rsid w:val="00DE0F79"/>
    <w:rsid w:val="00DF5A8A"/>
    <w:rsid w:val="00DF67D4"/>
    <w:rsid w:val="00E05371"/>
    <w:rsid w:val="00E10745"/>
    <w:rsid w:val="00E10E21"/>
    <w:rsid w:val="00E1256E"/>
    <w:rsid w:val="00E16844"/>
    <w:rsid w:val="00E20085"/>
    <w:rsid w:val="00E203AB"/>
    <w:rsid w:val="00E2567C"/>
    <w:rsid w:val="00E27AD2"/>
    <w:rsid w:val="00E47F3F"/>
    <w:rsid w:val="00E50199"/>
    <w:rsid w:val="00E547E0"/>
    <w:rsid w:val="00E63B99"/>
    <w:rsid w:val="00E6633D"/>
    <w:rsid w:val="00E71653"/>
    <w:rsid w:val="00E7674E"/>
    <w:rsid w:val="00E76D4C"/>
    <w:rsid w:val="00E83BD0"/>
    <w:rsid w:val="00E8712E"/>
    <w:rsid w:val="00E9286C"/>
    <w:rsid w:val="00E93880"/>
    <w:rsid w:val="00E95C52"/>
    <w:rsid w:val="00EA33FC"/>
    <w:rsid w:val="00EA4814"/>
    <w:rsid w:val="00EA5423"/>
    <w:rsid w:val="00EA5EAC"/>
    <w:rsid w:val="00EC401A"/>
    <w:rsid w:val="00EC452D"/>
    <w:rsid w:val="00EC4CB6"/>
    <w:rsid w:val="00EC7FCD"/>
    <w:rsid w:val="00EE2C7E"/>
    <w:rsid w:val="00EF1560"/>
    <w:rsid w:val="00EF3DF7"/>
    <w:rsid w:val="00EF3FE3"/>
    <w:rsid w:val="00EF69CB"/>
    <w:rsid w:val="00F12D74"/>
    <w:rsid w:val="00F16BC5"/>
    <w:rsid w:val="00F250B4"/>
    <w:rsid w:val="00F45EDE"/>
    <w:rsid w:val="00F553C7"/>
    <w:rsid w:val="00F56363"/>
    <w:rsid w:val="00F65955"/>
    <w:rsid w:val="00F7563E"/>
    <w:rsid w:val="00F77846"/>
    <w:rsid w:val="00F903CD"/>
    <w:rsid w:val="00F92CA4"/>
    <w:rsid w:val="00F9610B"/>
    <w:rsid w:val="00F96BB7"/>
    <w:rsid w:val="00FA2783"/>
    <w:rsid w:val="00FA4E29"/>
    <w:rsid w:val="00FA57C1"/>
    <w:rsid w:val="00FA7569"/>
    <w:rsid w:val="00FB0F70"/>
    <w:rsid w:val="00FB1E33"/>
    <w:rsid w:val="00FC2DB0"/>
    <w:rsid w:val="00FC6E6C"/>
    <w:rsid w:val="00FC799E"/>
    <w:rsid w:val="00FD7B9E"/>
    <w:rsid w:val="00FD7CEE"/>
    <w:rsid w:val="00FE55BA"/>
    <w:rsid w:val="00FF020C"/>
    <w:rsid w:val="00FF2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371"/>
    <w:pPr>
      <w:spacing w:after="0" w:line="240" w:lineRule="auto"/>
    </w:pPr>
    <w:rPr>
      <w:rFonts w:eastAsia="Times New Roman" w:cs="Times New Roman"/>
      <w:sz w:val="23"/>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05371"/>
    <w:pPr>
      <w:tabs>
        <w:tab w:val="center" w:pos="4536"/>
        <w:tab w:val="right" w:pos="9072"/>
      </w:tabs>
    </w:pPr>
  </w:style>
  <w:style w:type="character" w:customStyle="1" w:styleId="NagwekZnak">
    <w:name w:val="Nagłówek Znak"/>
    <w:basedOn w:val="Domylnaczcionkaakapitu"/>
    <w:link w:val="Nagwek"/>
    <w:rsid w:val="00E05371"/>
    <w:rPr>
      <w:rFonts w:eastAsia="Times New Roman" w:cs="Times New Roman"/>
      <w:sz w:val="23"/>
      <w:szCs w:val="24"/>
      <w:lang w:eastAsia="pl-PL"/>
    </w:rPr>
  </w:style>
  <w:style w:type="paragraph" w:styleId="Stopka">
    <w:name w:val="footer"/>
    <w:basedOn w:val="Normalny"/>
    <w:link w:val="StopkaZnak"/>
    <w:rsid w:val="00E05371"/>
    <w:pPr>
      <w:tabs>
        <w:tab w:val="center" w:pos="4536"/>
        <w:tab w:val="right" w:pos="9072"/>
      </w:tabs>
    </w:pPr>
  </w:style>
  <w:style w:type="character" w:customStyle="1" w:styleId="StopkaZnak">
    <w:name w:val="Stopka Znak"/>
    <w:basedOn w:val="Domylnaczcionkaakapitu"/>
    <w:link w:val="Stopka"/>
    <w:rsid w:val="00E05371"/>
    <w:rPr>
      <w:rFonts w:eastAsia="Times New Roman" w:cs="Times New Roman"/>
      <w:sz w:val="23"/>
      <w:szCs w:val="24"/>
      <w:lang w:eastAsia="pl-PL"/>
    </w:rPr>
  </w:style>
  <w:style w:type="character" w:styleId="Numerstrony">
    <w:name w:val="page number"/>
    <w:basedOn w:val="Domylnaczcionkaakapitu"/>
    <w:rsid w:val="00E05371"/>
  </w:style>
  <w:style w:type="paragraph" w:customStyle="1" w:styleId="StylStBIKsubowagwka">
    <w:name w:val="Styl StBIK służbowa główka"/>
    <w:basedOn w:val="Normalny"/>
    <w:link w:val="StylStBIKsubowagwkaZnak"/>
    <w:rsid w:val="00E05371"/>
    <w:pPr>
      <w:keepLines/>
      <w:spacing w:line="415" w:lineRule="atLeast"/>
    </w:pPr>
    <w:rPr>
      <w:b/>
      <w:spacing w:val="-5"/>
      <w:sz w:val="24"/>
      <w:szCs w:val="20"/>
      <w:lang w:eastAsia="en-US"/>
    </w:rPr>
  </w:style>
  <w:style w:type="character" w:customStyle="1" w:styleId="StylStBIKsubowagwkaZnak">
    <w:name w:val="Styl StBIK służbowa główka Znak"/>
    <w:basedOn w:val="Domylnaczcionkaakapitu"/>
    <w:link w:val="StylStBIKsubowagwka"/>
    <w:rsid w:val="00E05371"/>
    <w:rPr>
      <w:rFonts w:eastAsia="Times New Roman" w:cs="Times New Roman"/>
      <w:b/>
      <w:spacing w:val="-5"/>
      <w:sz w:val="24"/>
      <w:szCs w:val="20"/>
    </w:rPr>
  </w:style>
  <w:style w:type="paragraph" w:styleId="Tekstdymka">
    <w:name w:val="Balloon Text"/>
    <w:basedOn w:val="Normalny"/>
    <w:link w:val="TekstdymkaZnak"/>
    <w:uiPriority w:val="99"/>
    <w:semiHidden/>
    <w:unhideWhenUsed/>
    <w:rsid w:val="00E05371"/>
    <w:rPr>
      <w:rFonts w:ascii="Tahoma" w:hAnsi="Tahoma" w:cs="Tahoma"/>
      <w:sz w:val="16"/>
      <w:szCs w:val="16"/>
    </w:rPr>
  </w:style>
  <w:style w:type="character" w:customStyle="1" w:styleId="TekstdymkaZnak">
    <w:name w:val="Tekst dymka Znak"/>
    <w:basedOn w:val="Domylnaczcionkaakapitu"/>
    <w:link w:val="Tekstdymka"/>
    <w:uiPriority w:val="99"/>
    <w:semiHidden/>
    <w:rsid w:val="00E053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74C90"/>
    <w:rPr>
      <w:sz w:val="16"/>
      <w:szCs w:val="16"/>
    </w:rPr>
  </w:style>
  <w:style w:type="paragraph" w:styleId="Tekstkomentarza">
    <w:name w:val="annotation text"/>
    <w:basedOn w:val="Normalny"/>
    <w:link w:val="TekstkomentarzaZnak"/>
    <w:uiPriority w:val="99"/>
    <w:semiHidden/>
    <w:unhideWhenUsed/>
    <w:rsid w:val="00D74C90"/>
    <w:pPr>
      <w:spacing w:after="20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D74C90"/>
    <w:rPr>
      <w:sz w:val="20"/>
      <w:szCs w:val="20"/>
    </w:rPr>
  </w:style>
  <w:style w:type="character" w:styleId="Hipercze">
    <w:name w:val="Hyperlink"/>
    <w:basedOn w:val="Domylnaczcionkaakapitu"/>
    <w:uiPriority w:val="99"/>
    <w:unhideWhenUsed/>
    <w:rsid w:val="00D74C90"/>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61AEC"/>
    <w:pPr>
      <w:spacing w:after="0"/>
    </w:pPr>
    <w:rPr>
      <w:rFonts w:eastAsia="Times New Roman" w:cs="Times New Roman"/>
      <w:b/>
      <w:bCs/>
      <w:lang w:eastAsia="pl-PL"/>
    </w:rPr>
  </w:style>
  <w:style w:type="character" w:customStyle="1" w:styleId="TematkomentarzaZnak">
    <w:name w:val="Temat komentarza Znak"/>
    <w:basedOn w:val="TekstkomentarzaZnak"/>
    <w:link w:val="Tematkomentarza"/>
    <w:uiPriority w:val="99"/>
    <w:semiHidden/>
    <w:rsid w:val="00261AEC"/>
    <w:rPr>
      <w:rFonts w:eastAsia="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925398"/>
    <w:rPr>
      <w:sz w:val="20"/>
      <w:szCs w:val="20"/>
    </w:rPr>
  </w:style>
  <w:style w:type="character" w:customStyle="1" w:styleId="TekstprzypisukocowegoZnak">
    <w:name w:val="Tekst przypisu końcowego Znak"/>
    <w:basedOn w:val="Domylnaczcionkaakapitu"/>
    <w:link w:val="Tekstprzypisukocowego"/>
    <w:uiPriority w:val="99"/>
    <w:semiHidden/>
    <w:rsid w:val="00925398"/>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925398"/>
    <w:rPr>
      <w:vertAlign w:val="superscript"/>
    </w:rPr>
  </w:style>
  <w:style w:type="paragraph" w:styleId="Akapitzlist">
    <w:name w:val="List Paragraph"/>
    <w:basedOn w:val="Normalny"/>
    <w:uiPriority w:val="34"/>
    <w:qFormat/>
    <w:rsid w:val="00122F25"/>
    <w:pPr>
      <w:ind w:left="720"/>
      <w:contextualSpacing/>
    </w:pPr>
  </w:style>
  <w:style w:type="paragraph" w:styleId="Tekstprzypisudolnego">
    <w:name w:val="footnote text"/>
    <w:basedOn w:val="Normalny"/>
    <w:link w:val="TekstprzypisudolnegoZnak"/>
    <w:uiPriority w:val="99"/>
    <w:semiHidden/>
    <w:unhideWhenUsed/>
    <w:rsid w:val="00FA4E2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FA4E29"/>
    <w:rPr>
      <w:sz w:val="20"/>
      <w:szCs w:val="20"/>
    </w:rPr>
  </w:style>
  <w:style w:type="character" w:styleId="Odwoanieprzypisudolnego">
    <w:name w:val="footnote reference"/>
    <w:basedOn w:val="Domylnaczcionkaakapitu"/>
    <w:uiPriority w:val="99"/>
    <w:semiHidden/>
    <w:unhideWhenUsed/>
    <w:rsid w:val="00FA4E29"/>
    <w:rPr>
      <w:vertAlign w:val="superscript"/>
    </w:rPr>
  </w:style>
  <w:style w:type="table" w:styleId="Jasnecieniowanieakcent1">
    <w:name w:val="Light Shading Accent 1"/>
    <w:basedOn w:val="Standardowy"/>
    <w:uiPriority w:val="60"/>
    <w:rsid w:val="00FA4E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371"/>
    <w:pPr>
      <w:spacing w:after="0" w:line="240" w:lineRule="auto"/>
    </w:pPr>
    <w:rPr>
      <w:rFonts w:eastAsia="Times New Roman" w:cs="Times New Roman"/>
      <w:sz w:val="23"/>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05371"/>
    <w:pPr>
      <w:tabs>
        <w:tab w:val="center" w:pos="4536"/>
        <w:tab w:val="right" w:pos="9072"/>
      </w:tabs>
    </w:pPr>
  </w:style>
  <w:style w:type="character" w:customStyle="1" w:styleId="NagwekZnak">
    <w:name w:val="Nagłówek Znak"/>
    <w:basedOn w:val="Domylnaczcionkaakapitu"/>
    <w:link w:val="Nagwek"/>
    <w:rsid w:val="00E05371"/>
    <w:rPr>
      <w:rFonts w:eastAsia="Times New Roman" w:cs="Times New Roman"/>
      <w:sz w:val="23"/>
      <w:szCs w:val="24"/>
      <w:lang w:eastAsia="pl-PL"/>
    </w:rPr>
  </w:style>
  <w:style w:type="paragraph" w:styleId="Stopka">
    <w:name w:val="footer"/>
    <w:basedOn w:val="Normalny"/>
    <w:link w:val="StopkaZnak"/>
    <w:rsid w:val="00E05371"/>
    <w:pPr>
      <w:tabs>
        <w:tab w:val="center" w:pos="4536"/>
        <w:tab w:val="right" w:pos="9072"/>
      </w:tabs>
    </w:pPr>
  </w:style>
  <w:style w:type="character" w:customStyle="1" w:styleId="StopkaZnak">
    <w:name w:val="Stopka Znak"/>
    <w:basedOn w:val="Domylnaczcionkaakapitu"/>
    <w:link w:val="Stopka"/>
    <w:rsid w:val="00E05371"/>
    <w:rPr>
      <w:rFonts w:eastAsia="Times New Roman" w:cs="Times New Roman"/>
      <w:sz w:val="23"/>
      <w:szCs w:val="24"/>
      <w:lang w:eastAsia="pl-PL"/>
    </w:rPr>
  </w:style>
  <w:style w:type="character" w:styleId="Numerstrony">
    <w:name w:val="page number"/>
    <w:basedOn w:val="Domylnaczcionkaakapitu"/>
    <w:rsid w:val="00E05371"/>
  </w:style>
  <w:style w:type="paragraph" w:customStyle="1" w:styleId="StylStBIKsubowagwka">
    <w:name w:val="Styl StBIK służbowa główka"/>
    <w:basedOn w:val="Normalny"/>
    <w:link w:val="StylStBIKsubowagwkaZnak"/>
    <w:rsid w:val="00E05371"/>
    <w:pPr>
      <w:keepLines/>
      <w:spacing w:line="415" w:lineRule="atLeast"/>
    </w:pPr>
    <w:rPr>
      <w:b/>
      <w:spacing w:val="-5"/>
      <w:sz w:val="24"/>
      <w:szCs w:val="20"/>
      <w:lang w:eastAsia="en-US"/>
    </w:rPr>
  </w:style>
  <w:style w:type="character" w:customStyle="1" w:styleId="StylStBIKsubowagwkaZnak">
    <w:name w:val="Styl StBIK służbowa główka Znak"/>
    <w:basedOn w:val="Domylnaczcionkaakapitu"/>
    <w:link w:val="StylStBIKsubowagwka"/>
    <w:rsid w:val="00E05371"/>
    <w:rPr>
      <w:rFonts w:eastAsia="Times New Roman" w:cs="Times New Roman"/>
      <w:b/>
      <w:spacing w:val="-5"/>
      <w:sz w:val="24"/>
      <w:szCs w:val="20"/>
    </w:rPr>
  </w:style>
  <w:style w:type="paragraph" w:styleId="Tekstdymka">
    <w:name w:val="Balloon Text"/>
    <w:basedOn w:val="Normalny"/>
    <w:link w:val="TekstdymkaZnak"/>
    <w:uiPriority w:val="99"/>
    <w:semiHidden/>
    <w:unhideWhenUsed/>
    <w:rsid w:val="00E05371"/>
    <w:rPr>
      <w:rFonts w:ascii="Tahoma" w:hAnsi="Tahoma" w:cs="Tahoma"/>
      <w:sz w:val="16"/>
      <w:szCs w:val="16"/>
    </w:rPr>
  </w:style>
  <w:style w:type="character" w:customStyle="1" w:styleId="TekstdymkaZnak">
    <w:name w:val="Tekst dymka Znak"/>
    <w:basedOn w:val="Domylnaczcionkaakapitu"/>
    <w:link w:val="Tekstdymka"/>
    <w:uiPriority w:val="99"/>
    <w:semiHidden/>
    <w:rsid w:val="00E053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74C90"/>
    <w:rPr>
      <w:sz w:val="16"/>
      <w:szCs w:val="16"/>
    </w:rPr>
  </w:style>
  <w:style w:type="paragraph" w:styleId="Tekstkomentarza">
    <w:name w:val="annotation text"/>
    <w:basedOn w:val="Normalny"/>
    <w:link w:val="TekstkomentarzaZnak"/>
    <w:uiPriority w:val="99"/>
    <w:semiHidden/>
    <w:unhideWhenUsed/>
    <w:rsid w:val="00D74C90"/>
    <w:pPr>
      <w:spacing w:after="20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D74C90"/>
    <w:rPr>
      <w:sz w:val="20"/>
      <w:szCs w:val="20"/>
    </w:rPr>
  </w:style>
  <w:style w:type="character" w:styleId="Hipercze">
    <w:name w:val="Hyperlink"/>
    <w:basedOn w:val="Domylnaczcionkaakapitu"/>
    <w:uiPriority w:val="99"/>
    <w:unhideWhenUsed/>
    <w:rsid w:val="00D74C90"/>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61AEC"/>
    <w:pPr>
      <w:spacing w:after="0"/>
    </w:pPr>
    <w:rPr>
      <w:rFonts w:eastAsia="Times New Roman" w:cs="Times New Roman"/>
      <w:b/>
      <w:bCs/>
      <w:lang w:eastAsia="pl-PL"/>
    </w:rPr>
  </w:style>
  <w:style w:type="character" w:customStyle="1" w:styleId="TematkomentarzaZnak">
    <w:name w:val="Temat komentarza Znak"/>
    <w:basedOn w:val="TekstkomentarzaZnak"/>
    <w:link w:val="Tematkomentarza"/>
    <w:uiPriority w:val="99"/>
    <w:semiHidden/>
    <w:rsid w:val="00261AEC"/>
    <w:rPr>
      <w:rFonts w:eastAsia="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925398"/>
    <w:rPr>
      <w:sz w:val="20"/>
      <w:szCs w:val="20"/>
    </w:rPr>
  </w:style>
  <w:style w:type="character" w:customStyle="1" w:styleId="TekstprzypisukocowegoZnak">
    <w:name w:val="Tekst przypisu końcowego Znak"/>
    <w:basedOn w:val="Domylnaczcionkaakapitu"/>
    <w:link w:val="Tekstprzypisukocowego"/>
    <w:uiPriority w:val="99"/>
    <w:semiHidden/>
    <w:rsid w:val="00925398"/>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925398"/>
    <w:rPr>
      <w:vertAlign w:val="superscript"/>
    </w:rPr>
  </w:style>
  <w:style w:type="paragraph" w:styleId="Akapitzlist">
    <w:name w:val="List Paragraph"/>
    <w:basedOn w:val="Normalny"/>
    <w:uiPriority w:val="34"/>
    <w:qFormat/>
    <w:rsid w:val="00122F25"/>
    <w:pPr>
      <w:ind w:left="720"/>
      <w:contextualSpacing/>
    </w:pPr>
  </w:style>
  <w:style w:type="paragraph" w:styleId="Tekstprzypisudolnego">
    <w:name w:val="footnote text"/>
    <w:basedOn w:val="Normalny"/>
    <w:link w:val="TekstprzypisudolnegoZnak"/>
    <w:uiPriority w:val="99"/>
    <w:semiHidden/>
    <w:unhideWhenUsed/>
    <w:rsid w:val="00FA4E2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FA4E29"/>
    <w:rPr>
      <w:sz w:val="20"/>
      <w:szCs w:val="20"/>
    </w:rPr>
  </w:style>
  <w:style w:type="character" w:styleId="Odwoanieprzypisudolnego">
    <w:name w:val="footnote reference"/>
    <w:basedOn w:val="Domylnaczcionkaakapitu"/>
    <w:uiPriority w:val="99"/>
    <w:semiHidden/>
    <w:unhideWhenUsed/>
    <w:rsid w:val="00FA4E29"/>
    <w:rPr>
      <w:vertAlign w:val="superscript"/>
    </w:rPr>
  </w:style>
  <w:style w:type="table" w:styleId="Jasnecieniowanieakcent1">
    <w:name w:val="Light Shading Accent 1"/>
    <w:basedOn w:val="Standardowy"/>
    <w:uiPriority w:val="60"/>
    <w:rsid w:val="00FA4E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042">
      <w:bodyDiv w:val="1"/>
      <w:marLeft w:val="0"/>
      <w:marRight w:val="0"/>
      <w:marTop w:val="0"/>
      <w:marBottom w:val="0"/>
      <w:divBdr>
        <w:top w:val="none" w:sz="0" w:space="0" w:color="auto"/>
        <w:left w:val="none" w:sz="0" w:space="0" w:color="auto"/>
        <w:bottom w:val="none" w:sz="0" w:space="0" w:color="auto"/>
        <w:right w:val="none" w:sz="0" w:space="0" w:color="auto"/>
      </w:divBdr>
    </w:div>
    <w:div w:id="161169848">
      <w:bodyDiv w:val="1"/>
      <w:marLeft w:val="0"/>
      <w:marRight w:val="0"/>
      <w:marTop w:val="0"/>
      <w:marBottom w:val="0"/>
      <w:divBdr>
        <w:top w:val="none" w:sz="0" w:space="0" w:color="auto"/>
        <w:left w:val="none" w:sz="0" w:space="0" w:color="auto"/>
        <w:bottom w:val="none" w:sz="0" w:space="0" w:color="auto"/>
        <w:right w:val="none" w:sz="0" w:space="0" w:color="auto"/>
      </w:divBdr>
    </w:div>
    <w:div w:id="458230374">
      <w:bodyDiv w:val="1"/>
      <w:marLeft w:val="0"/>
      <w:marRight w:val="0"/>
      <w:marTop w:val="0"/>
      <w:marBottom w:val="0"/>
      <w:divBdr>
        <w:top w:val="none" w:sz="0" w:space="0" w:color="auto"/>
        <w:left w:val="none" w:sz="0" w:space="0" w:color="auto"/>
        <w:bottom w:val="none" w:sz="0" w:space="0" w:color="auto"/>
        <w:right w:val="none" w:sz="0" w:space="0" w:color="auto"/>
      </w:divBdr>
    </w:div>
    <w:div w:id="472140908">
      <w:bodyDiv w:val="1"/>
      <w:marLeft w:val="0"/>
      <w:marRight w:val="0"/>
      <w:marTop w:val="0"/>
      <w:marBottom w:val="0"/>
      <w:divBdr>
        <w:top w:val="none" w:sz="0" w:space="0" w:color="auto"/>
        <w:left w:val="none" w:sz="0" w:space="0" w:color="auto"/>
        <w:bottom w:val="none" w:sz="0" w:space="0" w:color="auto"/>
        <w:right w:val="none" w:sz="0" w:space="0" w:color="auto"/>
      </w:divBdr>
    </w:div>
    <w:div w:id="528840611">
      <w:bodyDiv w:val="1"/>
      <w:marLeft w:val="0"/>
      <w:marRight w:val="0"/>
      <w:marTop w:val="0"/>
      <w:marBottom w:val="0"/>
      <w:divBdr>
        <w:top w:val="none" w:sz="0" w:space="0" w:color="auto"/>
        <w:left w:val="none" w:sz="0" w:space="0" w:color="auto"/>
        <w:bottom w:val="none" w:sz="0" w:space="0" w:color="auto"/>
        <w:right w:val="none" w:sz="0" w:space="0" w:color="auto"/>
      </w:divBdr>
    </w:div>
    <w:div w:id="799610394">
      <w:bodyDiv w:val="1"/>
      <w:marLeft w:val="0"/>
      <w:marRight w:val="0"/>
      <w:marTop w:val="0"/>
      <w:marBottom w:val="0"/>
      <w:divBdr>
        <w:top w:val="none" w:sz="0" w:space="0" w:color="auto"/>
        <w:left w:val="none" w:sz="0" w:space="0" w:color="auto"/>
        <w:bottom w:val="none" w:sz="0" w:space="0" w:color="auto"/>
        <w:right w:val="none" w:sz="0" w:space="0" w:color="auto"/>
      </w:divBdr>
    </w:div>
    <w:div w:id="888493472">
      <w:bodyDiv w:val="1"/>
      <w:marLeft w:val="0"/>
      <w:marRight w:val="0"/>
      <w:marTop w:val="0"/>
      <w:marBottom w:val="0"/>
      <w:divBdr>
        <w:top w:val="none" w:sz="0" w:space="0" w:color="auto"/>
        <w:left w:val="none" w:sz="0" w:space="0" w:color="auto"/>
        <w:bottom w:val="none" w:sz="0" w:space="0" w:color="auto"/>
        <w:right w:val="none" w:sz="0" w:space="0" w:color="auto"/>
      </w:divBdr>
    </w:div>
    <w:div w:id="1068841882">
      <w:bodyDiv w:val="1"/>
      <w:marLeft w:val="0"/>
      <w:marRight w:val="0"/>
      <w:marTop w:val="0"/>
      <w:marBottom w:val="0"/>
      <w:divBdr>
        <w:top w:val="none" w:sz="0" w:space="0" w:color="auto"/>
        <w:left w:val="none" w:sz="0" w:space="0" w:color="auto"/>
        <w:bottom w:val="none" w:sz="0" w:space="0" w:color="auto"/>
        <w:right w:val="none" w:sz="0" w:space="0" w:color="auto"/>
      </w:divBdr>
    </w:div>
    <w:div w:id="1111170926">
      <w:bodyDiv w:val="1"/>
      <w:marLeft w:val="0"/>
      <w:marRight w:val="0"/>
      <w:marTop w:val="0"/>
      <w:marBottom w:val="0"/>
      <w:divBdr>
        <w:top w:val="none" w:sz="0" w:space="0" w:color="auto"/>
        <w:left w:val="none" w:sz="0" w:space="0" w:color="auto"/>
        <w:bottom w:val="none" w:sz="0" w:space="0" w:color="auto"/>
        <w:right w:val="none" w:sz="0" w:space="0" w:color="auto"/>
      </w:divBdr>
      <w:divsChild>
        <w:div w:id="1279603613">
          <w:marLeft w:val="360"/>
          <w:marRight w:val="0"/>
          <w:marTop w:val="58"/>
          <w:marBottom w:val="0"/>
          <w:divBdr>
            <w:top w:val="none" w:sz="0" w:space="0" w:color="auto"/>
            <w:left w:val="none" w:sz="0" w:space="0" w:color="auto"/>
            <w:bottom w:val="none" w:sz="0" w:space="0" w:color="auto"/>
            <w:right w:val="none" w:sz="0" w:space="0" w:color="auto"/>
          </w:divBdr>
        </w:div>
        <w:div w:id="1866139764">
          <w:marLeft w:val="360"/>
          <w:marRight w:val="0"/>
          <w:marTop w:val="58"/>
          <w:marBottom w:val="0"/>
          <w:divBdr>
            <w:top w:val="none" w:sz="0" w:space="0" w:color="auto"/>
            <w:left w:val="none" w:sz="0" w:space="0" w:color="auto"/>
            <w:bottom w:val="none" w:sz="0" w:space="0" w:color="auto"/>
            <w:right w:val="none" w:sz="0" w:space="0" w:color="auto"/>
          </w:divBdr>
        </w:div>
        <w:div w:id="1323579407">
          <w:marLeft w:val="360"/>
          <w:marRight w:val="0"/>
          <w:marTop w:val="58"/>
          <w:marBottom w:val="0"/>
          <w:divBdr>
            <w:top w:val="none" w:sz="0" w:space="0" w:color="auto"/>
            <w:left w:val="none" w:sz="0" w:space="0" w:color="auto"/>
            <w:bottom w:val="none" w:sz="0" w:space="0" w:color="auto"/>
            <w:right w:val="none" w:sz="0" w:space="0" w:color="auto"/>
          </w:divBdr>
        </w:div>
        <w:div w:id="441386143">
          <w:marLeft w:val="360"/>
          <w:marRight w:val="0"/>
          <w:marTop w:val="58"/>
          <w:marBottom w:val="0"/>
          <w:divBdr>
            <w:top w:val="none" w:sz="0" w:space="0" w:color="auto"/>
            <w:left w:val="none" w:sz="0" w:space="0" w:color="auto"/>
            <w:bottom w:val="none" w:sz="0" w:space="0" w:color="auto"/>
            <w:right w:val="none" w:sz="0" w:space="0" w:color="auto"/>
          </w:divBdr>
        </w:div>
      </w:divsChild>
    </w:div>
    <w:div w:id="1112751691">
      <w:bodyDiv w:val="1"/>
      <w:marLeft w:val="0"/>
      <w:marRight w:val="0"/>
      <w:marTop w:val="0"/>
      <w:marBottom w:val="0"/>
      <w:divBdr>
        <w:top w:val="none" w:sz="0" w:space="0" w:color="auto"/>
        <w:left w:val="none" w:sz="0" w:space="0" w:color="auto"/>
        <w:bottom w:val="none" w:sz="0" w:space="0" w:color="auto"/>
        <w:right w:val="none" w:sz="0" w:space="0" w:color="auto"/>
      </w:divBdr>
    </w:div>
    <w:div w:id="1215970896">
      <w:bodyDiv w:val="1"/>
      <w:marLeft w:val="0"/>
      <w:marRight w:val="0"/>
      <w:marTop w:val="0"/>
      <w:marBottom w:val="0"/>
      <w:divBdr>
        <w:top w:val="none" w:sz="0" w:space="0" w:color="auto"/>
        <w:left w:val="none" w:sz="0" w:space="0" w:color="auto"/>
        <w:bottom w:val="none" w:sz="0" w:space="0" w:color="auto"/>
        <w:right w:val="none" w:sz="0" w:space="0" w:color="auto"/>
      </w:divBdr>
    </w:div>
    <w:div w:id="1283882266">
      <w:bodyDiv w:val="1"/>
      <w:marLeft w:val="0"/>
      <w:marRight w:val="0"/>
      <w:marTop w:val="0"/>
      <w:marBottom w:val="0"/>
      <w:divBdr>
        <w:top w:val="none" w:sz="0" w:space="0" w:color="auto"/>
        <w:left w:val="none" w:sz="0" w:space="0" w:color="auto"/>
        <w:bottom w:val="none" w:sz="0" w:space="0" w:color="auto"/>
        <w:right w:val="none" w:sz="0" w:space="0" w:color="auto"/>
      </w:divBdr>
    </w:div>
    <w:div w:id="1285692756">
      <w:bodyDiv w:val="1"/>
      <w:marLeft w:val="0"/>
      <w:marRight w:val="0"/>
      <w:marTop w:val="0"/>
      <w:marBottom w:val="0"/>
      <w:divBdr>
        <w:top w:val="none" w:sz="0" w:space="0" w:color="auto"/>
        <w:left w:val="none" w:sz="0" w:space="0" w:color="auto"/>
        <w:bottom w:val="none" w:sz="0" w:space="0" w:color="auto"/>
        <w:right w:val="none" w:sz="0" w:space="0" w:color="auto"/>
      </w:divBdr>
    </w:div>
    <w:div w:id="1337536281">
      <w:bodyDiv w:val="1"/>
      <w:marLeft w:val="0"/>
      <w:marRight w:val="0"/>
      <w:marTop w:val="0"/>
      <w:marBottom w:val="0"/>
      <w:divBdr>
        <w:top w:val="none" w:sz="0" w:space="0" w:color="auto"/>
        <w:left w:val="none" w:sz="0" w:space="0" w:color="auto"/>
        <w:bottom w:val="none" w:sz="0" w:space="0" w:color="auto"/>
        <w:right w:val="none" w:sz="0" w:space="0" w:color="auto"/>
      </w:divBdr>
    </w:div>
    <w:div w:id="1466580453">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910964830">
      <w:bodyDiv w:val="1"/>
      <w:marLeft w:val="0"/>
      <w:marRight w:val="0"/>
      <w:marTop w:val="0"/>
      <w:marBottom w:val="0"/>
      <w:divBdr>
        <w:top w:val="none" w:sz="0" w:space="0" w:color="auto"/>
        <w:left w:val="none" w:sz="0" w:space="0" w:color="auto"/>
        <w:bottom w:val="none" w:sz="0" w:space="0" w:color="auto"/>
        <w:right w:val="none" w:sz="0" w:space="0" w:color="auto"/>
      </w:divBdr>
    </w:div>
    <w:div w:id="1944268125">
      <w:bodyDiv w:val="1"/>
      <w:marLeft w:val="0"/>
      <w:marRight w:val="0"/>
      <w:marTop w:val="0"/>
      <w:marBottom w:val="0"/>
      <w:divBdr>
        <w:top w:val="none" w:sz="0" w:space="0" w:color="auto"/>
        <w:left w:val="none" w:sz="0" w:space="0" w:color="auto"/>
        <w:bottom w:val="none" w:sz="0" w:space="0" w:color="auto"/>
        <w:right w:val="none" w:sz="0" w:space="0" w:color="auto"/>
      </w:divBdr>
    </w:div>
    <w:div w:id="1980307763">
      <w:bodyDiv w:val="1"/>
      <w:marLeft w:val="0"/>
      <w:marRight w:val="0"/>
      <w:marTop w:val="0"/>
      <w:marBottom w:val="0"/>
      <w:divBdr>
        <w:top w:val="none" w:sz="0" w:space="0" w:color="auto"/>
        <w:left w:val="none" w:sz="0" w:space="0" w:color="auto"/>
        <w:bottom w:val="none" w:sz="0" w:space="0" w:color="auto"/>
        <w:right w:val="none" w:sz="0" w:space="0" w:color="auto"/>
      </w:divBdr>
    </w:div>
    <w:div w:id="21275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ana.Borowiecka@big.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Halina.Kochalska@big.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alina.kochalska\Documents\Badania\D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rtl="0">
              <a:defRPr sz="1200"/>
            </a:pPr>
            <a:r>
              <a:rPr lang="pl-PL" sz="1200"/>
              <a:t>Na co wydałaś/wydałeś więcej pieniędzy niż jest to konieczne w ciągu ostatnich sześciu miesięcy? Co przyczyniło się do strat w Twoim budżecie?</a:t>
            </a:r>
          </a:p>
          <a:p>
            <a:pPr algn="ctr" rtl="0">
              <a:defRPr sz="1200"/>
            </a:pPr>
            <a:endParaRPr lang="pl-PL" sz="1200"/>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Arkusz1!$F$3:$F$22</c:f>
              <c:strCache>
                <c:ptCount val="20"/>
                <c:pt idx="0">
                  <c:v> zabiegi medycyny estetycznej</c:v>
                </c:pt>
                <c:pt idx="1">
                  <c:v>platformy filmowe i serwisy muzyczne</c:v>
                </c:pt>
                <c:pt idx="2">
                  <c:v>żłobek, przedszkole, szkoła</c:v>
                </c:pt>
                <c:pt idx="3">
                  <c:v>platformy filmowe i serwisy muzyczne</c:v>
                </c:pt>
                <c:pt idx="4">
                  <c:v> zajęcia fitness/utrzymanie formy</c:v>
                </c:pt>
                <c:pt idx="5">
                  <c:v> zabiegi pielęgcyjne, kosmetyczka</c:v>
                </c:pt>
                <c:pt idx="6">
                  <c:v> hobby, pasje</c:v>
                </c:pt>
                <c:pt idx="7">
                  <c:v> rozrywka, spotkania towarzyskie, puby</c:v>
                </c:pt>
                <c:pt idx="8">
                  <c:v>  dzieci ich zajęcia, zachcianki</c:v>
                </c:pt>
                <c:pt idx="9">
                  <c:v> kosmetyki</c:v>
                </c:pt>
                <c:pt idx="10">
                  <c:v> elektronika -  telefony, tablety, komputery</c:v>
                </c:pt>
                <c:pt idx="11">
                  <c:v> obuwie</c:v>
                </c:pt>
                <c:pt idx="12">
                  <c:v> sprzęt RTV i AGD</c:v>
                </c:pt>
                <c:pt idx="13">
                  <c:v> podróże</c:v>
                </c:pt>
                <c:pt idx="14">
                  <c:v> jedzenie na  mieście</c:v>
                </c:pt>
                <c:pt idx="15">
                  <c:v>wyposażenie mieszkania</c:v>
                </c:pt>
                <c:pt idx="16">
                  <c:v> odzież</c:v>
                </c:pt>
                <c:pt idx="17">
                  <c:v> leki, leczenie, zabiegi rehabilitacyjne</c:v>
                </c:pt>
                <c:pt idx="18">
                  <c:v>żywność</c:v>
                </c:pt>
                <c:pt idx="19">
                  <c:v>nie było takich sytuacji</c:v>
                </c:pt>
              </c:strCache>
            </c:strRef>
          </c:cat>
          <c:val>
            <c:numRef>
              <c:f>Arkusz1!$G$3:$G$22</c:f>
              <c:numCache>
                <c:formatCode>###0.0%</c:formatCode>
                <c:ptCount val="20"/>
                <c:pt idx="0">
                  <c:v>1.142717513407553E-2</c:v>
                </c:pt>
                <c:pt idx="1">
                  <c:v>1.1970639088955045E-2</c:v>
                </c:pt>
                <c:pt idx="2">
                  <c:v>1.3349696488669462E-2</c:v>
                </c:pt>
                <c:pt idx="3">
                  <c:v>1.697711100192642E-2</c:v>
                </c:pt>
                <c:pt idx="4">
                  <c:v>2.1908243672028545E-2</c:v>
                </c:pt>
                <c:pt idx="5">
                  <c:v>5.4991206009012687E-2</c:v>
                </c:pt>
                <c:pt idx="6">
                  <c:v>6.7754198841407362E-2</c:v>
                </c:pt>
                <c:pt idx="7">
                  <c:v>6.9620587640925602E-2</c:v>
                </c:pt>
                <c:pt idx="8">
                  <c:v>7.4773202133985403E-2</c:v>
                </c:pt>
                <c:pt idx="9">
                  <c:v>8.7867591171038692E-2</c:v>
                </c:pt>
                <c:pt idx="10">
                  <c:v>8.9125575802143545E-2</c:v>
                </c:pt>
                <c:pt idx="11">
                  <c:v>9.03457492109314E-2</c:v>
                </c:pt>
                <c:pt idx="12">
                  <c:v>0.10107526011970372</c:v>
                </c:pt>
                <c:pt idx="13">
                  <c:v>0.10883203533171092</c:v>
                </c:pt>
                <c:pt idx="14">
                  <c:v>0.1107467119840717</c:v>
                </c:pt>
                <c:pt idx="15">
                  <c:v>0.11660766448866729</c:v>
                </c:pt>
                <c:pt idx="16">
                  <c:v>0.15174417510241608</c:v>
                </c:pt>
                <c:pt idx="17">
                  <c:v>0.17901469891781499</c:v>
                </c:pt>
                <c:pt idx="18">
                  <c:v>0.22372051451684513</c:v>
                </c:pt>
                <c:pt idx="19">
                  <c:v>0.26798939613299744</c:v>
                </c:pt>
              </c:numCache>
            </c:numRef>
          </c:val>
        </c:ser>
        <c:dLbls>
          <c:showLegendKey val="0"/>
          <c:showVal val="0"/>
          <c:showCatName val="0"/>
          <c:showSerName val="0"/>
          <c:showPercent val="0"/>
          <c:showBubbleSize val="0"/>
        </c:dLbls>
        <c:gapWidth val="182"/>
        <c:axId val="189431808"/>
        <c:axId val="189433344"/>
      </c:barChart>
      <c:catAx>
        <c:axId val="189431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l-PL"/>
          </a:p>
        </c:txPr>
        <c:crossAx val="189433344"/>
        <c:crosses val="autoZero"/>
        <c:auto val="1"/>
        <c:lblAlgn val="ctr"/>
        <c:lblOffset val="100"/>
        <c:noMultiLvlLbl val="0"/>
      </c:catAx>
      <c:valAx>
        <c:axId val="189433344"/>
        <c:scaling>
          <c:orientation val="minMax"/>
        </c:scaling>
        <c:delete val="1"/>
        <c:axPos val="b"/>
        <c:numFmt formatCode="###0.0%" sourceLinked="1"/>
        <c:majorTickMark val="none"/>
        <c:minorTickMark val="none"/>
        <c:tickLblPos val="nextTo"/>
        <c:crossAx val="189431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b="1">
                <a:effectLst/>
              </a:rPr>
              <a:t>Straty w dochodach z powodu marnotrawstwa żywności oraz nietrafionych zakupów</a:t>
            </a:r>
            <a:endParaRPr lang="pl-PL" sz="1200">
              <a:effectLst/>
            </a:endParaRPr>
          </a:p>
        </c:rich>
      </c:tx>
      <c:layout>
        <c:manualLayout>
          <c:xMode val="edge"/>
          <c:yMode val="edge"/>
          <c:x val="0.11428404782735492"/>
          <c:y val="2.5723472668810289E-2"/>
        </c:manualLayout>
      </c:layout>
      <c:overlay val="0"/>
    </c:title>
    <c:autoTitleDeleted val="0"/>
    <c:plotArea>
      <c:layout/>
      <c:barChart>
        <c:barDir val="col"/>
        <c:grouping val="clustered"/>
        <c:varyColors val="0"/>
        <c:ser>
          <c:idx val="0"/>
          <c:order val="0"/>
          <c:tx>
            <c:strRef>
              <c:f>Arkusz1!$B$1</c:f>
              <c:strCache>
                <c:ptCount val="1"/>
                <c:pt idx="0">
                  <c:v>Spontaniczne</c:v>
                </c:pt>
              </c:strCache>
            </c:strRef>
          </c:tx>
          <c:invertIfNegative val="0"/>
          <c:dLbls>
            <c:spPr>
              <a:noFill/>
              <a:ln>
                <a:noFill/>
              </a:ln>
              <a:effectLst/>
            </c:spPr>
            <c:txPr>
              <a:bodyPr/>
              <a:lstStyle/>
              <a:p>
                <a:pPr>
                  <a:defRPr sz="9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Nic</c:v>
                </c:pt>
                <c:pt idx="1">
                  <c:v>do 3%</c:v>
                </c:pt>
                <c:pt idx="2">
                  <c:v>do 5%</c:v>
                </c:pt>
                <c:pt idx="3">
                  <c:v>5-10%</c:v>
                </c:pt>
                <c:pt idx="4">
                  <c:v>10-20%</c:v>
                </c:pt>
                <c:pt idx="5">
                  <c:v>Ponad 20%</c:v>
                </c:pt>
              </c:strCache>
            </c:strRef>
          </c:cat>
          <c:val>
            <c:numRef>
              <c:f>Arkusz1!$B$2:$B$7</c:f>
              <c:numCache>
                <c:formatCode>###0%</c:formatCode>
                <c:ptCount val="6"/>
                <c:pt idx="0">
                  <c:v>0.26432266245348945</c:v>
                </c:pt>
                <c:pt idx="1">
                  <c:v>0.31420055673852576</c:v>
                </c:pt>
                <c:pt idx="2">
                  <c:v>0.18162427733968367</c:v>
                </c:pt>
                <c:pt idx="3">
                  <c:v>0.14599236643334002</c:v>
                </c:pt>
                <c:pt idx="4">
                  <c:v>6.9442312527210823E-2</c:v>
                </c:pt>
                <c:pt idx="5">
                  <c:v>2.4417824507752341E-2</c:v>
                </c:pt>
              </c:numCache>
            </c:numRef>
          </c:val>
        </c:ser>
        <c:dLbls>
          <c:showLegendKey val="0"/>
          <c:showVal val="0"/>
          <c:showCatName val="0"/>
          <c:showSerName val="0"/>
          <c:showPercent val="0"/>
          <c:showBubbleSize val="0"/>
        </c:dLbls>
        <c:gapWidth val="150"/>
        <c:axId val="189446784"/>
        <c:axId val="189641088"/>
      </c:barChart>
      <c:catAx>
        <c:axId val="189446784"/>
        <c:scaling>
          <c:orientation val="minMax"/>
        </c:scaling>
        <c:delete val="0"/>
        <c:axPos val="b"/>
        <c:numFmt formatCode="General" sourceLinked="1"/>
        <c:majorTickMark val="none"/>
        <c:minorTickMark val="none"/>
        <c:tickLblPos val="nextTo"/>
        <c:txPr>
          <a:bodyPr rot="-60000000" vert="horz"/>
          <a:lstStyle/>
          <a:p>
            <a:pPr>
              <a:defRPr sz="900"/>
            </a:pPr>
            <a:endParaRPr lang="pl-PL"/>
          </a:p>
        </c:txPr>
        <c:crossAx val="189641088"/>
        <c:crosses val="autoZero"/>
        <c:auto val="1"/>
        <c:lblAlgn val="ctr"/>
        <c:lblOffset val="100"/>
        <c:noMultiLvlLbl val="0"/>
      </c:catAx>
      <c:valAx>
        <c:axId val="189641088"/>
        <c:scaling>
          <c:orientation val="minMax"/>
          <c:max val="0.3300000000000004"/>
        </c:scaling>
        <c:delete val="1"/>
        <c:axPos val="l"/>
        <c:numFmt formatCode="###0%" sourceLinked="1"/>
        <c:majorTickMark val="none"/>
        <c:minorTickMark val="none"/>
        <c:tickLblPos val="nextTo"/>
        <c:crossAx val="18944678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1C61-5E69-4AC2-B658-4D1F5E0F2F9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3D8AC14-4F90-431D-95C5-06D40A7A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1011</Words>
  <Characters>6070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BIK S.A.</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Kochalska Halina</dc:creator>
  <cp:lastModifiedBy>Borowiecka Diana</cp:lastModifiedBy>
  <cp:revision>10</cp:revision>
  <cp:lastPrinted>2019-04-15T14:59:00Z</cp:lastPrinted>
  <dcterms:created xsi:type="dcterms:W3CDTF">2019-04-17T09:36:00Z</dcterms:created>
  <dcterms:modified xsi:type="dcterms:W3CDTF">2019-04-18T06:53:00Z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c2a357b3-49f2-49b2-bc45-e81f551ed2f3</vt:lpwstr>
  </property>
  <property fmtid="{D5CDD505-2E9C-101B-9397-08002B2CF9AE}" pid="3"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Jawne</vt:lpwstr>
  </property>
  <property fmtid="{D5CDD505-2E9C-101B-9397-08002B2CF9AE}" pid="6" name="bjSaver">
    <vt:lpwstr>6ntNSksSHiginG8KZDJKRJ7O3fVY3zq8</vt:lpwstr>
  </property>
</Properties>
</file>