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8E" w:rsidRPr="00EA4127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  <w:r w:rsidRPr="00EA4127">
        <w:rPr>
          <w:rFonts w:ascii="StoneSansPl" w:hAnsi="StoneSansPl" w:cs="Arial"/>
          <w:bCs/>
          <w:szCs w:val="22"/>
        </w:rPr>
        <w:t>Informacja prasowa</w:t>
      </w:r>
    </w:p>
    <w:p w:rsidR="003E158E" w:rsidRPr="00EA4127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  <w:r w:rsidRPr="00EA4127">
        <w:rPr>
          <w:rFonts w:ascii="StoneSansPl" w:hAnsi="StoneSansPl" w:cs="Arial"/>
          <w:bCs/>
          <w:szCs w:val="22"/>
        </w:rPr>
        <w:t xml:space="preserve">  Warszawa, </w:t>
      </w:r>
      <w:r w:rsidR="00EA4127" w:rsidRPr="00EA4127">
        <w:rPr>
          <w:rFonts w:ascii="StoneSansPl" w:hAnsi="StoneSansPl" w:cs="Arial"/>
          <w:bCs/>
          <w:szCs w:val="22"/>
        </w:rPr>
        <w:t>7</w:t>
      </w:r>
      <w:r w:rsidR="00885075" w:rsidRPr="00EA4127">
        <w:rPr>
          <w:rFonts w:ascii="StoneSansPl" w:hAnsi="StoneSansPl" w:cs="Arial"/>
          <w:bCs/>
          <w:szCs w:val="22"/>
        </w:rPr>
        <w:t xml:space="preserve"> maja </w:t>
      </w:r>
      <w:r w:rsidR="00475F17" w:rsidRPr="00EA4127">
        <w:rPr>
          <w:rFonts w:ascii="StoneSansPl" w:hAnsi="StoneSansPl" w:cs="Arial"/>
          <w:bCs/>
          <w:szCs w:val="22"/>
        </w:rPr>
        <w:t>201</w:t>
      </w:r>
      <w:r w:rsidR="009F13E6" w:rsidRPr="00EA4127">
        <w:rPr>
          <w:rFonts w:ascii="StoneSansPl" w:hAnsi="StoneSansPl" w:cs="Arial"/>
          <w:bCs/>
          <w:szCs w:val="22"/>
        </w:rPr>
        <w:t>9</w:t>
      </w:r>
      <w:r w:rsidRPr="00EA4127">
        <w:rPr>
          <w:rFonts w:ascii="StoneSansPl" w:hAnsi="StoneSansPl" w:cs="Arial"/>
          <w:bCs/>
          <w:szCs w:val="22"/>
        </w:rPr>
        <w:t xml:space="preserve"> r.</w:t>
      </w:r>
    </w:p>
    <w:p w:rsidR="003E158E" w:rsidRPr="00EA4127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</w:p>
    <w:p w:rsidR="00416099" w:rsidRPr="00EA4127" w:rsidRDefault="00E93285" w:rsidP="001B339E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  <w:r w:rsidRPr="00EA4127">
        <w:rPr>
          <w:rFonts w:ascii="StoneSansPl" w:hAnsi="StoneSansPl" w:cs="Arial"/>
          <w:b/>
          <w:sz w:val="32"/>
          <w:szCs w:val="22"/>
        </w:rPr>
        <w:t xml:space="preserve"> </w:t>
      </w:r>
    </w:p>
    <w:p w:rsidR="00AA7B12" w:rsidRPr="00EA4127" w:rsidRDefault="000C4993" w:rsidP="001B339E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  <w:r w:rsidRPr="00EA4127">
        <w:rPr>
          <w:rFonts w:ascii="StoneSansPl" w:hAnsi="StoneSansPl" w:cs="Arial"/>
          <w:b/>
          <w:sz w:val="32"/>
          <w:szCs w:val="22"/>
        </w:rPr>
        <w:t xml:space="preserve">UNIQA </w:t>
      </w:r>
      <w:r w:rsidR="00E62FCE" w:rsidRPr="00EA4127">
        <w:rPr>
          <w:rFonts w:ascii="StoneSansPl" w:hAnsi="StoneSansPl" w:cs="Arial"/>
          <w:b/>
          <w:sz w:val="32"/>
          <w:szCs w:val="22"/>
        </w:rPr>
        <w:t>z ofertą dla deweloperów</w:t>
      </w:r>
    </w:p>
    <w:p w:rsidR="00AA7B12" w:rsidRDefault="00AA7B12" w:rsidP="001B339E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</w:p>
    <w:p w:rsidR="00AA7B12" w:rsidRPr="00BA4F1D" w:rsidRDefault="00AA7B12" w:rsidP="001B339E">
      <w:pPr>
        <w:spacing w:line="276" w:lineRule="auto"/>
        <w:jc w:val="both"/>
        <w:rPr>
          <w:rFonts w:ascii="StoneSansPl" w:hAnsi="StoneSansPl" w:cs="Arial"/>
          <w:b/>
          <w:szCs w:val="22"/>
        </w:rPr>
      </w:pPr>
    </w:p>
    <w:p w:rsidR="00626F8B" w:rsidRPr="00626F8B" w:rsidRDefault="00457F4C" w:rsidP="00626F8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UNIQA Polska przygotowała s</w:t>
      </w:r>
      <w:r w:rsidR="00626F8B">
        <w:rPr>
          <w:rFonts w:ascii="StoneSansPl" w:hAnsi="StoneSansPl"/>
          <w:b/>
          <w:sz w:val="28"/>
          <w:szCs w:val="28"/>
        </w:rPr>
        <w:t>pecjalny</w:t>
      </w:r>
      <w:r w:rsidR="00626F8B" w:rsidRPr="00626F8B">
        <w:rPr>
          <w:rFonts w:ascii="StoneSansPl" w:hAnsi="StoneSansPl"/>
          <w:b/>
          <w:sz w:val="28"/>
          <w:szCs w:val="28"/>
        </w:rPr>
        <w:t xml:space="preserve"> Pakiet dla Deweloperów</w:t>
      </w:r>
    </w:p>
    <w:p w:rsidR="00626F8B" w:rsidRPr="00626F8B" w:rsidRDefault="00457F4C" w:rsidP="00626F8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 xml:space="preserve">Została </w:t>
      </w:r>
      <w:r w:rsidR="008A22A0">
        <w:rPr>
          <w:rFonts w:ascii="StoneSansPl" w:hAnsi="StoneSansPl"/>
          <w:b/>
          <w:sz w:val="28"/>
          <w:szCs w:val="28"/>
        </w:rPr>
        <w:t xml:space="preserve">także </w:t>
      </w:r>
      <w:r w:rsidR="00626F8B">
        <w:rPr>
          <w:rFonts w:ascii="StoneSansPl" w:hAnsi="StoneSansPl"/>
          <w:b/>
          <w:sz w:val="28"/>
          <w:szCs w:val="28"/>
        </w:rPr>
        <w:t>wyłącznym p</w:t>
      </w:r>
      <w:r w:rsidR="00626F8B" w:rsidRPr="00626F8B">
        <w:rPr>
          <w:rFonts w:ascii="StoneSansPl" w:hAnsi="StoneSansPl"/>
          <w:b/>
          <w:sz w:val="28"/>
          <w:szCs w:val="28"/>
        </w:rPr>
        <w:t>artnerem ubezpieczeniowym Polskiego Związku Firm Deweloperskich</w:t>
      </w:r>
    </w:p>
    <w:p w:rsidR="009F550F" w:rsidRPr="005C7D39" w:rsidRDefault="009F550F" w:rsidP="00331259">
      <w:pPr>
        <w:pStyle w:val="Akapitzlist"/>
        <w:spacing w:line="276" w:lineRule="auto"/>
        <w:contextualSpacing/>
        <w:jc w:val="both"/>
        <w:rPr>
          <w:rFonts w:ascii="StoneSansPl" w:hAnsi="StoneSansPl"/>
          <w:b/>
          <w:sz w:val="28"/>
          <w:szCs w:val="28"/>
        </w:rPr>
      </w:pPr>
    </w:p>
    <w:p w:rsidR="00E62FCE" w:rsidRPr="00655781" w:rsidRDefault="00E62FCE" w:rsidP="00655781">
      <w:pPr>
        <w:spacing w:line="276" w:lineRule="auto"/>
        <w:jc w:val="both"/>
        <w:rPr>
          <w:rFonts w:ascii="StoneSansPl" w:hAnsi="StoneSansPl"/>
          <w:b/>
          <w:sz w:val="24"/>
        </w:rPr>
      </w:pPr>
      <w:r w:rsidRPr="00655781">
        <w:rPr>
          <w:rFonts w:ascii="StoneSansPl" w:hAnsi="StoneSansPl"/>
          <w:b/>
          <w:sz w:val="24"/>
        </w:rPr>
        <w:br/>
      </w:r>
      <w:r w:rsidR="00655781" w:rsidRPr="00655781">
        <w:rPr>
          <w:rFonts w:ascii="StoneSansPl" w:hAnsi="StoneSansPl"/>
          <w:b/>
          <w:sz w:val="24"/>
        </w:rPr>
        <w:t xml:space="preserve">UNIQA od lat jest liderem </w:t>
      </w:r>
      <w:r w:rsidRPr="00655781">
        <w:rPr>
          <w:rFonts w:ascii="StoneSansPl" w:hAnsi="StoneSansPl"/>
          <w:b/>
          <w:sz w:val="24"/>
        </w:rPr>
        <w:t>rynku w ubezpieczeniach</w:t>
      </w:r>
      <w:r w:rsidR="00885075">
        <w:rPr>
          <w:rFonts w:ascii="StoneSansPl" w:hAnsi="StoneSansPl"/>
          <w:b/>
          <w:sz w:val="24"/>
        </w:rPr>
        <w:t xml:space="preserve"> dla</w:t>
      </w:r>
      <w:r w:rsidRPr="00655781">
        <w:rPr>
          <w:rFonts w:ascii="StoneSansPl" w:hAnsi="StoneSansPl"/>
          <w:b/>
          <w:sz w:val="24"/>
        </w:rPr>
        <w:t xml:space="preserve"> mieszkalnictwa</w:t>
      </w:r>
      <w:r w:rsidR="00885075">
        <w:rPr>
          <w:rFonts w:ascii="StoneSansPl" w:hAnsi="StoneSansPl"/>
          <w:b/>
          <w:sz w:val="24"/>
        </w:rPr>
        <w:t xml:space="preserve"> i stale widzi</w:t>
      </w:r>
      <w:r w:rsidRPr="00655781">
        <w:rPr>
          <w:rFonts w:ascii="StoneSansPl" w:hAnsi="StoneSansPl"/>
          <w:b/>
          <w:sz w:val="24"/>
        </w:rPr>
        <w:t xml:space="preserve"> ogromny potencjał i możliwości do rozwoju </w:t>
      </w:r>
      <w:r w:rsidR="00655781">
        <w:rPr>
          <w:rFonts w:ascii="StoneSansPl" w:hAnsi="StoneSansPl"/>
          <w:b/>
          <w:sz w:val="24"/>
        </w:rPr>
        <w:t>w tym segmencie</w:t>
      </w:r>
      <w:r w:rsidRPr="00655781">
        <w:rPr>
          <w:rFonts w:ascii="StoneSansPl" w:hAnsi="StoneSansPl"/>
          <w:b/>
          <w:sz w:val="24"/>
        </w:rPr>
        <w:t xml:space="preserve">. </w:t>
      </w:r>
      <w:r w:rsidR="00655781">
        <w:rPr>
          <w:rFonts w:ascii="StoneSansPl" w:hAnsi="StoneSansPl"/>
          <w:b/>
          <w:sz w:val="24"/>
        </w:rPr>
        <w:t>Właśnie</w:t>
      </w:r>
      <w:r w:rsidRPr="00655781">
        <w:rPr>
          <w:rFonts w:ascii="StoneSansPl" w:hAnsi="StoneSansPl"/>
          <w:b/>
          <w:sz w:val="24"/>
        </w:rPr>
        <w:t xml:space="preserve"> </w:t>
      </w:r>
      <w:r w:rsidR="00885075">
        <w:rPr>
          <w:rFonts w:ascii="StoneSansPl" w:hAnsi="StoneSansPl"/>
          <w:b/>
          <w:sz w:val="24"/>
        </w:rPr>
        <w:t>rozpoczęła</w:t>
      </w:r>
      <w:r w:rsidRPr="00655781">
        <w:rPr>
          <w:rFonts w:ascii="StoneSansPl" w:hAnsi="StoneSansPl"/>
          <w:b/>
          <w:sz w:val="24"/>
        </w:rPr>
        <w:t xml:space="preserve"> współpracę z deweloperami</w:t>
      </w:r>
      <w:r w:rsidR="00655781">
        <w:rPr>
          <w:rFonts w:ascii="StoneSansPl" w:hAnsi="StoneSansPl"/>
          <w:b/>
          <w:sz w:val="24"/>
        </w:rPr>
        <w:t xml:space="preserve"> i </w:t>
      </w:r>
      <w:r w:rsidR="00885075">
        <w:rPr>
          <w:rFonts w:ascii="StoneSansPl" w:hAnsi="StoneSansPl"/>
          <w:b/>
          <w:sz w:val="24"/>
        </w:rPr>
        <w:t>z myślą o nich przygotowała sp</w:t>
      </w:r>
      <w:r w:rsidR="00655781">
        <w:rPr>
          <w:rFonts w:ascii="StoneSansPl" w:hAnsi="StoneSansPl"/>
          <w:b/>
          <w:sz w:val="24"/>
        </w:rPr>
        <w:t>ecjalny pakiet ubezpieczeń</w:t>
      </w:r>
      <w:r w:rsidR="00655781" w:rsidRPr="00655781">
        <w:rPr>
          <w:rFonts w:ascii="StoneSansPl" w:hAnsi="StoneSansPl"/>
          <w:b/>
          <w:sz w:val="24"/>
        </w:rPr>
        <w:t>.</w:t>
      </w:r>
      <w:r w:rsidR="00655781">
        <w:rPr>
          <w:rFonts w:ascii="StoneSansPl" w:hAnsi="StoneSansPl"/>
          <w:b/>
          <w:sz w:val="24"/>
        </w:rPr>
        <w:t xml:space="preserve"> </w:t>
      </w:r>
      <w:r w:rsidR="00885075">
        <w:rPr>
          <w:rFonts w:ascii="StoneSansPl" w:hAnsi="StoneSansPl"/>
          <w:b/>
          <w:sz w:val="24"/>
        </w:rPr>
        <w:t>Nawiązała</w:t>
      </w:r>
      <w:r w:rsidR="00655781" w:rsidRPr="00655781">
        <w:rPr>
          <w:rFonts w:ascii="StoneSansPl" w:hAnsi="StoneSansPl"/>
          <w:b/>
          <w:sz w:val="24"/>
        </w:rPr>
        <w:t xml:space="preserve"> także współprac</w:t>
      </w:r>
      <w:r w:rsidR="00655781">
        <w:rPr>
          <w:rFonts w:ascii="StoneSansPl" w:hAnsi="StoneSansPl"/>
          <w:b/>
          <w:sz w:val="24"/>
        </w:rPr>
        <w:t>ę</w:t>
      </w:r>
      <w:r w:rsidR="00655781" w:rsidRPr="00655781">
        <w:rPr>
          <w:rFonts w:ascii="StoneSansPl" w:hAnsi="StoneSansPl"/>
          <w:b/>
          <w:sz w:val="24"/>
        </w:rPr>
        <w:t xml:space="preserve"> z Polskim Związkiem Firm Deweloperskich, organizacją zrzeszającą ponad 180 deweloperów. </w:t>
      </w:r>
    </w:p>
    <w:p w:rsidR="00655781" w:rsidRPr="00655781" w:rsidRDefault="00655781" w:rsidP="00655781">
      <w:pPr>
        <w:spacing w:line="276" w:lineRule="auto"/>
        <w:jc w:val="both"/>
        <w:rPr>
          <w:rFonts w:ascii="StoneSansPl" w:hAnsi="StoneSansPl"/>
        </w:rPr>
      </w:pPr>
    </w:p>
    <w:p w:rsidR="00E62FCE" w:rsidRDefault="00E62FCE" w:rsidP="00655781">
      <w:pPr>
        <w:spacing w:line="276" w:lineRule="auto"/>
        <w:jc w:val="both"/>
        <w:rPr>
          <w:rFonts w:ascii="StoneSansPl" w:hAnsi="StoneSansPl"/>
        </w:rPr>
      </w:pPr>
      <w:r w:rsidRPr="00655781">
        <w:rPr>
          <w:rFonts w:ascii="StoneSansPl" w:hAnsi="StoneSansPl"/>
        </w:rPr>
        <w:t xml:space="preserve">UNIQA ubezpiecza 70 proc. spółdzielni i ponad 40 proc. wspólnot mieszkaniowych w Polsce. Zalążkiem każdej wspólnoty, czyli potencjalnego klienta UNIQA, jest deweloper - jego proces inwestycyjny, sprzedaży mieszkań </w:t>
      </w:r>
      <w:r w:rsidR="007A50F4">
        <w:rPr>
          <w:rFonts w:ascii="StoneSansPl" w:hAnsi="StoneSansPl"/>
        </w:rPr>
        <w:t>oraz</w:t>
      </w:r>
      <w:r w:rsidRPr="00655781">
        <w:rPr>
          <w:rFonts w:ascii="StoneSansPl" w:hAnsi="StoneSansPl"/>
        </w:rPr>
        <w:t xml:space="preserve"> późniejsze </w:t>
      </w:r>
      <w:r w:rsidR="007A50F4">
        <w:rPr>
          <w:rFonts w:ascii="StoneSansPl" w:hAnsi="StoneSansPl"/>
        </w:rPr>
        <w:t xml:space="preserve">przekazanie budynku pod </w:t>
      </w:r>
      <w:r w:rsidRPr="00655781">
        <w:rPr>
          <w:rFonts w:ascii="StoneSansPl" w:hAnsi="StoneSansPl"/>
        </w:rPr>
        <w:t>zarządzanie. Właściwy moment nawiązania współpracy z deweloperem i zapewnienie mu kompleksowej ochrony daje przewagę rynkową na etapie późniejszego ubezpieczenia wspólnoty mieszkaniowej, a także jej mieszkańców.</w:t>
      </w:r>
    </w:p>
    <w:p w:rsidR="00885075" w:rsidRPr="00655781" w:rsidRDefault="00885075" w:rsidP="00655781">
      <w:pPr>
        <w:spacing w:line="276" w:lineRule="auto"/>
        <w:jc w:val="both"/>
        <w:rPr>
          <w:rFonts w:ascii="StoneSansPl" w:hAnsi="StoneSansPl"/>
        </w:rPr>
      </w:pPr>
    </w:p>
    <w:p w:rsidR="00E62FCE" w:rsidRPr="00655781" w:rsidRDefault="00885075" w:rsidP="00655781">
      <w:pPr>
        <w:spacing w:line="276" w:lineRule="auto"/>
        <w:jc w:val="both"/>
        <w:rPr>
          <w:rFonts w:ascii="StoneSansPl" w:hAnsi="StoneSansPl"/>
        </w:rPr>
      </w:pPr>
      <w:r w:rsidRPr="000D3FA9">
        <w:rPr>
          <w:rFonts w:ascii="StoneSansPl" w:hAnsi="StoneSansPl"/>
          <w:i/>
        </w:rPr>
        <w:t xml:space="preserve">- </w:t>
      </w:r>
      <w:r w:rsidR="00E62FCE" w:rsidRPr="000D3FA9">
        <w:rPr>
          <w:rFonts w:ascii="StoneSansPl" w:hAnsi="StoneSansPl"/>
          <w:i/>
        </w:rPr>
        <w:t xml:space="preserve">Pod koniec ubiegłego roku w Polsce funkcjonowało 176 </w:t>
      </w:r>
      <w:r w:rsidR="00A0110C" w:rsidRPr="000D3FA9">
        <w:rPr>
          <w:rFonts w:ascii="StoneSansPl" w:hAnsi="StoneSansPl"/>
          <w:i/>
        </w:rPr>
        <w:t xml:space="preserve">tys. </w:t>
      </w:r>
      <w:r w:rsidR="00E62FCE" w:rsidRPr="000D3FA9">
        <w:rPr>
          <w:rFonts w:ascii="StoneSansPl" w:hAnsi="StoneSansPl"/>
          <w:i/>
        </w:rPr>
        <w:t>wspólnot mieszkaniowych, a warto</w:t>
      </w:r>
      <w:r w:rsidR="00E62FCE" w:rsidRPr="000D3FA9">
        <w:rPr>
          <w:rFonts w:ascii="StoneSansPl" w:hAnsi="StoneSansPl" w:hint="eastAsia"/>
          <w:i/>
        </w:rPr>
        <w:t>ść</w:t>
      </w:r>
      <w:r w:rsidR="00E62FCE" w:rsidRPr="000D3FA9">
        <w:rPr>
          <w:rFonts w:ascii="StoneSansPl" w:hAnsi="StoneSansPl"/>
          <w:i/>
        </w:rPr>
        <w:t xml:space="preserve"> tego rynku szacuje si</w:t>
      </w:r>
      <w:r w:rsidR="00E62FCE" w:rsidRPr="000D3FA9">
        <w:rPr>
          <w:rFonts w:ascii="StoneSansPl" w:hAnsi="StoneSansPl" w:hint="eastAsia"/>
          <w:i/>
        </w:rPr>
        <w:t>ę</w:t>
      </w:r>
      <w:r w:rsidR="00E62FCE" w:rsidRPr="000D3FA9">
        <w:rPr>
          <w:rFonts w:ascii="StoneSansPl" w:hAnsi="StoneSansPl"/>
          <w:i/>
        </w:rPr>
        <w:t xml:space="preserve"> na 1,3 </w:t>
      </w:r>
      <w:proofErr w:type="spellStart"/>
      <w:r w:rsidRPr="000D3FA9">
        <w:rPr>
          <w:rFonts w:ascii="StoneSansPl" w:hAnsi="StoneSansPl"/>
          <w:i/>
        </w:rPr>
        <w:t>bn</w:t>
      </w:r>
      <w:proofErr w:type="spellEnd"/>
      <w:r w:rsidR="00E62FCE" w:rsidRPr="000D3FA9">
        <w:rPr>
          <w:rFonts w:ascii="StoneSansPl" w:hAnsi="StoneSansPl"/>
          <w:i/>
        </w:rPr>
        <w:t xml:space="preserve"> z</w:t>
      </w:r>
      <w:r w:rsidR="00E62FCE" w:rsidRPr="000D3FA9">
        <w:rPr>
          <w:rFonts w:ascii="StoneSansPl" w:hAnsi="StoneSansPl" w:hint="eastAsia"/>
          <w:i/>
        </w:rPr>
        <w:t>ł</w:t>
      </w:r>
      <w:r w:rsidR="00E62FCE" w:rsidRPr="000D3FA9">
        <w:rPr>
          <w:rFonts w:ascii="StoneSansPl" w:hAnsi="StoneSansPl"/>
          <w:i/>
        </w:rPr>
        <w:t>. To ogromny potencjał. Dlatego w strategię UNIQA dla Mieszkalnictwa wpisujemy intensywny rozwój na rynku nowyc</w:t>
      </w:r>
      <w:r w:rsidRPr="000D3FA9">
        <w:rPr>
          <w:rFonts w:ascii="StoneSansPl" w:hAnsi="StoneSansPl"/>
          <w:i/>
        </w:rPr>
        <w:t>h nieruchomości</w:t>
      </w:r>
      <w:r w:rsidRPr="000D3FA9">
        <w:rPr>
          <w:rFonts w:ascii="StoneSansPl" w:hAnsi="StoneSansPl"/>
        </w:rPr>
        <w:t xml:space="preserve"> mieszkaniowych</w:t>
      </w:r>
      <w:r>
        <w:rPr>
          <w:rFonts w:ascii="StoneSansPl" w:hAnsi="StoneSansPl"/>
        </w:rPr>
        <w:t xml:space="preserve"> – mówi </w:t>
      </w:r>
      <w:r w:rsidRPr="000D3FA9">
        <w:rPr>
          <w:rFonts w:ascii="StoneSansPl" w:hAnsi="StoneSansPl"/>
          <w:b/>
        </w:rPr>
        <w:t>Rafał Kukier</w:t>
      </w:r>
      <w:r>
        <w:rPr>
          <w:rFonts w:ascii="StoneSansPl" w:hAnsi="StoneSansPl"/>
        </w:rPr>
        <w:t xml:space="preserve">, dyrektor Departamentu Sprzedaży – Mieszkalnictwo i Ubezpieczenia Korporacyjne. </w:t>
      </w:r>
    </w:p>
    <w:p w:rsidR="00E62FCE" w:rsidRPr="00655781" w:rsidRDefault="00E62FCE" w:rsidP="00655781">
      <w:pPr>
        <w:spacing w:line="276" w:lineRule="auto"/>
        <w:jc w:val="both"/>
        <w:rPr>
          <w:rFonts w:ascii="StoneSansPl" w:hAnsi="StoneSansPl"/>
        </w:rPr>
      </w:pPr>
    </w:p>
    <w:p w:rsidR="00885075" w:rsidRPr="00626F8B" w:rsidRDefault="00885075" w:rsidP="00885075">
      <w:pPr>
        <w:spacing w:line="276" w:lineRule="auto"/>
        <w:jc w:val="both"/>
        <w:rPr>
          <w:rFonts w:ascii="StoneSansPl" w:hAnsi="StoneSansPl"/>
        </w:rPr>
      </w:pPr>
      <w:r>
        <w:rPr>
          <w:rFonts w:ascii="StoneSansPl" w:hAnsi="StoneSansPl"/>
        </w:rPr>
        <w:t>UNIQA rozpoczęła już</w:t>
      </w:r>
      <w:r w:rsidR="00E62FCE" w:rsidRPr="00655781">
        <w:rPr>
          <w:rFonts w:ascii="StoneSansPl" w:hAnsi="StoneSansPl"/>
        </w:rPr>
        <w:t xml:space="preserve"> współpracę z Polskim Związkiem Firm Deweloperskich (PZFD), organizacją zrzeszającą ponad 180 deweloperów. </w:t>
      </w:r>
      <w:r>
        <w:rPr>
          <w:rFonts w:ascii="StoneSansPl" w:hAnsi="StoneSansPl"/>
        </w:rPr>
        <w:t>Została wyłącznym p</w:t>
      </w:r>
      <w:r w:rsidRPr="00626F8B">
        <w:rPr>
          <w:rFonts w:ascii="StoneSansPl" w:hAnsi="StoneSansPl"/>
        </w:rPr>
        <w:t xml:space="preserve">artnerem ubezpieczeniowym </w:t>
      </w:r>
      <w:r>
        <w:rPr>
          <w:rFonts w:ascii="StoneSansPl" w:hAnsi="StoneSansPl"/>
        </w:rPr>
        <w:t>związku.</w:t>
      </w:r>
    </w:p>
    <w:p w:rsidR="00885075" w:rsidRDefault="00885075" w:rsidP="00655781">
      <w:pPr>
        <w:spacing w:line="276" w:lineRule="auto"/>
        <w:jc w:val="both"/>
        <w:rPr>
          <w:rFonts w:ascii="StoneSansPl" w:hAnsi="StoneSansPl"/>
        </w:rPr>
      </w:pPr>
    </w:p>
    <w:p w:rsidR="00885075" w:rsidRPr="00105A0B" w:rsidRDefault="00885075" w:rsidP="00655781">
      <w:pPr>
        <w:spacing w:line="276" w:lineRule="auto"/>
        <w:jc w:val="both"/>
        <w:rPr>
          <w:rFonts w:ascii="StoneSansPl" w:hAnsi="StoneSansPl"/>
          <w:i/>
        </w:rPr>
      </w:pPr>
      <w:r w:rsidRPr="00105A0B">
        <w:rPr>
          <w:rFonts w:ascii="StoneSansPl" w:hAnsi="StoneSansPl"/>
          <w:i/>
        </w:rPr>
        <w:t xml:space="preserve">- </w:t>
      </w:r>
      <w:r w:rsidR="00E62FCE" w:rsidRPr="00105A0B">
        <w:rPr>
          <w:rFonts w:ascii="StoneSansPl" w:hAnsi="StoneSansPl"/>
          <w:i/>
        </w:rPr>
        <w:t xml:space="preserve">Chcemy być zaufanym partnerem </w:t>
      </w:r>
      <w:r w:rsidR="003A77E8" w:rsidRPr="00105A0B">
        <w:rPr>
          <w:rFonts w:ascii="StoneSansPl" w:hAnsi="StoneSansPl"/>
          <w:i/>
        </w:rPr>
        <w:t xml:space="preserve">oraz </w:t>
      </w:r>
      <w:r w:rsidR="00E62FCE" w:rsidRPr="00105A0B">
        <w:rPr>
          <w:rFonts w:ascii="StoneSansPl" w:hAnsi="StoneSansPl"/>
          <w:i/>
        </w:rPr>
        <w:t>dostawcą sprawdzonych i potrzebnych usług u</w:t>
      </w:r>
      <w:r w:rsidRPr="00105A0B">
        <w:rPr>
          <w:rFonts w:ascii="StoneSansPl" w:hAnsi="StoneSansPl"/>
          <w:i/>
        </w:rPr>
        <w:t xml:space="preserve">bezpieczeniowych dla tego rynku – </w:t>
      </w:r>
      <w:bookmarkStart w:id="0" w:name="_GoBack"/>
      <w:r w:rsidRPr="00105A0B">
        <w:rPr>
          <w:rFonts w:ascii="StoneSansPl" w:hAnsi="StoneSansPl"/>
        </w:rPr>
        <w:t>zapewnia</w:t>
      </w:r>
      <w:r w:rsidRPr="00105A0B">
        <w:rPr>
          <w:rFonts w:ascii="StoneSansPl" w:hAnsi="StoneSansPl"/>
          <w:b/>
        </w:rPr>
        <w:t xml:space="preserve"> </w:t>
      </w:r>
      <w:bookmarkEnd w:id="0"/>
      <w:r w:rsidRPr="00105A0B">
        <w:rPr>
          <w:rFonts w:ascii="StoneSansPl" w:hAnsi="StoneSansPl"/>
          <w:b/>
        </w:rPr>
        <w:t xml:space="preserve">Rafał Kukier. </w:t>
      </w:r>
      <w:r w:rsidRPr="00105A0B">
        <w:rPr>
          <w:rFonts w:ascii="StoneSansPl" w:hAnsi="StoneSansPl"/>
          <w:i/>
        </w:rPr>
        <w:t xml:space="preserve">- </w:t>
      </w:r>
      <w:r w:rsidR="00E62FCE" w:rsidRPr="00105A0B">
        <w:rPr>
          <w:rFonts w:ascii="StoneSansPl" w:hAnsi="StoneSansPl"/>
          <w:i/>
        </w:rPr>
        <w:t xml:space="preserve">Udział w szkoleniach i spotkaniach branżowych organizowanych przez </w:t>
      </w:r>
      <w:r w:rsidR="00632705" w:rsidRPr="00105A0B">
        <w:rPr>
          <w:rFonts w:ascii="StoneSansPl" w:hAnsi="StoneSansPl"/>
          <w:i/>
        </w:rPr>
        <w:t>związek</w:t>
      </w:r>
      <w:r w:rsidR="00E62FCE" w:rsidRPr="00105A0B">
        <w:rPr>
          <w:rFonts w:ascii="StoneSansPl" w:hAnsi="StoneSansPl"/>
          <w:i/>
        </w:rPr>
        <w:t xml:space="preserve"> pozwala nam analizować potrzeby tego rynku i uczyć się go. Dzięki temu możemy wciąż lepiej dopasowywać ofertę do oczekiwań klientów. </w:t>
      </w:r>
    </w:p>
    <w:p w:rsidR="00885075" w:rsidRPr="000D3FA9" w:rsidRDefault="00885075" w:rsidP="00655781">
      <w:pPr>
        <w:spacing w:line="276" w:lineRule="auto"/>
        <w:jc w:val="both"/>
        <w:rPr>
          <w:rFonts w:ascii="StoneSansPl" w:hAnsi="StoneSansPl"/>
        </w:rPr>
      </w:pPr>
    </w:p>
    <w:p w:rsidR="00E62FCE" w:rsidRDefault="00E62FCE" w:rsidP="00655781">
      <w:pPr>
        <w:spacing w:line="276" w:lineRule="auto"/>
        <w:jc w:val="both"/>
        <w:rPr>
          <w:rFonts w:ascii="StoneSansPl" w:hAnsi="StoneSansPl"/>
        </w:rPr>
      </w:pPr>
      <w:r w:rsidRPr="00655781">
        <w:rPr>
          <w:rFonts w:ascii="StoneSansPl" w:hAnsi="StoneSansPl"/>
        </w:rPr>
        <w:lastRenderedPageBreak/>
        <w:t xml:space="preserve">Bazując na coraz lepszej znajomości tego środowiska i rozumiejąc jego potrzeby, przygotowaliśmy Pakiet dla Dewelopera - ofertę ubezpieczeń związanych ze sprzedażą lokali mieszkalnych i użytkowych, jak również zabezpieczenia prowadzonych inwestycji na każdym etapie ich realizacji. </w:t>
      </w:r>
    </w:p>
    <w:p w:rsidR="00E62FCE" w:rsidRPr="00655781" w:rsidRDefault="00E62FCE" w:rsidP="00655781">
      <w:pPr>
        <w:spacing w:line="276" w:lineRule="auto"/>
        <w:jc w:val="both"/>
        <w:rPr>
          <w:rFonts w:ascii="StoneSansPl" w:hAnsi="StoneSansPl"/>
        </w:rPr>
      </w:pPr>
    </w:p>
    <w:p w:rsidR="00E62FCE" w:rsidRPr="000D3FA9" w:rsidRDefault="00143C43" w:rsidP="00655781">
      <w:pPr>
        <w:spacing w:line="276" w:lineRule="auto"/>
        <w:jc w:val="both"/>
        <w:rPr>
          <w:rFonts w:ascii="StoneSansPl" w:hAnsi="StoneSansPl"/>
        </w:rPr>
      </w:pPr>
      <w:r w:rsidRPr="00632705">
        <w:rPr>
          <w:rFonts w:ascii="StoneSansPl" w:hAnsi="StoneSansPl"/>
        </w:rPr>
        <w:t xml:space="preserve">- </w:t>
      </w:r>
      <w:r w:rsidR="00E62FCE" w:rsidRPr="000D3FA9">
        <w:rPr>
          <w:rFonts w:ascii="StoneSansPl" w:hAnsi="StoneSansPl"/>
          <w:i/>
        </w:rPr>
        <w:t>Jeste</w:t>
      </w:r>
      <w:r w:rsidR="00E62FCE" w:rsidRPr="000D3FA9">
        <w:rPr>
          <w:rFonts w:ascii="StoneSansPl" w:hAnsi="StoneSansPl" w:hint="eastAsia"/>
          <w:i/>
        </w:rPr>
        <w:t>ś</w:t>
      </w:r>
      <w:r w:rsidR="00E62FCE" w:rsidRPr="000D3FA9">
        <w:rPr>
          <w:rFonts w:ascii="StoneSansPl" w:hAnsi="StoneSansPl"/>
          <w:i/>
        </w:rPr>
        <w:t>my przekonani co do du</w:t>
      </w:r>
      <w:r w:rsidR="00E62FCE" w:rsidRPr="000D3FA9">
        <w:rPr>
          <w:rFonts w:ascii="StoneSansPl" w:hAnsi="StoneSansPl" w:hint="eastAsia"/>
          <w:i/>
        </w:rPr>
        <w:t>ż</w:t>
      </w:r>
      <w:r w:rsidR="00E62FCE" w:rsidRPr="000D3FA9">
        <w:rPr>
          <w:rFonts w:ascii="StoneSansPl" w:hAnsi="StoneSansPl"/>
          <w:i/>
        </w:rPr>
        <w:t>ego potencja</w:t>
      </w:r>
      <w:r w:rsidR="00E62FCE" w:rsidRPr="000D3FA9">
        <w:rPr>
          <w:rFonts w:ascii="StoneSansPl" w:hAnsi="StoneSansPl" w:hint="eastAsia"/>
          <w:i/>
        </w:rPr>
        <w:t>ł</w:t>
      </w:r>
      <w:r w:rsidR="00E62FCE" w:rsidRPr="000D3FA9">
        <w:rPr>
          <w:rFonts w:ascii="StoneSansPl" w:hAnsi="StoneSansPl"/>
          <w:i/>
        </w:rPr>
        <w:t>u polskiego rynku mieszkaniowego, kt</w:t>
      </w:r>
      <w:r w:rsidR="00E62FCE" w:rsidRPr="000D3FA9">
        <w:rPr>
          <w:rFonts w:ascii="StoneSansPl" w:hAnsi="StoneSansPl" w:hint="eastAsia"/>
          <w:i/>
        </w:rPr>
        <w:t>ó</w:t>
      </w:r>
      <w:r w:rsidR="00E62FCE" w:rsidRPr="000D3FA9">
        <w:rPr>
          <w:rFonts w:ascii="StoneSansPl" w:hAnsi="StoneSansPl"/>
          <w:i/>
        </w:rPr>
        <w:t>ry na tle Europy nadal s</w:t>
      </w:r>
      <w:r w:rsidR="00E62FCE" w:rsidRPr="000D3FA9">
        <w:rPr>
          <w:rFonts w:ascii="StoneSansPl" w:hAnsi="StoneSansPl" w:hint="eastAsia"/>
          <w:i/>
        </w:rPr>
        <w:t>ł</w:t>
      </w:r>
      <w:r w:rsidR="00E62FCE" w:rsidRPr="000D3FA9">
        <w:rPr>
          <w:rFonts w:ascii="StoneSansPl" w:hAnsi="StoneSansPl"/>
          <w:i/>
        </w:rPr>
        <w:t>abo zaspokaja potrzeby obywateli. W 2018 roku liczba mieszka</w:t>
      </w:r>
      <w:r w:rsidR="00E62FCE" w:rsidRPr="000D3FA9">
        <w:rPr>
          <w:rFonts w:ascii="StoneSansPl" w:hAnsi="StoneSansPl" w:hint="eastAsia"/>
          <w:i/>
        </w:rPr>
        <w:t>ń</w:t>
      </w:r>
      <w:r w:rsidR="00E62FCE" w:rsidRPr="000D3FA9">
        <w:rPr>
          <w:rFonts w:ascii="StoneSansPl" w:hAnsi="StoneSansPl"/>
          <w:i/>
        </w:rPr>
        <w:t xml:space="preserve"> w Polsce wynios</w:t>
      </w:r>
      <w:r w:rsidR="00E62FCE" w:rsidRPr="000D3FA9">
        <w:rPr>
          <w:rFonts w:ascii="StoneSansPl" w:hAnsi="StoneSansPl" w:hint="eastAsia"/>
          <w:i/>
        </w:rPr>
        <w:t>ł</w:t>
      </w:r>
      <w:r w:rsidR="00E62FCE" w:rsidRPr="000D3FA9">
        <w:rPr>
          <w:rFonts w:ascii="StoneSansPl" w:hAnsi="StoneSansPl"/>
          <w:i/>
        </w:rPr>
        <w:t>a prawie 15</w:t>
      </w:r>
      <w:r w:rsidR="00E62FCE" w:rsidRPr="000D3FA9">
        <w:rPr>
          <w:rFonts w:ascii="StoneSansPl" w:hAnsi="StoneSansPl" w:hint="eastAsia"/>
          <w:i/>
        </w:rPr>
        <w:t> </w:t>
      </w:r>
      <w:r w:rsidR="00E62FCE" w:rsidRPr="000D3FA9">
        <w:rPr>
          <w:rFonts w:ascii="StoneSansPl" w:hAnsi="StoneSansPl"/>
          <w:i/>
        </w:rPr>
        <w:t>milion</w:t>
      </w:r>
      <w:r w:rsidR="00E62FCE" w:rsidRPr="000D3FA9">
        <w:rPr>
          <w:rFonts w:ascii="StoneSansPl" w:hAnsi="StoneSansPl" w:hint="eastAsia"/>
          <w:i/>
        </w:rPr>
        <w:t>ó</w:t>
      </w:r>
      <w:r w:rsidR="00E62FCE" w:rsidRPr="000D3FA9">
        <w:rPr>
          <w:rFonts w:ascii="StoneSansPl" w:hAnsi="StoneSansPl"/>
          <w:i/>
        </w:rPr>
        <w:t>w, co daje niespe</w:t>
      </w:r>
      <w:r w:rsidR="00E62FCE" w:rsidRPr="000D3FA9">
        <w:rPr>
          <w:rFonts w:ascii="StoneSansPl" w:hAnsi="StoneSansPl" w:hint="eastAsia"/>
          <w:i/>
        </w:rPr>
        <w:t>ł</w:t>
      </w:r>
      <w:r w:rsidR="00E62FCE" w:rsidRPr="000D3FA9">
        <w:rPr>
          <w:rFonts w:ascii="StoneSansPl" w:hAnsi="StoneSansPl"/>
          <w:i/>
        </w:rPr>
        <w:t>na 400 mieszka</w:t>
      </w:r>
      <w:r w:rsidR="00E62FCE" w:rsidRPr="000D3FA9">
        <w:rPr>
          <w:rFonts w:ascii="StoneSansPl" w:hAnsi="StoneSansPl" w:hint="eastAsia"/>
          <w:i/>
        </w:rPr>
        <w:t>ń</w:t>
      </w:r>
      <w:r w:rsidR="00E62FCE" w:rsidRPr="000D3FA9">
        <w:rPr>
          <w:rFonts w:ascii="StoneSansPl" w:hAnsi="StoneSansPl"/>
          <w:i/>
        </w:rPr>
        <w:t xml:space="preserve"> na 1000 mieszka</w:t>
      </w:r>
      <w:r w:rsidR="00E62FCE" w:rsidRPr="000D3FA9">
        <w:rPr>
          <w:rFonts w:ascii="StoneSansPl" w:hAnsi="StoneSansPl" w:hint="eastAsia"/>
          <w:i/>
        </w:rPr>
        <w:t>ń</w:t>
      </w:r>
      <w:r w:rsidR="00E62FCE" w:rsidRPr="000D3FA9">
        <w:rPr>
          <w:rFonts w:ascii="StoneSansPl" w:hAnsi="StoneSansPl"/>
          <w:i/>
        </w:rPr>
        <w:t>c</w:t>
      </w:r>
      <w:r w:rsidR="00E62FCE" w:rsidRPr="000D3FA9">
        <w:rPr>
          <w:rFonts w:ascii="StoneSansPl" w:hAnsi="StoneSansPl" w:hint="eastAsia"/>
          <w:i/>
        </w:rPr>
        <w:t>ó</w:t>
      </w:r>
      <w:r w:rsidR="00E62FCE" w:rsidRPr="000D3FA9">
        <w:rPr>
          <w:rFonts w:ascii="StoneSansPl" w:hAnsi="StoneSansPl"/>
          <w:i/>
        </w:rPr>
        <w:t>w. Rynek nieruchomo</w:t>
      </w:r>
      <w:r w:rsidR="00E62FCE" w:rsidRPr="000D3FA9">
        <w:rPr>
          <w:rFonts w:ascii="StoneSansPl" w:hAnsi="StoneSansPl" w:hint="eastAsia"/>
          <w:i/>
        </w:rPr>
        <w:t>ś</w:t>
      </w:r>
      <w:r w:rsidR="00E62FCE" w:rsidRPr="000D3FA9">
        <w:rPr>
          <w:rFonts w:ascii="StoneSansPl" w:hAnsi="StoneSansPl"/>
          <w:i/>
        </w:rPr>
        <w:t xml:space="preserve">ci w Polsce, mimo </w:t>
      </w:r>
      <w:r w:rsidR="00E62FCE" w:rsidRPr="000D3FA9">
        <w:rPr>
          <w:rFonts w:ascii="StoneSansPl" w:hAnsi="StoneSansPl" w:hint="eastAsia"/>
          <w:i/>
        </w:rPr>
        <w:t>ż</w:t>
      </w:r>
      <w:r w:rsidR="00E62FCE" w:rsidRPr="000D3FA9">
        <w:rPr>
          <w:rFonts w:ascii="StoneSansPl" w:hAnsi="StoneSansPl"/>
          <w:i/>
        </w:rPr>
        <w:t>e na tle Unii Europejskiej nie wypada mo</w:t>
      </w:r>
      <w:r w:rsidR="00E62FCE" w:rsidRPr="000D3FA9">
        <w:rPr>
          <w:rFonts w:ascii="StoneSansPl" w:hAnsi="StoneSansPl" w:hint="eastAsia"/>
          <w:i/>
        </w:rPr>
        <w:t>ż</w:t>
      </w:r>
      <w:r w:rsidR="00E62FCE" w:rsidRPr="000D3FA9">
        <w:rPr>
          <w:rFonts w:ascii="StoneSansPl" w:hAnsi="StoneSansPl"/>
          <w:i/>
        </w:rPr>
        <w:t>e spektakularnie, od kilku lat intensywnie ro</w:t>
      </w:r>
      <w:r w:rsidR="00E62FCE" w:rsidRPr="000D3FA9">
        <w:rPr>
          <w:rFonts w:ascii="StoneSansPl" w:hAnsi="StoneSansPl" w:hint="eastAsia"/>
          <w:i/>
        </w:rPr>
        <w:t>ś</w:t>
      </w:r>
      <w:r w:rsidR="00E62FCE" w:rsidRPr="000D3FA9">
        <w:rPr>
          <w:rFonts w:ascii="StoneSansPl" w:hAnsi="StoneSansPl"/>
          <w:i/>
        </w:rPr>
        <w:t xml:space="preserve">nie i </w:t>
      </w:r>
      <w:r w:rsidR="003A77E8" w:rsidRPr="000D3FA9">
        <w:rPr>
          <w:rFonts w:ascii="StoneSansPl" w:hAnsi="StoneSansPl"/>
          <w:i/>
        </w:rPr>
        <w:t>to g</w:t>
      </w:r>
      <w:r w:rsidR="003A77E8" w:rsidRPr="000D3FA9">
        <w:rPr>
          <w:rFonts w:ascii="StoneSansPl" w:hAnsi="StoneSansPl" w:hint="eastAsia"/>
          <w:i/>
        </w:rPr>
        <w:t>łó</w:t>
      </w:r>
      <w:r w:rsidR="003A77E8" w:rsidRPr="000D3FA9">
        <w:rPr>
          <w:rFonts w:ascii="StoneSansPl" w:hAnsi="StoneSansPl"/>
          <w:i/>
        </w:rPr>
        <w:t>wnie w</w:t>
      </w:r>
      <w:r w:rsidR="003A77E8" w:rsidRPr="000D3FA9">
        <w:rPr>
          <w:rFonts w:ascii="StoneSansPl" w:hAnsi="StoneSansPl" w:hint="eastAsia"/>
          <w:i/>
        </w:rPr>
        <w:t>ł</w:t>
      </w:r>
      <w:r w:rsidR="003A77E8" w:rsidRPr="000D3FA9">
        <w:rPr>
          <w:rFonts w:ascii="StoneSansPl" w:hAnsi="StoneSansPl"/>
          <w:i/>
        </w:rPr>
        <w:t>a</w:t>
      </w:r>
      <w:r w:rsidR="003A77E8" w:rsidRPr="000D3FA9">
        <w:rPr>
          <w:rFonts w:ascii="StoneSansPl" w:hAnsi="StoneSansPl" w:hint="eastAsia"/>
          <w:i/>
        </w:rPr>
        <w:t>ś</w:t>
      </w:r>
      <w:r w:rsidR="003A77E8" w:rsidRPr="000D3FA9">
        <w:rPr>
          <w:rFonts w:ascii="StoneSansPl" w:hAnsi="StoneSansPl"/>
          <w:i/>
        </w:rPr>
        <w:t xml:space="preserve">nie </w:t>
      </w:r>
      <w:r w:rsidR="00E62FCE" w:rsidRPr="000D3FA9">
        <w:rPr>
          <w:rFonts w:ascii="StoneSansPl" w:hAnsi="StoneSansPl"/>
          <w:i/>
        </w:rPr>
        <w:t>za spraw</w:t>
      </w:r>
      <w:r w:rsidR="00E62FCE" w:rsidRPr="000D3FA9">
        <w:rPr>
          <w:rFonts w:ascii="StoneSansPl" w:hAnsi="StoneSansPl" w:hint="eastAsia"/>
          <w:i/>
        </w:rPr>
        <w:t>ą</w:t>
      </w:r>
      <w:r w:rsidR="00E62FCE" w:rsidRPr="000D3FA9">
        <w:rPr>
          <w:rFonts w:ascii="StoneSansPl" w:hAnsi="StoneSansPl"/>
          <w:i/>
        </w:rPr>
        <w:t xml:space="preserve"> deweloper</w:t>
      </w:r>
      <w:r w:rsidR="00E62FCE" w:rsidRPr="000D3FA9">
        <w:rPr>
          <w:rFonts w:ascii="StoneSansPl" w:hAnsi="StoneSansPl" w:hint="eastAsia"/>
          <w:i/>
        </w:rPr>
        <w:t>ó</w:t>
      </w:r>
      <w:r w:rsidR="00E62FCE" w:rsidRPr="000D3FA9">
        <w:rPr>
          <w:rFonts w:ascii="StoneSansPl" w:hAnsi="StoneSansPl"/>
          <w:i/>
        </w:rPr>
        <w:t>w. W ci</w:t>
      </w:r>
      <w:r w:rsidR="00E62FCE" w:rsidRPr="000D3FA9">
        <w:rPr>
          <w:rFonts w:ascii="StoneSansPl" w:hAnsi="StoneSansPl" w:hint="eastAsia"/>
          <w:i/>
        </w:rPr>
        <w:t>ą</w:t>
      </w:r>
      <w:r w:rsidR="00E62FCE" w:rsidRPr="000D3FA9">
        <w:rPr>
          <w:rFonts w:ascii="StoneSansPl" w:hAnsi="StoneSansPl"/>
          <w:i/>
        </w:rPr>
        <w:t xml:space="preserve">gu ostatnich 10 lat oddali </w:t>
      </w:r>
      <w:r w:rsidR="00B06994" w:rsidRPr="000D3FA9">
        <w:rPr>
          <w:rFonts w:ascii="StoneSansPl" w:hAnsi="StoneSansPl"/>
          <w:i/>
        </w:rPr>
        <w:t xml:space="preserve">oni </w:t>
      </w:r>
      <w:r w:rsidR="00E62FCE" w:rsidRPr="000D3FA9">
        <w:rPr>
          <w:rFonts w:ascii="StoneSansPl" w:hAnsi="StoneSansPl"/>
          <w:i/>
        </w:rPr>
        <w:t>prawie 1</w:t>
      </w:r>
      <w:r w:rsidR="00E62FCE" w:rsidRPr="000D3FA9">
        <w:rPr>
          <w:rFonts w:ascii="StoneSansPl" w:hAnsi="StoneSansPl" w:hint="eastAsia"/>
          <w:i/>
        </w:rPr>
        <w:t> </w:t>
      </w:r>
      <w:r w:rsidR="00E62FCE" w:rsidRPr="000D3FA9">
        <w:rPr>
          <w:rFonts w:ascii="StoneSansPl" w:hAnsi="StoneSansPl"/>
          <w:i/>
        </w:rPr>
        <w:t>milion nowych mieszka</w:t>
      </w:r>
      <w:r w:rsidR="00E62FCE" w:rsidRPr="000D3FA9">
        <w:rPr>
          <w:rFonts w:ascii="StoneSansPl" w:hAnsi="StoneSansPl" w:hint="eastAsia"/>
          <w:i/>
        </w:rPr>
        <w:t>ń</w:t>
      </w:r>
      <w:r w:rsidR="00E62FCE" w:rsidRPr="000D3FA9">
        <w:rPr>
          <w:rFonts w:ascii="StoneSansPl" w:hAnsi="StoneSansPl"/>
          <w:i/>
        </w:rPr>
        <w:t xml:space="preserve"> - to wzrost o 17</w:t>
      </w:r>
      <w:r w:rsidRPr="000D3FA9">
        <w:rPr>
          <w:rFonts w:ascii="StoneSansPl" w:hAnsi="StoneSansPl"/>
          <w:i/>
        </w:rPr>
        <w:t>0 proc. w stosunku do 2008 roku</w:t>
      </w:r>
      <w:r w:rsidRPr="00632705">
        <w:rPr>
          <w:rFonts w:ascii="StoneSansPl" w:hAnsi="StoneSansPl"/>
        </w:rPr>
        <w:t xml:space="preserve"> </w:t>
      </w:r>
      <w:r w:rsidRPr="00632705">
        <w:rPr>
          <w:rFonts w:ascii="StoneSansPl" w:hAnsi="StoneSansPl" w:hint="eastAsia"/>
        </w:rPr>
        <w:t>–</w:t>
      </w:r>
      <w:r w:rsidRPr="00632705">
        <w:rPr>
          <w:rFonts w:ascii="StoneSansPl" w:hAnsi="StoneSansPl"/>
        </w:rPr>
        <w:t xml:space="preserve"> m</w:t>
      </w:r>
      <w:r w:rsidRPr="00632705">
        <w:rPr>
          <w:rFonts w:ascii="StoneSansPl" w:hAnsi="StoneSansPl" w:hint="eastAsia"/>
        </w:rPr>
        <w:t>ó</w:t>
      </w:r>
      <w:r w:rsidRPr="00632705">
        <w:rPr>
          <w:rFonts w:ascii="StoneSansPl" w:hAnsi="StoneSansPl"/>
        </w:rPr>
        <w:t xml:space="preserve">wi </w:t>
      </w:r>
      <w:r w:rsidRPr="000D3FA9">
        <w:rPr>
          <w:rFonts w:ascii="StoneSansPl" w:hAnsi="StoneSansPl"/>
          <w:b/>
        </w:rPr>
        <w:t>Rafa</w:t>
      </w:r>
      <w:r w:rsidRPr="000D3FA9">
        <w:rPr>
          <w:rFonts w:ascii="StoneSansPl" w:hAnsi="StoneSansPl" w:hint="eastAsia"/>
          <w:b/>
        </w:rPr>
        <w:t>ł</w:t>
      </w:r>
      <w:r w:rsidRPr="000D3FA9">
        <w:rPr>
          <w:rFonts w:ascii="StoneSansPl" w:hAnsi="StoneSansPl"/>
          <w:b/>
        </w:rPr>
        <w:t xml:space="preserve"> Kukier</w:t>
      </w:r>
      <w:r w:rsidRPr="000D3FA9">
        <w:rPr>
          <w:rFonts w:ascii="StoneSansPl" w:hAnsi="StoneSansPl"/>
        </w:rPr>
        <w:t>.</w:t>
      </w:r>
    </w:p>
    <w:p w:rsidR="00143C43" w:rsidRPr="000D3FA9" w:rsidRDefault="00143C43" w:rsidP="00655781">
      <w:pPr>
        <w:spacing w:line="276" w:lineRule="auto"/>
        <w:jc w:val="both"/>
        <w:rPr>
          <w:rFonts w:ascii="StoneSansPl" w:hAnsi="StoneSansPl"/>
        </w:rPr>
      </w:pPr>
    </w:p>
    <w:p w:rsidR="00E62FCE" w:rsidRPr="00655781" w:rsidRDefault="00E62FCE" w:rsidP="00632705">
      <w:pPr>
        <w:spacing w:line="276" w:lineRule="auto"/>
        <w:jc w:val="both"/>
        <w:rPr>
          <w:rFonts w:ascii="StoneSansPl" w:hAnsi="StoneSansPl"/>
        </w:rPr>
      </w:pPr>
      <w:r w:rsidRPr="00632705">
        <w:rPr>
          <w:rFonts w:ascii="StoneSansPl" w:hAnsi="StoneSansPl"/>
        </w:rPr>
        <w:t xml:space="preserve">W minionym roku </w:t>
      </w:r>
      <w:r w:rsidR="00B06994" w:rsidRPr="00632705">
        <w:rPr>
          <w:rFonts w:ascii="StoneSansPl" w:hAnsi="StoneSansPl"/>
        </w:rPr>
        <w:t>o</w:t>
      </w:r>
      <w:r w:rsidRPr="00632705">
        <w:rPr>
          <w:rFonts w:ascii="StoneSansPl" w:hAnsi="StoneSansPl"/>
        </w:rPr>
        <w:t>ddano do u</w:t>
      </w:r>
      <w:r w:rsidRPr="00632705">
        <w:rPr>
          <w:rFonts w:ascii="StoneSansPl" w:hAnsi="StoneSansPl" w:hint="eastAsia"/>
        </w:rPr>
        <w:t>ż</w:t>
      </w:r>
      <w:r w:rsidRPr="00632705">
        <w:rPr>
          <w:rFonts w:ascii="StoneSansPl" w:hAnsi="StoneSansPl"/>
        </w:rPr>
        <w:t>ytku prawie 185</w:t>
      </w:r>
      <w:r w:rsidRPr="00632705">
        <w:rPr>
          <w:rFonts w:ascii="StoneSansPl" w:hAnsi="StoneSansPl" w:hint="eastAsia"/>
        </w:rPr>
        <w:t> </w:t>
      </w:r>
      <w:r w:rsidR="00B06994" w:rsidRPr="00632705">
        <w:rPr>
          <w:rFonts w:ascii="StoneSansPl" w:hAnsi="StoneSansPl"/>
        </w:rPr>
        <w:t xml:space="preserve">tys. </w:t>
      </w:r>
      <w:r w:rsidRPr="00632705">
        <w:rPr>
          <w:rFonts w:ascii="StoneSansPl" w:hAnsi="StoneSansPl"/>
        </w:rPr>
        <w:t>mieszka</w:t>
      </w:r>
      <w:r w:rsidRPr="00632705">
        <w:rPr>
          <w:rFonts w:ascii="StoneSansPl" w:hAnsi="StoneSansPl" w:hint="eastAsia"/>
        </w:rPr>
        <w:t>ń</w:t>
      </w:r>
      <w:r w:rsidRPr="00632705">
        <w:rPr>
          <w:rFonts w:ascii="StoneSansPl" w:hAnsi="StoneSansPl"/>
        </w:rPr>
        <w:t>, (o 3,6 proc. wi</w:t>
      </w:r>
      <w:r w:rsidRPr="00632705">
        <w:rPr>
          <w:rFonts w:ascii="StoneSansPl" w:hAnsi="StoneSansPl" w:hint="eastAsia"/>
        </w:rPr>
        <w:t>ę</w:t>
      </w:r>
      <w:r w:rsidRPr="00632705">
        <w:rPr>
          <w:rFonts w:ascii="StoneSansPl" w:hAnsi="StoneSansPl"/>
        </w:rPr>
        <w:t>cej ni</w:t>
      </w:r>
      <w:r w:rsidRPr="00632705">
        <w:rPr>
          <w:rFonts w:ascii="StoneSansPl" w:hAnsi="StoneSansPl" w:hint="eastAsia"/>
        </w:rPr>
        <w:t>ż</w:t>
      </w:r>
      <w:r w:rsidRPr="00632705">
        <w:rPr>
          <w:rFonts w:ascii="StoneSansPl" w:hAnsi="StoneSansPl"/>
        </w:rPr>
        <w:t xml:space="preserve"> w 2017 roku). W 2018 roku ruszy</w:t>
      </w:r>
      <w:r w:rsidRPr="00632705">
        <w:rPr>
          <w:rFonts w:ascii="StoneSansPl" w:hAnsi="StoneSansPl" w:hint="eastAsia"/>
        </w:rPr>
        <w:t>ł</w:t>
      </w:r>
      <w:r w:rsidRPr="00632705">
        <w:rPr>
          <w:rFonts w:ascii="StoneSansPl" w:hAnsi="StoneSansPl"/>
        </w:rPr>
        <w:t>a te</w:t>
      </w:r>
      <w:r w:rsidRPr="00632705">
        <w:rPr>
          <w:rFonts w:ascii="StoneSansPl" w:hAnsi="StoneSansPl" w:hint="eastAsia"/>
        </w:rPr>
        <w:t>ż</w:t>
      </w:r>
      <w:r w:rsidRPr="00632705">
        <w:rPr>
          <w:rFonts w:ascii="StoneSansPl" w:hAnsi="StoneSansPl"/>
        </w:rPr>
        <w:t xml:space="preserve"> budowa ponad 221 </w:t>
      </w:r>
      <w:r w:rsidR="00B06994" w:rsidRPr="00632705">
        <w:rPr>
          <w:rFonts w:ascii="StoneSansPl" w:hAnsi="StoneSansPl"/>
        </w:rPr>
        <w:t xml:space="preserve">tys. </w:t>
      </w:r>
      <w:r w:rsidRPr="00632705">
        <w:rPr>
          <w:rFonts w:ascii="StoneSansPl" w:hAnsi="StoneSansPl"/>
        </w:rPr>
        <w:t>lokali mieszkaniowych (o 7,7 proc. wi</w:t>
      </w:r>
      <w:r w:rsidRPr="00632705">
        <w:rPr>
          <w:rFonts w:ascii="StoneSansPl" w:hAnsi="StoneSansPl" w:hint="eastAsia"/>
        </w:rPr>
        <w:t>ę</w:t>
      </w:r>
      <w:r w:rsidRPr="00632705">
        <w:rPr>
          <w:rFonts w:ascii="StoneSansPl" w:hAnsi="StoneSansPl"/>
        </w:rPr>
        <w:t>cej ni</w:t>
      </w:r>
      <w:r w:rsidRPr="00632705">
        <w:rPr>
          <w:rFonts w:ascii="StoneSansPl" w:hAnsi="StoneSansPl" w:hint="eastAsia"/>
        </w:rPr>
        <w:t>ż</w:t>
      </w:r>
      <w:r w:rsidRPr="00632705">
        <w:rPr>
          <w:rFonts w:ascii="StoneSansPl" w:hAnsi="StoneSansPl"/>
        </w:rPr>
        <w:t xml:space="preserve"> w 2017 roku) oraz wydano pozwolenia na budow</w:t>
      </w:r>
      <w:r w:rsidRPr="00632705">
        <w:rPr>
          <w:rFonts w:ascii="StoneSansPl" w:hAnsi="StoneSansPl" w:hint="eastAsia"/>
        </w:rPr>
        <w:t>ę</w:t>
      </w:r>
      <w:r w:rsidRPr="00632705">
        <w:rPr>
          <w:rFonts w:ascii="StoneSansPl" w:hAnsi="StoneSansPl"/>
        </w:rPr>
        <w:t xml:space="preserve"> kolejnych 257 </w:t>
      </w:r>
      <w:r w:rsidR="00B06994" w:rsidRPr="00632705">
        <w:rPr>
          <w:rFonts w:ascii="StoneSansPl" w:hAnsi="StoneSansPl"/>
        </w:rPr>
        <w:t xml:space="preserve">tys. </w:t>
      </w:r>
      <w:r w:rsidRPr="00632705">
        <w:rPr>
          <w:rFonts w:ascii="StoneSansPl" w:hAnsi="StoneSansPl"/>
        </w:rPr>
        <w:t>mieszka</w:t>
      </w:r>
      <w:r w:rsidRPr="00632705">
        <w:rPr>
          <w:rFonts w:ascii="StoneSansPl" w:hAnsi="StoneSansPl" w:hint="eastAsia"/>
        </w:rPr>
        <w:t>ń</w:t>
      </w:r>
      <w:r w:rsidRPr="00632705">
        <w:rPr>
          <w:rFonts w:ascii="StoneSansPl" w:hAnsi="StoneSansPl"/>
        </w:rPr>
        <w:t>. Nawet w latach boomu (2007-2008) nie by</w:t>
      </w:r>
      <w:r w:rsidRPr="00632705">
        <w:rPr>
          <w:rFonts w:ascii="StoneSansPl" w:hAnsi="StoneSansPl" w:hint="eastAsia"/>
        </w:rPr>
        <w:t>ł</w:t>
      </w:r>
      <w:r w:rsidRPr="00632705">
        <w:rPr>
          <w:rFonts w:ascii="StoneSansPl" w:hAnsi="StoneSansPl"/>
        </w:rPr>
        <w:t>o tak dobrych wynik</w:t>
      </w:r>
      <w:r w:rsidRPr="00632705">
        <w:rPr>
          <w:rFonts w:ascii="StoneSansPl" w:hAnsi="StoneSansPl" w:hint="eastAsia"/>
        </w:rPr>
        <w:t>ó</w:t>
      </w:r>
      <w:r w:rsidRPr="00632705">
        <w:rPr>
          <w:rFonts w:ascii="StoneSansPl" w:hAnsi="StoneSansPl"/>
        </w:rPr>
        <w:t>w.</w:t>
      </w:r>
      <w:r w:rsidRPr="00655781">
        <w:rPr>
          <w:rFonts w:ascii="StoneSansPl" w:hAnsi="StoneSansPl"/>
        </w:rPr>
        <w:t xml:space="preserve"> </w:t>
      </w:r>
    </w:p>
    <w:p w:rsidR="00E62FCE" w:rsidRDefault="00E62FCE" w:rsidP="00632705">
      <w:pPr>
        <w:spacing w:line="276" w:lineRule="auto"/>
        <w:jc w:val="both"/>
        <w:rPr>
          <w:rFonts w:ascii="StoneSansPl" w:hAnsi="StoneSansPl"/>
        </w:rPr>
      </w:pPr>
    </w:p>
    <w:p w:rsidR="00AA7B12" w:rsidRPr="00632705" w:rsidRDefault="00AA7B12" w:rsidP="00632705">
      <w:pP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</w:rPr>
      </w:pPr>
    </w:p>
    <w:p w:rsidR="00632705" w:rsidRPr="00632705" w:rsidRDefault="00632705" w:rsidP="00632705">
      <w:pP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i/>
          <w:sz w:val="18"/>
        </w:rPr>
      </w:pPr>
      <w:r w:rsidRPr="00632705">
        <w:rPr>
          <w:rFonts w:ascii="StoneSansPl" w:hAnsi="StoneSansPl"/>
          <w:i/>
          <w:sz w:val="18"/>
        </w:rPr>
        <w:t>Źródło</w:t>
      </w:r>
      <w:r>
        <w:rPr>
          <w:rFonts w:ascii="StoneSansPl" w:hAnsi="StoneSansPl"/>
          <w:i/>
          <w:sz w:val="18"/>
        </w:rPr>
        <w:t xml:space="preserve"> danych</w:t>
      </w:r>
      <w:r w:rsidRPr="00632705">
        <w:rPr>
          <w:rFonts w:ascii="StoneSansPl" w:hAnsi="StoneSansPl"/>
          <w:i/>
          <w:sz w:val="18"/>
        </w:rPr>
        <w:t>:</w:t>
      </w:r>
      <w:r>
        <w:rPr>
          <w:rFonts w:ascii="StoneSansPl" w:hAnsi="StoneSansPl"/>
          <w:i/>
          <w:sz w:val="18"/>
        </w:rPr>
        <w:t xml:space="preserve"> </w:t>
      </w:r>
      <w:r w:rsidRPr="00632705">
        <w:rPr>
          <w:rFonts w:ascii="StoneSansPl" w:hAnsi="StoneSansPl"/>
          <w:i/>
          <w:sz w:val="18"/>
        </w:rPr>
        <w:t xml:space="preserve">Opracowanie własne na bazie: </w:t>
      </w:r>
      <w:r w:rsidRPr="00632705">
        <w:rPr>
          <w:rFonts w:ascii="StoneSansPl" w:hAnsi="StoneSansPl"/>
          <w:i/>
          <w:iCs/>
          <w:sz w:val="18"/>
        </w:rPr>
        <w:t>Narodowy Bank Polski</w:t>
      </w:r>
      <w:r w:rsidRPr="00632705">
        <w:rPr>
          <w:rFonts w:ascii="StoneSansPl" w:hAnsi="StoneSansPl"/>
          <w:i/>
          <w:sz w:val="18"/>
        </w:rPr>
        <w:t xml:space="preserve"> </w:t>
      </w:r>
      <w:hyperlink r:id="rId8" w:tgtFrame="_blank" w:history="1">
        <w:r w:rsidRPr="00632705">
          <w:rPr>
            <w:rFonts w:ascii="StoneSansPl" w:hAnsi="StoneSansPl"/>
            <w:i/>
            <w:sz w:val="18"/>
          </w:rPr>
          <w:t>Informacja o cenach mieszkań i sytuacji na rynku nieruchomości mieszkaniowych i komercyjnych w Polsce - IV kwartał 2018</w:t>
        </w:r>
      </w:hyperlink>
      <w:r>
        <w:rPr>
          <w:rFonts w:ascii="StoneSansPl" w:hAnsi="StoneSansPl"/>
          <w:i/>
          <w:sz w:val="18"/>
        </w:rPr>
        <w:t xml:space="preserve">; </w:t>
      </w:r>
      <w:r w:rsidRPr="00632705">
        <w:rPr>
          <w:rFonts w:ascii="StoneSansPl" w:hAnsi="StoneSansPl"/>
          <w:i/>
          <w:iCs/>
          <w:sz w:val="18"/>
        </w:rPr>
        <w:t>Główny Urząd Statystyczny </w:t>
      </w:r>
      <w:r w:rsidRPr="00632705">
        <w:rPr>
          <w:rFonts w:ascii="StoneSansPl" w:hAnsi="StoneSansPl"/>
          <w:i/>
          <w:sz w:val="18"/>
        </w:rPr>
        <w:t xml:space="preserve"> </w:t>
      </w:r>
      <w:hyperlink r:id="rId9" w:tooltip="Ludność. Stan i struktura oraz ruch naturalny w przekroju terytorialnym w 2018 r. Stan w dniu 31 XII" w:history="1">
        <w:r w:rsidRPr="00632705">
          <w:rPr>
            <w:rFonts w:ascii="StoneSansPl" w:hAnsi="StoneSansPl"/>
            <w:i/>
            <w:sz w:val="18"/>
          </w:rPr>
          <w:t xml:space="preserve">Ludność. Stan i struktura oraz ruch naturalny w przekroju terytorialnym w 2018 r. Stan w dniu 31 XII </w:t>
        </w:r>
      </w:hyperlink>
      <w:r>
        <w:rPr>
          <w:rFonts w:ascii="StoneSansPl" w:hAnsi="StoneSansPl"/>
          <w:i/>
          <w:sz w:val="18"/>
        </w:rPr>
        <w:t xml:space="preserve">2018; </w:t>
      </w:r>
      <w:r w:rsidRPr="00632705">
        <w:rPr>
          <w:rFonts w:ascii="StoneSansPl" w:hAnsi="StoneSansPl"/>
          <w:i/>
          <w:iCs/>
          <w:sz w:val="18"/>
        </w:rPr>
        <w:t>Główny Urząd Statystyczny </w:t>
      </w:r>
      <w:hyperlink r:id="rId10" w:tooltip="Budownictwo w 2018 r." w:history="1">
        <w:r w:rsidRPr="00632705">
          <w:rPr>
            <w:rFonts w:ascii="StoneSansPl" w:hAnsi="StoneSansPl"/>
            <w:i/>
            <w:sz w:val="18"/>
          </w:rPr>
          <w:t>Budownictwo w 2018 r.</w:t>
        </w:r>
      </w:hyperlink>
    </w:p>
    <w:p w:rsidR="00632705" w:rsidRPr="00BA4F1D" w:rsidRDefault="00632705" w:rsidP="00AA7B12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Cs w:val="22"/>
        </w:rPr>
      </w:pPr>
    </w:p>
    <w:p w:rsidR="00AA7B12" w:rsidRDefault="00AA7B12" w:rsidP="00AA7B12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</w:p>
    <w:p w:rsidR="00AA7B12" w:rsidRDefault="00AA7B12" w:rsidP="00AA7B12">
      <w:pPr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t>UNIQA Polska</w:t>
      </w:r>
      <w:r>
        <w:rPr>
          <w:rFonts w:ascii="StoneSansPl" w:hAnsi="StoneSansPl" w:cs="Arial"/>
          <w:b/>
          <w:sz w:val="18"/>
          <w:szCs w:val="22"/>
        </w:rPr>
        <w:t xml:space="preserve"> </w:t>
      </w:r>
    </w:p>
    <w:p w:rsidR="00AA7B12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  <w:r w:rsidRPr="008F18F3">
        <w:rPr>
          <w:rFonts w:ascii="StoneSansPl" w:hAnsi="StoneSansPl" w:cs="Arial"/>
          <w:sz w:val="18"/>
          <w:szCs w:val="22"/>
        </w:rPr>
        <w:t xml:space="preserve">Spółki UNIQA w Polsce koncentrują się na trzech segmentach. Są to UNIQA dla Ciebie, czyli </w:t>
      </w:r>
      <w:r>
        <w:rPr>
          <w:rFonts w:ascii="StoneSansPl" w:hAnsi="StoneSansPl" w:cs="Arial"/>
          <w:sz w:val="18"/>
          <w:szCs w:val="22"/>
        </w:rPr>
        <w:t>oferta dla klientów indywidualnych</w:t>
      </w:r>
      <w:r w:rsidRPr="008F18F3">
        <w:rPr>
          <w:rFonts w:ascii="StoneSansPl" w:hAnsi="StoneSansPl" w:cs="Arial"/>
          <w:sz w:val="18"/>
          <w:szCs w:val="22"/>
        </w:rPr>
        <w:t>, UNIQA dla Biznesu, czyli</w:t>
      </w:r>
      <w:r>
        <w:rPr>
          <w:rFonts w:ascii="StoneSansPl" w:hAnsi="StoneSansPl" w:cs="Arial"/>
          <w:sz w:val="18"/>
          <w:szCs w:val="22"/>
        </w:rPr>
        <w:t xml:space="preserve"> ubezpieczenia dla dużych firm oraz UNIQA dla Mieszkalnictwa, czyli polisy </w:t>
      </w:r>
      <w:r w:rsidRPr="008F18F3">
        <w:rPr>
          <w:rFonts w:ascii="StoneSansPl" w:hAnsi="StoneSansPl" w:cs="Arial"/>
          <w:sz w:val="18"/>
          <w:szCs w:val="22"/>
        </w:rPr>
        <w:t xml:space="preserve">dla klientów z </w:t>
      </w:r>
      <w:r>
        <w:rPr>
          <w:rFonts w:ascii="StoneSansPl" w:hAnsi="StoneSansPl" w:cs="Arial"/>
          <w:sz w:val="18"/>
          <w:szCs w:val="22"/>
        </w:rPr>
        <w:t>sektora</w:t>
      </w:r>
      <w:r w:rsidRPr="008F18F3">
        <w:rPr>
          <w:rFonts w:ascii="StoneSansPl" w:hAnsi="StoneSansPl" w:cs="Arial"/>
          <w:sz w:val="18"/>
          <w:szCs w:val="22"/>
        </w:rPr>
        <w:t xml:space="preserve"> mieszkalnictwa. Dla tych </w:t>
      </w:r>
      <w:r>
        <w:rPr>
          <w:rFonts w:ascii="StoneSansPl" w:hAnsi="StoneSansPl" w:cs="Arial"/>
          <w:sz w:val="18"/>
          <w:szCs w:val="22"/>
        </w:rPr>
        <w:t>trzech segmentów</w:t>
      </w:r>
      <w:r w:rsidRPr="008F18F3">
        <w:rPr>
          <w:rFonts w:ascii="StoneSansPl" w:hAnsi="StoneSansPl" w:cs="Arial"/>
          <w:sz w:val="18"/>
          <w:szCs w:val="22"/>
        </w:rPr>
        <w:t xml:space="preserve"> ma kompleksową ofertę ubezpieczeń majątkowych, komunikacyjnych i życiowych. UNIQA</w:t>
      </w:r>
      <w:r>
        <w:rPr>
          <w:rFonts w:ascii="StoneSansPl" w:hAnsi="StoneSansPl" w:cs="Arial"/>
          <w:sz w:val="18"/>
          <w:szCs w:val="22"/>
        </w:rPr>
        <w:t xml:space="preserve"> </w:t>
      </w:r>
      <w:r w:rsidRPr="008F18F3">
        <w:rPr>
          <w:rFonts w:ascii="StoneSansPl" w:hAnsi="StoneSansPl" w:cs="Arial"/>
          <w:sz w:val="18"/>
          <w:szCs w:val="22"/>
        </w:rPr>
        <w:t xml:space="preserve">jest liderem w ubezpieczeniach majątku spółdzielni i wspólnot mieszkaniowych w Polsce. Ubezpiecza 50 proc. spółdzielni mieszkaniowych, 40 proc. wspólnot mieszkaniowych. Polisy UNIQA można kupić </w:t>
      </w:r>
      <w:r>
        <w:rPr>
          <w:rFonts w:ascii="StoneSansPl" w:hAnsi="StoneSansPl" w:cs="Arial"/>
          <w:sz w:val="18"/>
          <w:szCs w:val="22"/>
        </w:rPr>
        <w:t>w około 200 placówkach wyłącznych</w:t>
      </w:r>
      <w:r w:rsidRPr="008F18F3">
        <w:rPr>
          <w:rFonts w:ascii="StoneSansPl" w:hAnsi="StoneSansPl" w:cs="Arial"/>
          <w:sz w:val="18"/>
          <w:szCs w:val="22"/>
        </w:rPr>
        <w:t>, jak też w </w:t>
      </w:r>
      <w:proofErr w:type="spellStart"/>
      <w:r w:rsidRPr="008F18F3">
        <w:rPr>
          <w:rFonts w:ascii="StoneSansPl" w:hAnsi="StoneSansPl" w:cs="Arial"/>
          <w:sz w:val="18"/>
          <w:szCs w:val="22"/>
        </w:rPr>
        <w:t>multiagencjach</w:t>
      </w:r>
      <w:proofErr w:type="spellEnd"/>
      <w:r w:rsidRPr="008F18F3">
        <w:rPr>
          <w:rFonts w:ascii="StoneSansPl" w:hAnsi="StoneSansPl" w:cs="Arial"/>
          <w:sz w:val="18"/>
          <w:szCs w:val="22"/>
        </w:rPr>
        <w:t xml:space="preserve"> oraz u brokerów</w:t>
      </w:r>
      <w:r>
        <w:rPr>
          <w:rFonts w:ascii="StoneSansPl" w:hAnsi="StoneSansPl" w:cs="Arial"/>
          <w:sz w:val="18"/>
          <w:szCs w:val="22"/>
        </w:rPr>
        <w:t xml:space="preserve">. </w:t>
      </w:r>
      <w:r w:rsidRPr="00E93285">
        <w:rPr>
          <w:rFonts w:ascii="StoneSansPl" w:hAnsi="StoneSansPl" w:cs="Arial"/>
          <w:sz w:val="18"/>
          <w:szCs w:val="22"/>
        </w:rPr>
        <w:t xml:space="preserve">UNIQA uzyskała tytuł Instytucji </w:t>
      </w:r>
      <w:r>
        <w:rPr>
          <w:rFonts w:ascii="StoneSansPl" w:hAnsi="StoneSansPl" w:cs="Arial"/>
          <w:sz w:val="18"/>
          <w:szCs w:val="22"/>
        </w:rPr>
        <w:t>Rok</w:t>
      </w:r>
      <w:r w:rsidRPr="00E93285">
        <w:rPr>
          <w:rFonts w:ascii="StoneSansPl" w:hAnsi="StoneSansPl" w:cs="Arial"/>
          <w:sz w:val="18"/>
          <w:szCs w:val="22"/>
        </w:rPr>
        <w:t>u nadany przez niezależny portal MojeBankowanie.pl</w:t>
      </w:r>
      <w:r>
        <w:rPr>
          <w:rFonts w:ascii="StoneSansPl" w:hAnsi="StoneSansPl" w:cs="Arial"/>
          <w:sz w:val="18"/>
          <w:szCs w:val="22"/>
        </w:rPr>
        <w:t xml:space="preserve"> za rok: 2015, 2016, 2017 i 2018</w:t>
      </w:r>
      <w:r w:rsidRPr="00E93285">
        <w:rPr>
          <w:rFonts w:ascii="StoneSansPl" w:hAnsi="StoneSansPl" w:cs="Arial"/>
          <w:sz w:val="18"/>
          <w:szCs w:val="22"/>
        </w:rPr>
        <w:t xml:space="preserve">. Pod koniec 2017 </w:t>
      </w:r>
      <w:r>
        <w:rPr>
          <w:rFonts w:ascii="StoneSansPl" w:hAnsi="StoneSansPl" w:cs="Arial"/>
          <w:sz w:val="18"/>
          <w:szCs w:val="22"/>
        </w:rPr>
        <w:t>r.</w:t>
      </w:r>
      <w:r w:rsidRPr="00E93285">
        <w:rPr>
          <w:rFonts w:ascii="StoneSansPl" w:hAnsi="StoneSansPl" w:cs="Arial"/>
          <w:sz w:val="18"/>
          <w:szCs w:val="22"/>
        </w:rPr>
        <w:t xml:space="preserve"> ubezpieczenie mienia za składką płatną miesięcznie, które dedykowane jest lokatorom spółdzielni i wspólnot mieszkaniowych, po raz trzeci uzyskało certyfikat „Dobra Polisa”. </w:t>
      </w:r>
      <w:r>
        <w:rPr>
          <w:rFonts w:ascii="StoneSansPl" w:hAnsi="StoneSansPl" w:cs="Arial"/>
          <w:sz w:val="18"/>
          <w:szCs w:val="22"/>
        </w:rPr>
        <w:t xml:space="preserve">Z kolei w 2018 r. </w:t>
      </w:r>
      <w:r w:rsidRPr="008C53BE">
        <w:rPr>
          <w:rFonts w:ascii="StoneSansPl" w:hAnsi="StoneSansPl" w:cs="Arial"/>
          <w:sz w:val="18"/>
          <w:szCs w:val="22"/>
        </w:rPr>
        <w:t>ubezpieczenie na życie Beztroskie Dziecko zostało wyróżnione tytułem Rodzinnej Marki Roku.</w:t>
      </w:r>
      <w:r w:rsidRPr="00E93285">
        <w:rPr>
          <w:rFonts w:ascii="StoneSansPl" w:hAnsi="StoneSansPl" w:cs="Arial"/>
          <w:sz w:val="18"/>
          <w:szCs w:val="22"/>
        </w:rPr>
        <w:t xml:space="preserve"> Inwestorem strategicznym spółek jest europejski holding ubezpieczeniowy o austriackich korzeniach - UNIQA </w:t>
      </w:r>
      <w:proofErr w:type="spellStart"/>
      <w:r w:rsidRPr="00E93285">
        <w:rPr>
          <w:rFonts w:ascii="StoneSansPl" w:hAnsi="StoneSansPl" w:cs="Arial"/>
          <w:sz w:val="18"/>
          <w:szCs w:val="22"/>
        </w:rPr>
        <w:t>Insurance</w:t>
      </w:r>
      <w:proofErr w:type="spellEnd"/>
      <w:r w:rsidRPr="00E93285">
        <w:rPr>
          <w:rFonts w:ascii="StoneSansPl" w:hAnsi="StoneSansPl" w:cs="Arial"/>
          <w:sz w:val="18"/>
          <w:szCs w:val="22"/>
        </w:rPr>
        <w:t xml:space="preserve"> Group AG.</w:t>
      </w:r>
    </w:p>
    <w:p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</w:p>
    <w:p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Więcej informacji: </w:t>
      </w:r>
      <w:hyperlink r:id="rId11" w:history="1">
        <w:r w:rsidRPr="00E93285">
          <w:rPr>
            <w:rFonts w:ascii="StoneSansPl" w:hAnsi="StoneSansPl" w:cs="Arial"/>
            <w:sz w:val="18"/>
            <w:szCs w:val="22"/>
          </w:rPr>
          <w:t>www.uniqa.pl</w:t>
        </w:r>
      </w:hyperlink>
    </w:p>
    <w:p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</w:p>
    <w:p w:rsidR="00AA7B12" w:rsidRPr="00E93285" w:rsidRDefault="00AA7B12" w:rsidP="00AA7B12">
      <w:pPr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t>Grupa UNIQA</w:t>
      </w:r>
    </w:p>
    <w:p w:rsidR="00AA7B12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Grupa UNIQA należy do czołowych grup ubezpieczeniowych na rynkach w Austrii i Europie Środkowo-Wschodniej. Około 20 tys. pracowników i partnerów wyłącznych obsługuje 10</w:t>
      </w:r>
      <w:r>
        <w:rPr>
          <w:rFonts w:ascii="StoneSansPl" w:hAnsi="StoneSansPl" w:cs="Arial"/>
          <w:sz w:val="18"/>
          <w:szCs w:val="22"/>
        </w:rPr>
        <w:t>,1</w:t>
      </w:r>
      <w:r w:rsidRPr="00E93285">
        <w:rPr>
          <w:rFonts w:ascii="StoneSansPl" w:hAnsi="StoneSansPl" w:cs="Arial"/>
          <w:sz w:val="18"/>
          <w:szCs w:val="22"/>
        </w:rPr>
        <w:t xml:space="preserve"> mln klientów. UNIQA jest drugą co do wielkości grupą ubezpieczeniową w Austrii</w:t>
      </w:r>
      <w:r>
        <w:rPr>
          <w:rFonts w:ascii="StoneSansPl" w:hAnsi="StoneSansPl" w:cs="Arial"/>
          <w:sz w:val="18"/>
          <w:szCs w:val="22"/>
        </w:rPr>
        <w:t xml:space="preserve"> z </w:t>
      </w:r>
      <w:r w:rsidRPr="00E93285">
        <w:rPr>
          <w:rFonts w:ascii="StoneSansPl" w:hAnsi="StoneSansPl" w:cs="Arial"/>
          <w:sz w:val="18"/>
          <w:szCs w:val="22"/>
        </w:rPr>
        <w:t>ok. 21-proc. udział</w:t>
      </w:r>
      <w:r>
        <w:rPr>
          <w:rFonts w:ascii="StoneSansPl" w:hAnsi="StoneSansPl" w:cs="Arial"/>
          <w:sz w:val="18"/>
          <w:szCs w:val="22"/>
        </w:rPr>
        <w:t xml:space="preserve">em </w:t>
      </w:r>
      <w:r w:rsidRPr="00E93285">
        <w:rPr>
          <w:rFonts w:ascii="StoneSansPl" w:hAnsi="StoneSansPl" w:cs="Arial"/>
          <w:sz w:val="18"/>
          <w:szCs w:val="22"/>
        </w:rPr>
        <w:t>w rynku. W 201</w:t>
      </w:r>
      <w:r>
        <w:rPr>
          <w:rFonts w:ascii="StoneSansPl" w:hAnsi="StoneSansPl" w:cs="Arial"/>
          <w:sz w:val="18"/>
          <w:szCs w:val="22"/>
        </w:rPr>
        <w:t>8</w:t>
      </w:r>
      <w:r w:rsidRPr="00E93285">
        <w:rPr>
          <w:rFonts w:ascii="StoneSansPl" w:hAnsi="StoneSansPl" w:cs="Arial"/>
          <w:sz w:val="18"/>
          <w:szCs w:val="22"/>
        </w:rPr>
        <w:t xml:space="preserve"> </w:t>
      </w:r>
      <w:r>
        <w:rPr>
          <w:rFonts w:ascii="StoneSansPl" w:hAnsi="StoneSansPl" w:cs="Arial"/>
          <w:sz w:val="18"/>
          <w:szCs w:val="22"/>
        </w:rPr>
        <w:t>r. Grupa UNIQA zebrała 5,4</w:t>
      </w:r>
      <w:r w:rsidRPr="00E93285">
        <w:rPr>
          <w:rFonts w:ascii="StoneSansPl" w:hAnsi="StoneSansPl" w:cs="Arial"/>
          <w:sz w:val="18"/>
          <w:szCs w:val="22"/>
        </w:rPr>
        <w:t xml:space="preserve"> mld euro składki. </w:t>
      </w:r>
      <w:r>
        <w:rPr>
          <w:rFonts w:ascii="StoneSansPl" w:hAnsi="StoneSansPl" w:cs="Arial"/>
          <w:sz w:val="18"/>
          <w:szCs w:val="22"/>
        </w:rPr>
        <w:t>Działa w 18 krajach europejskich.</w:t>
      </w:r>
      <w:r w:rsidRPr="00E93285">
        <w:rPr>
          <w:rFonts w:ascii="StoneSansPl" w:hAnsi="StoneSansPl" w:cs="Arial"/>
          <w:sz w:val="18"/>
          <w:szCs w:val="22"/>
        </w:rPr>
        <w:t xml:space="preserve"> Jest obecna w 15 krajach w regionie Europy Środkowo-Wschodniej: Albanii, Bośni i Hercegowinie, Bułgarii, Chorwacji, Czechach, na Węgrzech, w Kosowie, Macedonii, Czarnogórze, Polsce, Rumunii, Rosji, Serbii, Słowacji oraz na Ukrainie. Do Grupy UNIQA należą również spółki ubezpieczeniowe</w:t>
      </w:r>
      <w:r>
        <w:rPr>
          <w:rFonts w:ascii="StoneSansPl" w:hAnsi="StoneSansPl" w:cs="Arial"/>
          <w:sz w:val="18"/>
          <w:szCs w:val="22"/>
        </w:rPr>
        <w:t xml:space="preserve"> w Szwajcarii i Liechtensteinie.</w:t>
      </w:r>
    </w:p>
    <w:p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</w:p>
    <w:p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Więcej informacji: </w:t>
      </w:r>
      <w:hyperlink r:id="rId12" w:history="1">
        <w:r w:rsidRPr="00E93285">
          <w:rPr>
            <w:rFonts w:ascii="StoneSansPl" w:hAnsi="StoneSansPl" w:cs="Arial"/>
            <w:sz w:val="18"/>
            <w:szCs w:val="22"/>
          </w:rPr>
          <w:t>www.uniqagroup.com</w:t>
        </w:r>
      </w:hyperlink>
    </w:p>
    <w:p w:rsidR="00AA7B12" w:rsidRPr="00BA4F1D" w:rsidRDefault="00AA7B12" w:rsidP="00892061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Cs w:val="22"/>
        </w:rPr>
      </w:pPr>
    </w:p>
    <w:p w:rsidR="00E93285" w:rsidRDefault="00E93285" w:rsidP="00E93285">
      <w:pPr>
        <w:jc w:val="both"/>
        <w:rPr>
          <w:rFonts w:ascii="StoneSansPl" w:hAnsi="StoneSansPl" w:cs="Arial"/>
          <w:b/>
          <w:sz w:val="18"/>
          <w:szCs w:val="22"/>
        </w:rPr>
      </w:pPr>
    </w:p>
    <w:p w:rsidR="00E93285" w:rsidRPr="00E93285" w:rsidRDefault="00E93285" w:rsidP="00E93285">
      <w:pPr>
        <w:spacing w:line="276" w:lineRule="auto"/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t>KONTAKT DLA MEDIÓW:</w:t>
      </w:r>
    </w:p>
    <w:p w:rsidR="00E93285" w:rsidRPr="00E93285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Katarzyna Ostrowska</w:t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br/>
        <w:t xml:space="preserve">rzeczniczka prasowa UNIQA </w:t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</w:p>
    <w:p w:rsidR="00E93285" w:rsidRPr="00721F6A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  <w:lang w:val="de-AT"/>
        </w:rPr>
      </w:pPr>
      <w:r w:rsidRPr="00721F6A">
        <w:rPr>
          <w:rFonts w:ascii="StoneSansPl" w:hAnsi="StoneSansPl" w:cs="Arial"/>
          <w:sz w:val="18"/>
          <w:szCs w:val="22"/>
          <w:lang w:val="de-AT"/>
        </w:rPr>
        <w:t>tel. (+48) 697 770</w:t>
      </w:r>
      <w:r w:rsidRPr="00721F6A">
        <w:rPr>
          <w:rFonts w:ascii="StoneSansPl" w:hAnsi="StoneSansPl" w:cs="Arial" w:hint="eastAsia"/>
          <w:sz w:val="18"/>
          <w:szCs w:val="22"/>
          <w:lang w:val="de-AT"/>
        </w:rPr>
        <w:t> </w:t>
      </w:r>
      <w:r w:rsidRPr="00721F6A">
        <w:rPr>
          <w:rFonts w:ascii="StoneSansPl" w:hAnsi="StoneSansPl" w:cs="Arial"/>
          <w:sz w:val="18"/>
          <w:szCs w:val="22"/>
          <w:lang w:val="de-AT"/>
        </w:rPr>
        <w:t xml:space="preserve">498 </w:t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  <w:t xml:space="preserve"> </w:t>
      </w:r>
    </w:p>
    <w:p w:rsidR="00E93285" w:rsidRPr="00721F6A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  <w:lang w:val="de-AT"/>
        </w:rPr>
      </w:pPr>
      <w:proofErr w:type="spellStart"/>
      <w:r w:rsidRPr="00721F6A">
        <w:rPr>
          <w:rFonts w:ascii="StoneSansPl" w:hAnsi="StoneSansPl" w:cs="Arial"/>
          <w:sz w:val="18"/>
          <w:szCs w:val="22"/>
          <w:lang w:val="de-AT"/>
        </w:rPr>
        <w:t>e-mail</w:t>
      </w:r>
      <w:proofErr w:type="spellEnd"/>
      <w:r w:rsidRPr="00721F6A">
        <w:rPr>
          <w:rFonts w:ascii="StoneSansPl" w:hAnsi="StoneSansPl" w:cs="Arial"/>
          <w:sz w:val="18"/>
          <w:szCs w:val="22"/>
          <w:lang w:val="de-AT"/>
        </w:rPr>
        <w:t xml:space="preserve">: </w:t>
      </w:r>
      <w:hyperlink r:id="rId13" w:history="1">
        <w:r w:rsidRPr="00721F6A">
          <w:rPr>
            <w:rFonts w:ascii="StoneSansPl" w:hAnsi="StoneSansPl" w:cs="Arial"/>
            <w:sz w:val="18"/>
            <w:szCs w:val="22"/>
            <w:lang w:val="de-AT"/>
          </w:rPr>
          <w:t>katarzyna.ostrowska@uniqa.pl</w:t>
        </w:r>
      </w:hyperlink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</w:p>
    <w:p w:rsidR="00E93285" w:rsidRPr="00E93285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  <w:proofErr w:type="spellStart"/>
      <w:r w:rsidRPr="00E93285">
        <w:rPr>
          <w:rFonts w:ascii="StoneSansPl" w:hAnsi="StoneSansPl" w:cs="Arial"/>
          <w:sz w:val="18"/>
          <w:szCs w:val="22"/>
        </w:rPr>
        <w:t>tt</w:t>
      </w:r>
      <w:proofErr w:type="spellEnd"/>
      <w:r w:rsidRPr="00E93285">
        <w:rPr>
          <w:rFonts w:ascii="StoneSansPl" w:hAnsi="StoneSansPl" w:cs="Arial"/>
          <w:sz w:val="18"/>
          <w:szCs w:val="22"/>
        </w:rPr>
        <w:t>/</w:t>
      </w:r>
      <w:proofErr w:type="spellStart"/>
      <w:r w:rsidRPr="00E93285">
        <w:rPr>
          <w:rFonts w:ascii="StoneSansPl" w:hAnsi="StoneSansPl" w:cs="Arial"/>
          <w:sz w:val="18"/>
          <w:szCs w:val="22"/>
        </w:rPr>
        <w:t>instagram</w:t>
      </w:r>
      <w:proofErr w:type="spellEnd"/>
      <w:r w:rsidRPr="00E93285">
        <w:rPr>
          <w:rFonts w:ascii="StoneSansPl" w:hAnsi="StoneSansPl" w:cs="Arial"/>
          <w:sz w:val="18"/>
          <w:szCs w:val="22"/>
        </w:rPr>
        <w:t xml:space="preserve"> @</w:t>
      </w:r>
      <w:proofErr w:type="spellStart"/>
      <w:r w:rsidRPr="00E93285">
        <w:rPr>
          <w:rFonts w:ascii="StoneSansPl" w:hAnsi="StoneSansPl" w:cs="Arial"/>
          <w:sz w:val="18"/>
          <w:szCs w:val="22"/>
        </w:rPr>
        <w:t>uniqapolska</w:t>
      </w:r>
      <w:proofErr w:type="spellEnd"/>
      <w:r w:rsidRPr="00E93285">
        <w:rPr>
          <w:rFonts w:ascii="StoneSansPl" w:hAnsi="StoneSansPl" w:cs="Arial"/>
          <w:sz w:val="18"/>
          <w:szCs w:val="22"/>
        </w:rPr>
        <w:t xml:space="preserve"> </w:t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</w:p>
    <w:sectPr w:rsidR="00E93285" w:rsidRPr="00E93285" w:rsidSect="003B0090">
      <w:headerReference w:type="default" r:id="rId14"/>
      <w:footerReference w:type="default" r:id="rId15"/>
      <w:pgSz w:w="11906" w:h="16838"/>
      <w:pgMar w:top="226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92" w:rsidRDefault="00884A92">
      <w:r>
        <w:separator/>
      </w:r>
    </w:p>
  </w:endnote>
  <w:endnote w:type="continuationSeparator" w:id="0">
    <w:p w:rsidR="00884A92" w:rsidRDefault="0088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oneSansP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15" w:rsidRDefault="00640A15" w:rsidP="007D5D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92" w:rsidRDefault="00884A92">
      <w:r>
        <w:separator/>
      </w:r>
    </w:p>
  </w:footnote>
  <w:footnote w:type="continuationSeparator" w:id="0">
    <w:p w:rsidR="00884A92" w:rsidRDefault="0088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15" w:rsidRDefault="00640A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8A0814" wp14:editId="3F64CD9E">
          <wp:simplePos x="0" y="0"/>
          <wp:positionH relativeFrom="column">
            <wp:posOffset>-739140</wp:posOffset>
          </wp:positionH>
          <wp:positionV relativeFrom="paragraph">
            <wp:posOffset>-449579</wp:posOffset>
          </wp:positionV>
          <wp:extent cx="7576185" cy="9563100"/>
          <wp:effectExtent l="0" t="0" r="5715" b="0"/>
          <wp:wrapNone/>
          <wp:docPr id="17" name="Obraz 17" descr="JA:Users:ja:Prace:UNIQA:Manual 2017:papier listowy 2017-maj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A:Users:ja:Prace:UNIQA:Manual 2017:papier listowy 2017-majate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1" b="8587"/>
                  <a:stretch/>
                </pic:blipFill>
                <pic:spPr bwMode="auto">
                  <a:xfrm>
                    <a:off x="0" y="0"/>
                    <a:ext cx="7576185" cy="956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C23B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C0C7A"/>
    <w:multiLevelType w:val="hybridMultilevel"/>
    <w:tmpl w:val="A6D48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2EF"/>
    <w:multiLevelType w:val="hybridMultilevel"/>
    <w:tmpl w:val="FEFE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7557"/>
    <w:multiLevelType w:val="hybridMultilevel"/>
    <w:tmpl w:val="B1D850DA"/>
    <w:lvl w:ilvl="0" w:tplc="2DBA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2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2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9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4A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CF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0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47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69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D7A41"/>
    <w:multiLevelType w:val="hybridMultilevel"/>
    <w:tmpl w:val="BD4C7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47F2"/>
    <w:multiLevelType w:val="multilevel"/>
    <w:tmpl w:val="861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4218A2"/>
    <w:multiLevelType w:val="hybridMultilevel"/>
    <w:tmpl w:val="58B696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A1E14"/>
    <w:multiLevelType w:val="hybridMultilevel"/>
    <w:tmpl w:val="2320C3FE"/>
    <w:lvl w:ilvl="0" w:tplc="842C2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67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0F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E3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A5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4B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A9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B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E1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D20CE"/>
    <w:multiLevelType w:val="hybridMultilevel"/>
    <w:tmpl w:val="80B8AAB0"/>
    <w:lvl w:ilvl="0" w:tplc="B4F4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AE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8F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4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9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A9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4F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E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C9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3D7A2A"/>
    <w:multiLevelType w:val="hybridMultilevel"/>
    <w:tmpl w:val="0994DD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24309"/>
    <w:multiLevelType w:val="hybridMultilevel"/>
    <w:tmpl w:val="26DAE816"/>
    <w:lvl w:ilvl="0" w:tplc="A8568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02687"/>
    <w:multiLevelType w:val="hybridMultilevel"/>
    <w:tmpl w:val="7278B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4187E"/>
    <w:multiLevelType w:val="hybridMultilevel"/>
    <w:tmpl w:val="B160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A4685"/>
    <w:multiLevelType w:val="hybridMultilevel"/>
    <w:tmpl w:val="474C8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F3215"/>
    <w:multiLevelType w:val="singleLevel"/>
    <w:tmpl w:val="2FD678E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 w15:restartNumberingAfterBreak="0">
    <w:nsid w:val="501A28FA"/>
    <w:multiLevelType w:val="hybridMultilevel"/>
    <w:tmpl w:val="96C0E8EC"/>
    <w:lvl w:ilvl="0" w:tplc="3A786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D3857"/>
    <w:multiLevelType w:val="hybridMultilevel"/>
    <w:tmpl w:val="F474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E1187"/>
    <w:multiLevelType w:val="hybridMultilevel"/>
    <w:tmpl w:val="EF44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F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5270F87"/>
    <w:multiLevelType w:val="hybridMultilevel"/>
    <w:tmpl w:val="B33464AE"/>
    <w:lvl w:ilvl="0" w:tplc="D4AA0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6A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61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2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E3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02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AA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EB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4D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920BEA"/>
    <w:multiLevelType w:val="multilevel"/>
    <w:tmpl w:val="9CFA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7F79CC"/>
    <w:multiLevelType w:val="hybridMultilevel"/>
    <w:tmpl w:val="C454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C322D"/>
    <w:multiLevelType w:val="hybridMultilevel"/>
    <w:tmpl w:val="318041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B1C1F"/>
    <w:multiLevelType w:val="multilevel"/>
    <w:tmpl w:val="31A86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3A5037"/>
    <w:multiLevelType w:val="hybridMultilevel"/>
    <w:tmpl w:val="1D2A4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3"/>
  </w:num>
  <w:num w:numId="7">
    <w:abstractNumId w:val="5"/>
  </w:num>
  <w:num w:numId="8">
    <w:abstractNumId w:val="0"/>
  </w:num>
  <w:num w:numId="9">
    <w:abstractNumId w:val="18"/>
  </w:num>
  <w:num w:numId="10">
    <w:abstractNumId w:val="24"/>
  </w:num>
  <w:num w:numId="11">
    <w:abstractNumId w:val="12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23"/>
  </w:num>
  <w:num w:numId="17">
    <w:abstractNumId w:val="11"/>
  </w:num>
  <w:num w:numId="18">
    <w:abstractNumId w:val="25"/>
  </w:num>
  <w:num w:numId="19">
    <w:abstractNumId w:val="22"/>
  </w:num>
  <w:num w:numId="20">
    <w:abstractNumId w:val="21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20"/>
  </w:num>
  <w:num w:numId="26">
    <w:abstractNumId w:val="3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4C"/>
    <w:rsid w:val="00000B41"/>
    <w:rsid w:val="000010E0"/>
    <w:rsid w:val="000013C2"/>
    <w:rsid w:val="0000195C"/>
    <w:rsid w:val="00002D44"/>
    <w:rsid w:val="000108D0"/>
    <w:rsid w:val="00020D1F"/>
    <w:rsid w:val="00021A20"/>
    <w:rsid w:val="00023B73"/>
    <w:rsid w:val="00030C27"/>
    <w:rsid w:val="00033100"/>
    <w:rsid w:val="00034112"/>
    <w:rsid w:val="00037E0F"/>
    <w:rsid w:val="00044A48"/>
    <w:rsid w:val="0005030E"/>
    <w:rsid w:val="00053B83"/>
    <w:rsid w:val="00062BFD"/>
    <w:rsid w:val="00066792"/>
    <w:rsid w:val="00070041"/>
    <w:rsid w:val="00071B48"/>
    <w:rsid w:val="000800A3"/>
    <w:rsid w:val="00097E77"/>
    <w:rsid w:val="000A19DA"/>
    <w:rsid w:val="000B0461"/>
    <w:rsid w:val="000B43A0"/>
    <w:rsid w:val="000B46FA"/>
    <w:rsid w:val="000C2C9A"/>
    <w:rsid w:val="000C2E49"/>
    <w:rsid w:val="000C4993"/>
    <w:rsid w:val="000C4F3F"/>
    <w:rsid w:val="000C61C3"/>
    <w:rsid w:val="000D01BF"/>
    <w:rsid w:val="000D3FA9"/>
    <w:rsid w:val="000D5DD7"/>
    <w:rsid w:val="000E0D8B"/>
    <w:rsid w:val="000E584B"/>
    <w:rsid w:val="000E5A3E"/>
    <w:rsid w:val="000F6087"/>
    <w:rsid w:val="00105A0B"/>
    <w:rsid w:val="00124B15"/>
    <w:rsid w:val="00125D56"/>
    <w:rsid w:val="0012746F"/>
    <w:rsid w:val="00130E87"/>
    <w:rsid w:val="00143C43"/>
    <w:rsid w:val="0014498B"/>
    <w:rsid w:val="00150A55"/>
    <w:rsid w:val="00150C3C"/>
    <w:rsid w:val="00154CBD"/>
    <w:rsid w:val="001574D9"/>
    <w:rsid w:val="0016070B"/>
    <w:rsid w:val="001731EE"/>
    <w:rsid w:val="00173751"/>
    <w:rsid w:val="0017590E"/>
    <w:rsid w:val="00182B18"/>
    <w:rsid w:val="00185FC1"/>
    <w:rsid w:val="0019188F"/>
    <w:rsid w:val="00193BA0"/>
    <w:rsid w:val="00193CBE"/>
    <w:rsid w:val="00195C24"/>
    <w:rsid w:val="001A5401"/>
    <w:rsid w:val="001B339E"/>
    <w:rsid w:val="001B5978"/>
    <w:rsid w:val="001C0C59"/>
    <w:rsid w:val="001C16EA"/>
    <w:rsid w:val="001C2F58"/>
    <w:rsid w:val="001E5FEF"/>
    <w:rsid w:val="001E7518"/>
    <w:rsid w:val="001F09A7"/>
    <w:rsid w:val="001F0F1E"/>
    <w:rsid w:val="001F45A2"/>
    <w:rsid w:val="001F6377"/>
    <w:rsid w:val="00201358"/>
    <w:rsid w:val="00207BBE"/>
    <w:rsid w:val="00220021"/>
    <w:rsid w:val="0022046F"/>
    <w:rsid w:val="0022526C"/>
    <w:rsid w:val="002253E2"/>
    <w:rsid w:val="002363CE"/>
    <w:rsid w:val="00237A5A"/>
    <w:rsid w:val="00262198"/>
    <w:rsid w:val="00263882"/>
    <w:rsid w:val="00266CB1"/>
    <w:rsid w:val="00284AAB"/>
    <w:rsid w:val="0028527E"/>
    <w:rsid w:val="002875B8"/>
    <w:rsid w:val="0029266C"/>
    <w:rsid w:val="00296FE4"/>
    <w:rsid w:val="00297DE9"/>
    <w:rsid w:val="002A6DF9"/>
    <w:rsid w:val="002B2306"/>
    <w:rsid w:val="002B4BA1"/>
    <w:rsid w:val="002B7D17"/>
    <w:rsid w:val="002C4244"/>
    <w:rsid w:val="002C6556"/>
    <w:rsid w:val="002D03B1"/>
    <w:rsid w:val="002D293F"/>
    <w:rsid w:val="002D2DDE"/>
    <w:rsid w:val="002D3101"/>
    <w:rsid w:val="002D3A30"/>
    <w:rsid w:val="002D51E1"/>
    <w:rsid w:val="002D5F2A"/>
    <w:rsid w:val="002E0E65"/>
    <w:rsid w:val="002E1553"/>
    <w:rsid w:val="002F52C8"/>
    <w:rsid w:val="00301ABE"/>
    <w:rsid w:val="003033F1"/>
    <w:rsid w:val="003068C0"/>
    <w:rsid w:val="00314C63"/>
    <w:rsid w:val="0033065F"/>
    <w:rsid w:val="00331259"/>
    <w:rsid w:val="00331F0F"/>
    <w:rsid w:val="0033725B"/>
    <w:rsid w:val="00340F07"/>
    <w:rsid w:val="0034301D"/>
    <w:rsid w:val="00362289"/>
    <w:rsid w:val="0036668A"/>
    <w:rsid w:val="003717AF"/>
    <w:rsid w:val="00374423"/>
    <w:rsid w:val="00374AF7"/>
    <w:rsid w:val="0038504D"/>
    <w:rsid w:val="003964EB"/>
    <w:rsid w:val="003A1950"/>
    <w:rsid w:val="003A20AA"/>
    <w:rsid w:val="003A77E8"/>
    <w:rsid w:val="003B0090"/>
    <w:rsid w:val="003B1EA2"/>
    <w:rsid w:val="003B3FDE"/>
    <w:rsid w:val="003B64A0"/>
    <w:rsid w:val="003C3810"/>
    <w:rsid w:val="003C4933"/>
    <w:rsid w:val="003C7318"/>
    <w:rsid w:val="003D156B"/>
    <w:rsid w:val="003D1985"/>
    <w:rsid w:val="003D48AF"/>
    <w:rsid w:val="003D7410"/>
    <w:rsid w:val="003E158E"/>
    <w:rsid w:val="003E2593"/>
    <w:rsid w:val="003E4CCF"/>
    <w:rsid w:val="003E54F3"/>
    <w:rsid w:val="003F25E4"/>
    <w:rsid w:val="003F57CB"/>
    <w:rsid w:val="004071D8"/>
    <w:rsid w:val="00410C7E"/>
    <w:rsid w:val="004153BB"/>
    <w:rsid w:val="00416099"/>
    <w:rsid w:val="004167F9"/>
    <w:rsid w:val="00425C4E"/>
    <w:rsid w:val="0042724C"/>
    <w:rsid w:val="00431CE7"/>
    <w:rsid w:val="00433910"/>
    <w:rsid w:val="00440F98"/>
    <w:rsid w:val="00443866"/>
    <w:rsid w:val="00445C7A"/>
    <w:rsid w:val="004468EC"/>
    <w:rsid w:val="00446E85"/>
    <w:rsid w:val="00447D7B"/>
    <w:rsid w:val="004514DF"/>
    <w:rsid w:val="00455758"/>
    <w:rsid w:val="00457F4C"/>
    <w:rsid w:val="00460D15"/>
    <w:rsid w:val="00460D4B"/>
    <w:rsid w:val="00463692"/>
    <w:rsid w:val="00464BC5"/>
    <w:rsid w:val="00467DBA"/>
    <w:rsid w:val="004717BA"/>
    <w:rsid w:val="004727D8"/>
    <w:rsid w:val="00473666"/>
    <w:rsid w:val="004738C0"/>
    <w:rsid w:val="00474123"/>
    <w:rsid w:val="00475F17"/>
    <w:rsid w:val="004820A1"/>
    <w:rsid w:val="004824B6"/>
    <w:rsid w:val="004914AE"/>
    <w:rsid w:val="004A00EA"/>
    <w:rsid w:val="004A05F1"/>
    <w:rsid w:val="004A654D"/>
    <w:rsid w:val="004B30DF"/>
    <w:rsid w:val="004B4A7A"/>
    <w:rsid w:val="004C0103"/>
    <w:rsid w:val="004C2D2F"/>
    <w:rsid w:val="004C7E39"/>
    <w:rsid w:val="004E75C5"/>
    <w:rsid w:val="004F1B45"/>
    <w:rsid w:val="004F39B2"/>
    <w:rsid w:val="004F4FD6"/>
    <w:rsid w:val="004F5755"/>
    <w:rsid w:val="00501EB0"/>
    <w:rsid w:val="0050784F"/>
    <w:rsid w:val="0051465A"/>
    <w:rsid w:val="00515467"/>
    <w:rsid w:val="00522082"/>
    <w:rsid w:val="0052265A"/>
    <w:rsid w:val="00523A74"/>
    <w:rsid w:val="00525219"/>
    <w:rsid w:val="00534704"/>
    <w:rsid w:val="005400EE"/>
    <w:rsid w:val="00542AD9"/>
    <w:rsid w:val="005434D0"/>
    <w:rsid w:val="00544C70"/>
    <w:rsid w:val="0055181B"/>
    <w:rsid w:val="00551B79"/>
    <w:rsid w:val="0055314D"/>
    <w:rsid w:val="005538A3"/>
    <w:rsid w:val="00555855"/>
    <w:rsid w:val="00556589"/>
    <w:rsid w:val="00557E0F"/>
    <w:rsid w:val="00563F13"/>
    <w:rsid w:val="005701DC"/>
    <w:rsid w:val="00571DA1"/>
    <w:rsid w:val="00585BC9"/>
    <w:rsid w:val="005A6CBB"/>
    <w:rsid w:val="005B0C0E"/>
    <w:rsid w:val="005B4D8C"/>
    <w:rsid w:val="005C62F8"/>
    <w:rsid w:val="005C671E"/>
    <w:rsid w:val="005C7D39"/>
    <w:rsid w:val="005D5E84"/>
    <w:rsid w:val="005E5190"/>
    <w:rsid w:val="005F0D35"/>
    <w:rsid w:val="005F22FE"/>
    <w:rsid w:val="005F40E5"/>
    <w:rsid w:val="005F5F92"/>
    <w:rsid w:val="00601642"/>
    <w:rsid w:val="00604A77"/>
    <w:rsid w:val="00604ED1"/>
    <w:rsid w:val="006056FE"/>
    <w:rsid w:val="00607DFC"/>
    <w:rsid w:val="006124E4"/>
    <w:rsid w:val="00626F8B"/>
    <w:rsid w:val="00627289"/>
    <w:rsid w:val="00631782"/>
    <w:rsid w:val="00632705"/>
    <w:rsid w:val="00640A15"/>
    <w:rsid w:val="0064214F"/>
    <w:rsid w:val="0064699A"/>
    <w:rsid w:val="00653D32"/>
    <w:rsid w:val="00655781"/>
    <w:rsid w:val="0065589B"/>
    <w:rsid w:val="00656FAF"/>
    <w:rsid w:val="006608BE"/>
    <w:rsid w:val="00664D91"/>
    <w:rsid w:val="00667139"/>
    <w:rsid w:val="006713BA"/>
    <w:rsid w:val="006758DC"/>
    <w:rsid w:val="00676129"/>
    <w:rsid w:val="006779A6"/>
    <w:rsid w:val="00683D9D"/>
    <w:rsid w:val="006876FB"/>
    <w:rsid w:val="006A2EB6"/>
    <w:rsid w:val="006B05B8"/>
    <w:rsid w:val="006C37B8"/>
    <w:rsid w:val="006D1E78"/>
    <w:rsid w:val="006D2241"/>
    <w:rsid w:val="006D35DA"/>
    <w:rsid w:val="006D7B3E"/>
    <w:rsid w:val="006E3121"/>
    <w:rsid w:val="006F26C9"/>
    <w:rsid w:val="006F540B"/>
    <w:rsid w:val="00701480"/>
    <w:rsid w:val="00701506"/>
    <w:rsid w:val="00701B81"/>
    <w:rsid w:val="0070435E"/>
    <w:rsid w:val="00711E68"/>
    <w:rsid w:val="00714BA6"/>
    <w:rsid w:val="00721F6A"/>
    <w:rsid w:val="0073015C"/>
    <w:rsid w:val="00733DB3"/>
    <w:rsid w:val="00754398"/>
    <w:rsid w:val="0075634D"/>
    <w:rsid w:val="00767869"/>
    <w:rsid w:val="00774FD6"/>
    <w:rsid w:val="00775485"/>
    <w:rsid w:val="00786F45"/>
    <w:rsid w:val="007920EC"/>
    <w:rsid w:val="007A08C6"/>
    <w:rsid w:val="007A30BC"/>
    <w:rsid w:val="007A50F4"/>
    <w:rsid w:val="007A5829"/>
    <w:rsid w:val="007A7B0A"/>
    <w:rsid w:val="007A7E58"/>
    <w:rsid w:val="007B7684"/>
    <w:rsid w:val="007C104D"/>
    <w:rsid w:val="007C3DCB"/>
    <w:rsid w:val="007D01B4"/>
    <w:rsid w:val="007D089F"/>
    <w:rsid w:val="007D3714"/>
    <w:rsid w:val="007D3BA6"/>
    <w:rsid w:val="007D5D22"/>
    <w:rsid w:val="007E07C7"/>
    <w:rsid w:val="007E12A5"/>
    <w:rsid w:val="007E1BAE"/>
    <w:rsid w:val="007E5565"/>
    <w:rsid w:val="007F1C68"/>
    <w:rsid w:val="007F5597"/>
    <w:rsid w:val="007F60AC"/>
    <w:rsid w:val="00802F11"/>
    <w:rsid w:val="00803151"/>
    <w:rsid w:val="00804190"/>
    <w:rsid w:val="00806F0F"/>
    <w:rsid w:val="008222BB"/>
    <w:rsid w:val="00824380"/>
    <w:rsid w:val="0084676F"/>
    <w:rsid w:val="0085053D"/>
    <w:rsid w:val="00857A4C"/>
    <w:rsid w:val="00866DC1"/>
    <w:rsid w:val="00867679"/>
    <w:rsid w:val="00876BCC"/>
    <w:rsid w:val="00884A92"/>
    <w:rsid w:val="00885075"/>
    <w:rsid w:val="00892061"/>
    <w:rsid w:val="008967BB"/>
    <w:rsid w:val="00897FE6"/>
    <w:rsid w:val="008A0D3B"/>
    <w:rsid w:val="008A22A0"/>
    <w:rsid w:val="008A3CD2"/>
    <w:rsid w:val="008A7C43"/>
    <w:rsid w:val="008B424A"/>
    <w:rsid w:val="008C62A4"/>
    <w:rsid w:val="008E3308"/>
    <w:rsid w:val="008F409C"/>
    <w:rsid w:val="008F5956"/>
    <w:rsid w:val="008F5964"/>
    <w:rsid w:val="008F709F"/>
    <w:rsid w:val="00905E1E"/>
    <w:rsid w:val="0090716D"/>
    <w:rsid w:val="00924975"/>
    <w:rsid w:val="00930B36"/>
    <w:rsid w:val="00933B67"/>
    <w:rsid w:val="009419D3"/>
    <w:rsid w:val="00941FB5"/>
    <w:rsid w:val="00941FBA"/>
    <w:rsid w:val="00944068"/>
    <w:rsid w:val="00952304"/>
    <w:rsid w:val="00952BC1"/>
    <w:rsid w:val="009530EE"/>
    <w:rsid w:val="0095320A"/>
    <w:rsid w:val="0095562F"/>
    <w:rsid w:val="00956B79"/>
    <w:rsid w:val="00971665"/>
    <w:rsid w:val="00972A5E"/>
    <w:rsid w:val="009757E7"/>
    <w:rsid w:val="00980B68"/>
    <w:rsid w:val="009A6FB5"/>
    <w:rsid w:val="009B0360"/>
    <w:rsid w:val="009B3500"/>
    <w:rsid w:val="009C5E92"/>
    <w:rsid w:val="009C7739"/>
    <w:rsid w:val="009D2134"/>
    <w:rsid w:val="009E1E25"/>
    <w:rsid w:val="009E39D6"/>
    <w:rsid w:val="009E4739"/>
    <w:rsid w:val="009F00DA"/>
    <w:rsid w:val="009F13E6"/>
    <w:rsid w:val="009F550F"/>
    <w:rsid w:val="009F7EC7"/>
    <w:rsid w:val="00A00124"/>
    <w:rsid w:val="00A0110C"/>
    <w:rsid w:val="00A039FF"/>
    <w:rsid w:val="00A04A91"/>
    <w:rsid w:val="00A07A99"/>
    <w:rsid w:val="00A07BD1"/>
    <w:rsid w:val="00A204AB"/>
    <w:rsid w:val="00A362FD"/>
    <w:rsid w:val="00A4289C"/>
    <w:rsid w:val="00A43D48"/>
    <w:rsid w:val="00A46148"/>
    <w:rsid w:val="00A476E4"/>
    <w:rsid w:val="00A525A8"/>
    <w:rsid w:val="00A5301D"/>
    <w:rsid w:val="00A7394E"/>
    <w:rsid w:val="00A742E2"/>
    <w:rsid w:val="00A754E0"/>
    <w:rsid w:val="00A77CB2"/>
    <w:rsid w:val="00A82389"/>
    <w:rsid w:val="00A82861"/>
    <w:rsid w:val="00A9394D"/>
    <w:rsid w:val="00AA7B12"/>
    <w:rsid w:val="00AC037A"/>
    <w:rsid w:val="00AC2AED"/>
    <w:rsid w:val="00AC7715"/>
    <w:rsid w:val="00AC7B99"/>
    <w:rsid w:val="00AE0300"/>
    <w:rsid w:val="00AF5FC7"/>
    <w:rsid w:val="00AF605D"/>
    <w:rsid w:val="00AF7F0E"/>
    <w:rsid w:val="00B01FBC"/>
    <w:rsid w:val="00B06994"/>
    <w:rsid w:val="00B16E25"/>
    <w:rsid w:val="00B172A4"/>
    <w:rsid w:val="00B22D5B"/>
    <w:rsid w:val="00B34D65"/>
    <w:rsid w:val="00B36B8B"/>
    <w:rsid w:val="00B36FA4"/>
    <w:rsid w:val="00B42721"/>
    <w:rsid w:val="00B45F5D"/>
    <w:rsid w:val="00B50819"/>
    <w:rsid w:val="00B56D6A"/>
    <w:rsid w:val="00B56F7F"/>
    <w:rsid w:val="00B61BF2"/>
    <w:rsid w:val="00B62A9A"/>
    <w:rsid w:val="00B67757"/>
    <w:rsid w:val="00B825F8"/>
    <w:rsid w:val="00B849E0"/>
    <w:rsid w:val="00B87A8E"/>
    <w:rsid w:val="00B93695"/>
    <w:rsid w:val="00B93C2F"/>
    <w:rsid w:val="00B9742C"/>
    <w:rsid w:val="00BA0315"/>
    <w:rsid w:val="00BA39E6"/>
    <w:rsid w:val="00BA4F1D"/>
    <w:rsid w:val="00BA76EE"/>
    <w:rsid w:val="00BB34B6"/>
    <w:rsid w:val="00BC5660"/>
    <w:rsid w:val="00BC5A1D"/>
    <w:rsid w:val="00BC75CF"/>
    <w:rsid w:val="00BC7680"/>
    <w:rsid w:val="00BE4783"/>
    <w:rsid w:val="00BE5CC7"/>
    <w:rsid w:val="00BF0292"/>
    <w:rsid w:val="00BF489D"/>
    <w:rsid w:val="00BF59E1"/>
    <w:rsid w:val="00BF7FAF"/>
    <w:rsid w:val="00C04408"/>
    <w:rsid w:val="00C226AA"/>
    <w:rsid w:val="00C3652E"/>
    <w:rsid w:val="00C45998"/>
    <w:rsid w:val="00C51386"/>
    <w:rsid w:val="00C521CC"/>
    <w:rsid w:val="00C53AF4"/>
    <w:rsid w:val="00C56A77"/>
    <w:rsid w:val="00C62245"/>
    <w:rsid w:val="00C7315A"/>
    <w:rsid w:val="00C740CF"/>
    <w:rsid w:val="00C82E07"/>
    <w:rsid w:val="00C87B1F"/>
    <w:rsid w:val="00C9056E"/>
    <w:rsid w:val="00C90E91"/>
    <w:rsid w:val="00C9525B"/>
    <w:rsid w:val="00CA714F"/>
    <w:rsid w:val="00CB4355"/>
    <w:rsid w:val="00CB4681"/>
    <w:rsid w:val="00CB6BD0"/>
    <w:rsid w:val="00CC5316"/>
    <w:rsid w:val="00CD44EA"/>
    <w:rsid w:val="00CD4855"/>
    <w:rsid w:val="00CD74B3"/>
    <w:rsid w:val="00CE1C67"/>
    <w:rsid w:val="00CE3A0A"/>
    <w:rsid w:val="00CE4A70"/>
    <w:rsid w:val="00CF3623"/>
    <w:rsid w:val="00CF3BF1"/>
    <w:rsid w:val="00D02335"/>
    <w:rsid w:val="00D0419F"/>
    <w:rsid w:val="00D12707"/>
    <w:rsid w:val="00D148AC"/>
    <w:rsid w:val="00D21412"/>
    <w:rsid w:val="00D26481"/>
    <w:rsid w:val="00D27032"/>
    <w:rsid w:val="00D274FC"/>
    <w:rsid w:val="00D27EEF"/>
    <w:rsid w:val="00D34A98"/>
    <w:rsid w:val="00D44E13"/>
    <w:rsid w:val="00D51096"/>
    <w:rsid w:val="00D61958"/>
    <w:rsid w:val="00D70F18"/>
    <w:rsid w:val="00D715D4"/>
    <w:rsid w:val="00D75D23"/>
    <w:rsid w:val="00D8151A"/>
    <w:rsid w:val="00D90A66"/>
    <w:rsid w:val="00D90F72"/>
    <w:rsid w:val="00DA3574"/>
    <w:rsid w:val="00DA7172"/>
    <w:rsid w:val="00DB025D"/>
    <w:rsid w:val="00DB5C6D"/>
    <w:rsid w:val="00DD396B"/>
    <w:rsid w:val="00DD4389"/>
    <w:rsid w:val="00DE06B9"/>
    <w:rsid w:val="00DE2E79"/>
    <w:rsid w:val="00DE5750"/>
    <w:rsid w:val="00E01ADE"/>
    <w:rsid w:val="00E01CBE"/>
    <w:rsid w:val="00E040F9"/>
    <w:rsid w:val="00E11983"/>
    <w:rsid w:val="00E16CB0"/>
    <w:rsid w:val="00E21A35"/>
    <w:rsid w:val="00E24F6D"/>
    <w:rsid w:val="00E32446"/>
    <w:rsid w:val="00E416DE"/>
    <w:rsid w:val="00E446A8"/>
    <w:rsid w:val="00E56852"/>
    <w:rsid w:val="00E62FCE"/>
    <w:rsid w:val="00E72E9A"/>
    <w:rsid w:val="00E767B7"/>
    <w:rsid w:val="00E776B8"/>
    <w:rsid w:val="00E834B2"/>
    <w:rsid w:val="00E86992"/>
    <w:rsid w:val="00E93285"/>
    <w:rsid w:val="00EA4127"/>
    <w:rsid w:val="00EA73C5"/>
    <w:rsid w:val="00EC2BB2"/>
    <w:rsid w:val="00EE74DA"/>
    <w:rsid w:val="00EF12C0"/>
    <w:rsid w:val="00EF1EEC"/>
    <w:rsid w:val="00EF2605"/>
    <w:rsid w:val="00F029D9"/>
    <w:rsid w:val="00F04327"/>
    <w:rsid w:val="00F05DB9"/>
    <w:rsid w:val="00F07665"/>
    <w:rsid w:val="00F13FE7"/>
    <w:rsid w:val="00F206B1"/>
    <w:rsid w:val="00F20D5D"/>
    <w:rsid w:val="00F233A2"/>
    <w:rsid w:val="00F262CD"/>
    <w:rsid w:val="00F27FEF"/>
    <w:rsid w:val="00F30EC0"/>
    <w:rsid w:val="00F33C4A"/>
    <w:rsid w:val="00F3482D"/>
    <w:rsid w:val="00F35977"/>
    <w:rsid w:val="00F40951"/>
    <w:rsid w:val="00F41E71"/>
    <w:rsid w:val="00F43378"/>
    <w:rsid w:val="00F5068B"/>
    <w:rsid w:val="00F60240"/>
    <w:rsid w:val="00F60CD3"/>
    <w:rsid w:val="00F62307"/>
    <w:rsid w:val="00F81C0D"/>
    <w:rsid w:val="00F87155"/>
    <w:rsid w:val="00F879B4"/>
    <w:rsid w:val="00FA1D84"/>
    <w:rsid w:val="00FA5EF5"/>
    <w:rsid w:val="00FC2A92"/>
    <w:rsid w:val="00FD3A37"/>
    <w:rsid w:val="00FE18CF"/>
    <w:rsid w:val="00FF140B"/>
    <w:rsid w:val="00FF4A6B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9BFB598-6DED-4B28-98A0-2D492F2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55"/>
    <w:rPr>
      <w:rFonts w:ascii="Arial" w:hAnsi="Arial"/>
      <w:sz w:val="22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9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basedOn w:val="Normalny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E15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58E"/>
    <w:rPr>
      <w:rFonts w:ascii="Arial" w:hAnsi="Arial"/>
      <w:sz w:val="22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E158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7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7C7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7C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95C24"/>
    <w:rPr>
      <w:i/>
      <w:iCs/>
    </w:rPr>
  </w:style>
  <w:style w:type="character" w:customStyle="1" w:styleId="apple-converted-space">
    <w:name w:val="apple-converted-space"/>
    <w:basedOn w:val="Domylnaczcionkaakapitu"/>
    <w:rsid w:val="00195C24"/>
  </w:style>
  <w:style w:type="character" w:styleId="Odwoaniedokomentarza">
    <w:name w:val="annotation reference"/>
    <w:basedOn w:val="Domylnaczcionkaakapitu"/>
    <w:uiPriority w:val="99"/>
    <w:semiHidden/>
    <w:unhideWhenUsed/>
    <w:rsid w:val="00CC5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316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316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16"/>
    <w:rPr>
      <w:rFonts w:ascii="Segoe UI" w:hAnsi="Segoe UI" w:cs="Segoe UI"/>
      <w:sz w:val="18"/>
      <w:szCs w:val="18"/>
      <w:lang w:val="pl-PL"/>
    </w:rPr>
  </w:style>
  <w:style w:type="paragraph" w:styleId="Listapunktowana">
    <w:name w:val="List Bullet"/>
    <w:basedOn w:val="Normalny"/>
    <w:uiPriority w:val="99"/>
    <w:unhideWhenUsed/>
    <w:rsid w:val="00AF7F0E"/>
    <w:pPr>
      <w:numPr>
        <w:numId w:val="8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Brak">
    <w:name w:val="Brak"/>
    <w:rsid w:val="00E93285"/>
  </w:style>
  <w:style w:type="character" w:customStyle="1" w:styleId="Hyperlink0">
    <w:name w:val="Hyperlink.0"/>
    <w:basedOn w:val="Brak"/>
    <w:rsid w:val="00E93285"/>
    <w:rPr>
      <w:sz w:val="20"/>
      <w:szCs w:val="20"/>
    </w:rPr>
  </w:style>
  <w:style w:type="character" w:customStyle="1" w:styleId="Hyperlink1">
    <w:name w:val="Hyperlink.1"/>
    <w:basedOn w:val="Brak"/>
    <w:rsid w:val="00E93285"/>
    <w:rPr>
      <w:rFonts w:ascii="Times New Roman" w:eastAsia="Times New Roman" w:hAnsi="Times New Roman" w:cs="Times New Roman" w:hint="default"/>
      <w:i/>
      <w:iCs/>
      <w:sz w:val="20"/>
      <w:szCs w:val="20"/>
    </w:rPr>
  </w:style>
  <w:style w:type="character" w:customStyle="1" w:styleId="cze">
    <w:name w:val="Łącze"/>
    <w:rsid w:val="00E93285"/>
    <w:rPr>
      <w:color w:val="0000FF"/>
      <w:u w:val="single" w:color="0000FF"/>
    </w:rPr>
  </w:style>
  <w:style w:type="character" w:customStyle="1" w:styleId="Hyperlink2">
    <w:name w:val="Hyperlink.2"/>
    <w:basedOn w:val="cze"/>
    <w:rsid w:val="00E93285"/>
    <w:rPr>
      <w:rFonts w:ascii="Times New Roman" w:eastAsia="Times New Roman" w:hAnsi="Times New Roman" w:cs="Times New Roman" w:hint="default"/>
      <w:color w:val="0000FF"/>
      <w:u w:val="single" w:color="0000FF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9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Default">
    <w:name w:val="Default"/>
    <w:rsid w:val="00371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B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BF1"/>
    <w:rPr>
      <w:rFonts w:ascii="Arial" w:hAnsi="Arial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BF1"/>
    <w:rPr>
      <w:vertAlign w:val="superscript"/>
    </w:rPr>
  </w:style>
  <w:style w:type="character" w:customStyle="1" w:styleId="size">
    <w:name w:val="size"/>
    <w:basedOn w:val="Domylnaczcionkaakapitu"/>
    <w:rsid w:val="00CF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p.pl/publikacje/rynek_nieruchomosci/ceny_mieszkan_12_2018.pdf" TargetMode="External"/><Relationship Id="rId13" Type="http://schemas.openxmlformats.org/officeDocument/2006/relationships/hyperlink" Target="mailto:katarzyna.ostrowska@uniq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qagroup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q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at.gov.pl/obszary-tematyczne/przemysl-budownictwo-srodki-trwale/budownictwo/budownictwo-w-2018-r-,13,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.gov.pl/download/gfx/portalinformacyjny/pl/defaultaktualnosci/5468/6/25/1/ludnosc_stan_i_struktura_oraz_ruch_naturalny_w_przekroju_terytorialnym_na_31.12.2018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B2137A-19DB-44E9-BC25-B40718AE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</vt:lpstr>
    </vt:vector>
  </TitlesOfParts>
  <Company>dom</Company>
  <LinksUpToDate>false</LinksUpToDate>
  <CharactersWithSpaces>6364</CharactersWithSpaces>
  <SharedDoc>false</SharedDoc>
  <HLinks>
    <vt:vector size="6" baseType="variant">
      <vt:variant>
        <vt:i4>6553615</vt:i4>
      </vt:variant>
      <vt:variant>
        <vt:i4>-1</vt:i4>
      </vt:variant>
      <vt:variant>
        <vt:i4>2056</vt:i4>
      </vt:variant>
      <vt:variant>
        <vt:i4>1</vt:i4>
      </vt:variant>
      <vt:variant>
        <vt:lpwstr>papier firmowy 2015 jasny zycie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</dc:title>
  <dc:subject/>
  <dc:creator>Marcin</dc:creator>
  <cp:keywords/>
  <dc:description/>
  <cp:lastModifiedBy>Ostrowska Katarzyna - u00kost</cp:lastModifiedBy>
  <cp:revision>8</cp:revision>
  <cp:lastPrinted>2019-05-06T16:25:00Z</cp:lastPrinted>
  <dcterms:created xsi:type="dcterms:W3CDTF">2019-05-06T09:50:00Z</dcterms:created>
  <dcterms:modified xsi:type="dcterms:W3CDTF">2019-05-06T16:27:00Z</dcterms:modified>
</cp:coreProperties>
</file>