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F68D7" w14:textId="77777777" w:rsidR="003A639D" w:rsidRPr="0016022E" w:rsidRDefault="003A639D" w:rsidP="003A639D">
      <w:pPr>
        <w:spacing w:line="276" w:lineRule="auto"/>
        <w:rPr>
          <w:rFonts w:ascii="Calibri" w:hAnsi="Calibri" w:cs="Arial"/>
          <w:sz w:val="22"/>
          <w:szCs w:val="22"/>
        </w:rPr>
      </w:pPr>
      <w:r w:rsidRPr="0016022E">
        <w:rPr>
          <w:rFonts w:ascii="Calibri" w:hAnsi="Calibri" w:cs="Arial"/>
          <w:sz w:val="22"/>
          <w:szCs w:val="22"/>
        </w:rPr>
        <w:t>Informacja prasowa</w:t>
      </w:r>
    </w:p>
    <w:p w14:paraId="07F5C57E" w14:textId="04D94831" w:rsidR="003A639D" w:rsidRPr="0016022E" w:rsidRDefault="003A639D" w:rsidP="003A639D">
      <w:pPr>
        <w:spacing w:after="120" w:line="276" w:lineRule="auto"/>
        <w:rPr>
          <w:rFonts w:ascii="Calibri" w:hAnsi="Calibri" w:cs="Arial"/>
          <w:sz w:val="22"/>
          <w:szCs w:val="22"/>
        </w:rPr>
      </w:pPr>
      <w:r w:rsidRPr="0016022E">
        <w:rPr>
          <w:rFonts w:ascii="Calibri" w:hAnsi="Calibri" w:cs="Arial"/>
          <w:sz w:val="22"/>
          <w:szCs w:val="22"/>
        </w:rPr>
        <w:t xml:space="preserve">Wrocław, </w:t>
      </w:r>
      <w:r w:rsidR="005646CD" w:rsidRPr="0016022E">
        <w:rPr>
          <w:rFonts w:ascii="Calibri" w:hAnsi="Calibri" w:cs="Arial"/>
          <w:sz w:val="22"/>
          <w:szCs w:val="22"/>
        </w:rPr>
        <w:t>14 maja</w:t>
      </w:r>
      <w:r w:rsidR="00985DC2" w:rsidRPr="0016022E">
        <w:rPr>
          <w:rFonts w:ascii="Calibri" w:hAnsi="Calibri" w:cs="Arial"/>
          <w:sz w:val="22"/>
          <w:szCs w:val="22"/>
        </w:rPr>
        <w:t xml:space="preserve"> 2019</w:t>
      </w:r>
    </w:p>
    <w:p w14:paraId="50409D8C" w14:textId="2DD3D549" w:rsidR="002620F7" w:rsidRPr="0016022E" w:rsidRDefault="002620F7" w:rsidP="002620F7">
      <w:pPr>
        <w:spacing w:before="360" w:after="360" w:line="276" w:lineRule="auto"/>
        <w:rPr>
          <w:rFonts w:ascii="Calibri" w:hAnsi="Calibri" w:cs="Arial"/>
          <w:b/>
          <w:color w:val="26744D"/>
          <w:sz w:val="32"/>
          <w:szCs w:val="22"/>
        </w:rPr>
      </w:pPr>
      <w:r w:rsidRPr="0016022E">
        <w:rPr>
          <w:rFonts w:ascii="Calibri" w:hAnsi="Calibri" w:cs="Arial"/>
          <w:b/>
          <w:color w:val="26744D"/>
          <w:sz w:val="32"/>
          <w:szCs w:val="22"/>
        </w:rPr>
        <w:t xml:space="preserve">Branżowy Barometr EFL: </w:t>
      </w:r>
      <w:r w:rsidR="0031322A">
        <w:rPr>
          <w:rFonts w:ascii="Calibri" w:hAnsi="Calibri" w:cs="Arial"/>
          <w:b/>
          <w:color w:val="26744D"/>
          <w:sz w:val="32"/>
          <w:szCs w:val="22"/>
        </w:rPr>
        <w:t xml:space="preserve">w II kwartale br. </w:t>
      </w:r>
      <w:r w:rsidR="00517394" w:rsidRPr="0016022E">
        <w:rPr>
          <w:rFonts w:ascii="Calibri" w:hAnsi="Calibri" w:cs="Arial"/>
          <w:b/>
          <w:color w:val="26744D"/>
          <w:sz w:val="32"/>
          <w:szCs w:val="22"/>
        </w:rPr>
        <w:t>zamów</w:t>
      </w:r>
      <w:r w:rsidR="0016022E" w:rsidRPr="0016022E">
        <w:rPr>
          <w:rFonts w:ascii="Calibri" w:hAnsi="Calibri" w:cs="Arial"/>
          <w:b/>
          <w:color w:val="26744D"/>
          <w:sz w:val="32"/>
          <w:szCs w:val="22"/>
        </w:rPr>
        <w:t>ienia rozbujają budownictwo i przemysł</w:t>
      </w:r>
    </w:p>
    <w:p w14:paraId="13854083" w14:textId="383E980F" w:rsidR="00CA7CAC" w:rsidRPr="0016022E" w:rsidRDefault="00941FB8" w:rsidP="0016022E">
      <w:pPr>
        <w:spacing w:after="120" w:line="276" w:lineRule="auto"/>
        <w:jc w:val="both"/>
        <w:rPr>
          <w:rFonts w:ascii="Calibri" w:hAnsi="Calibri" w:cs="Arial"/>
          <w:b/>
          <w:color w:val="26744D"/>
          <w:sz w:val="22"/>
          <w:szCs w:val="22"/>
        </w:rPr>
      </w:pPr>
      <w:r w:rsidRPr="0016022E">
        <w:rPr>
          <w:rFonts w:ascii="Calibri" w:hAnsi="Calibri" w:cs="Arial"/>
          <w:b/>
          <w:color w:val="26744D"/>
          <w:sz w:val="22"/>
          <w:szCs w:val="22"/>
        </w:rPr>
        <w:t xml:space="preserve">II kwartał </w:t>
      </w:r>
      <w:r w:rsidR="002E45E4" w:rsidRPr="0016022E">
        <w:rPr>
          <w:rFonts w:ascii="Calibri" w:hAnsi="Calibri" w:cs="Arial"/>
          <w:b/>
          <w:color w:val="26744D"/>
          <w:sz w:val="22"/>
          <w:szCs w:val="22"/>
        </w:rPr>
        <w:t>br. okazał się</w:t>
      </w:r>
      <w:r w:rsidRPr="0016022E">
        <w:rPr>
          <w:rFonts w:ascii="Calibri" w:hAnsi="Calibri" w:cs="Arial"/>
          <w:b/>
          <w:color w:val="26744D"/>
          <w:sz w:val="22"/>
          <w:szCs w:val="22"/>
        </w:rPr>
        <w:t xml:space="preserve"> okresem wyczekiwanym przez wszystkie </w:t>
      </w:r>
      <w:r w:rsidR="00EB1DFF" w:rsidRPr="0016022E">
        <w:rPr>
          <w:rFonts w:ascii="Calibri" w:hAnsi="Calibri" w:cs="Arial"/>
          <w:b/>
          <w:color w:val="26744D"/>
          <w:sz w:val="22"/>
          <w:szCs w:val="22"/>
        </w:rPr>
        <w:t>branże – p</w:t>
      </w:r>
      <w:r w:rsidR="00CA7CAC" w:rsidRPr="0016022E">
        <w:rPr>
          <w:rFonts w:ascii="Calibri" w:hAnsi="Calibri" w:cs="Arial"/>
          <w:b/>
          <w:color w:val="26744D"/>
          <w:sz w:val="22"/>
          <w:szCs w:val="22"/>
        </w:rPr>
        <w:t xml:space="preserve">o raz pierwszy od roku </w:t>
      </w:r>
      <w:r w:rsidR="00EB1DFF" w:rsidRPr="0016022E">
        <w:rPr>
          <w:rFonts w:ascii="Calibri" w:hAnsi="Calibri" w:cs="Arial"/>
          <w:b/>
          <w:color w:val="26744D"/>
          <w:sz w:val="22"/>
          <w:szCs w:val="22"/>
        </w:rPr>
        <w:t xml:space="preserve">(od </w:t>
      </w:r>
      <w:r w:rsidR="00CA7CAC" w:rsidRPr="0016022E">
        <w:rPr>
          <w:rFonts w:ascii="Calibri" w:hAnsi="Calibri" w:cs="Arial"/>
          <w:b/>
          <w:color w:val="26744D"/>
          <w:sz w:val="22"/>
          <w:szCs w:val="22"/>
        </w:rPr>
        <w:t>II kw. 2018</w:t>
      </w:r>
      <w:r w:rsidR="00EB1DFF" w:rsidRPr="0016022E">
        <w:rPr>
          <w:rFonts w:ascii="Calibri" w:hAnsi="Calibri" w:cs="Arial"/>
          <w:b/>
          <w:color w:val="26744D"/>
          <w:sz w:val="22"/>
          <w:szCs w:val="22"/>
        </w:rPr>
        <w:t>) w każdej subindeks B</w:t>
      </w:r>
      <w:r w:rsidR="00CA7CAC" w:rsidRPr="0016022E">
        <w:rPr>
          <w:rFonts w:ascii="Calibri" w:hAnsi="Calibri" w:cs="Arial"/>
          <w:b/>
          <w:color w:val="26744D"/>
          <w:sz w:val="22"/>
          <w:szCs w:val="22"/>
        </w:rPr>
        <w:t xml:space="preserve">arometru </w:t>
      </w:r>
      <w:r w:rsidR="008073A3" w:rsidRPr="0016022E">
        <w:rPr>
          <w:rFonts w:ascii="Calibri" w:hAnsi="Calibri" w:cs="Arial"/>
          <w:b/>
          <w:color w:val="26744D"/>
          <w:sz w:val="22"/>
          <w:szCs w:val="22"/>
        </w:rPr>
        <w:t>EFL</w:t>
      </w:r>
      <w:r w:rsidR="005A3992" w:rsidRPr="0016022E">
        <w:rPr>
          <w:rStyle w:val="Odwoanieprzypisudolnego"/>
          <w:rFonts w:ascii="Calibri" w:hAnsi="Calibri" w:cs="Arial"/>
          <w:b/>
          <w:color w:val="26744D"/>
          <w:sz w:val="22"/>
          <w:szCs w:val="22"/>
        </w:rPr>
        <w:footnoteReference w:id="1"/>
      </w:r>
      <w:r w:rsidR="008073A3" w:rsidRPr="0016022E">
        <w:rPr>
          <w:rFonts w:ascii="Calibri" w:hAnsi="Calibri" w:cs="Arial"/>
          <w:b/>
          <w:color w:val="26744D"/>
          <w:sz w:val="22"/>
          <w:szCs w:val="22"/>
        </w:rPr>
        <w:t xml:space="preserve"> przekroczył próg OR</w:t>
      </w:r>
      <w:r w:rsidR="008073A3" w:rsidRPr="0016022E">
        <w:rPr>
          <w:rStyle w:val="Odwoanieprzypisudolnego"/>
          <w:rFonts w:ascii="Calibri" w:hAnsi="Calibri" w:cs="Arial"/>
          <w:b/>
          <w:color w:val="26744D"/>
          <w:sz w:val="22"/>
          <w:szCs w:val="22"/>
        </w:rPr>
        <w:footnoteReference w:id="2"/>
      </w:r>
      <w:r w:rsidR="00AA309D" w:rsidRPr="0016022E">
        <w:rPr>
          <w:rFonts w:ascii="Calibri" w:hAnsi="Calibri" w:cs="Arial"/>
          <w:b/>
          <w:color w:val="26744D"/>
          <w:sz w:val="22"/>
          <w:szCs w:val="22"/>
        </w:rPr>
        <w:t xml:space="preserve"> wynoszący 50 pkt. </w:t>
      </w:r>
      <w:r w:rsidR="00460954" w:rsidRPr="0016022E">
        <w:rPr>
          <w:rFonts w:ascii="Calibri" w:hAnsi="Calibri" w:cs="Arial"/>
          <w:b/>
          <w:color w:val="26744D"/>
          <w:sz w:val="22"/>
          <w:szCs w:val="22"/>
        </w:rPr>
        <w:t xml:space="preserve">Co więcej, </w:t>
      </w:r>
      <w:r w:rsidR="00DB7155" w:rsidRPr="0016022E">
        <w:rPr>
          <w:rFonts w:ascii="Calibri" w:hAnsi="Calibri" w:cs="Arial"/>
          <w:b/>
          <w:color w:val="26744D"/>
          <w:sz w:val="22"/>
          <w:szCs w:val="22"/>
        </w:rPr>
        <w:t xml:space="preserve">wszystkie branże oceniają swoją sytuację lepiej niż na początku tego roku. Odczyt dla budownictwa wyniósł 57 pkt., </w:t>
      </w:r>
      <w:r w:rsidR="00AD1375" w:rsidRPr="0016022E">
        <w:rPr>
          <w:rFonts w:ascii="Calibri" w:hAnsi="Calibri" w:cs="Arial"/>
          <w:b/>
          <w:color w:val="26744D"/>
          <w:sz w:val="22"/>
          <w:szCs w:val="22"/>
        </w:rPr>
        <w:t xml:space="preserve">dla usług 54,4 pkt., dla transportu 53,8 pkt., dla handlu 51,8 pkt, a dla produkcji 51,1 pkt. </w:t>
      </w:r>
      <w:r w:rsidR="000E470B">
        <w:rPr>
          <w:rFonts w:ascii="Calibri" w:hAnsi="Calibri" w:cs="Arial"/>
          <w:b/>
          <w:color w:val="26744D"/>
          <w:sz w:val="22"/>
          <w:szCs w:val="22"/>
        </w:rPr>
        <w:t xml:space="preserve">Wyższe </w:t>
      </w:r>
      <w:r w:rsidR="00164595" w:rsidRPr="0016022E">
        <w:rPr>
          <w:rFonts w:ascii="Calibri" w:hAnsi="Calibri" w:cs="Arial"/>
          <w:b/>
          <w:color w:val="26744D"/>
          <w:sz w:val="22"/>
          <w:szCs w:val="22"/>
        </w:rPr>
        <w:t>wartości wskaźników wynikają przede wszystkim z optymistycznych prognoz dotyczących sprzedaży.</w:t>
      </w:r>
      <w:r w:rsidR="00523F26" w:rsidRPr="0016022E">
        <w:rPr>
          <w:rFonts w:ascii="Calibri" w:hAnsi="Calibri" w:cs="Arial"/>
          <w:b/>
          <w:color w:val="26744D"/>
          <w:sz w:val="22"/>
          <w:szCs w:val="22"/>
        </w:rPr>
        <w:t xml:space="preserve"> Eksperc</w:t>
      </w:r>
      <w:r w:rsidR="000E470B">
        <w:rPr>
          <w:rFonts w:ascii="Calibri" w:hAnsi="Calibri" w:cs="Arial"/>
          <w:b/>
          <w:color w:val="26744D"/>
          <w:sz w:val="22"/>
          <w:szCs w:val="22"/>
        </w:rPr>
        <w:t>i EFL studzą jednak optymizm, gdyż</w:t>
      </w:r>
      <w:r w:rsidR="00523F26" w:rsidRPr="0016022E">
        <w:rPr>
          <w:rFonts w:ascii="Calibri" w:hAnsi="Calibri" w:cs="Arial"/>
          <w:b/>
          <w:color w:val="26744D"/>
          <w:sz w:val="22"/>
          <w:szCs w:val="22"/>
        </w:rPr>
        <w:t xml:space="preserve"> wciąż </w:t>
      </w:r>
      <w:r w:rsidR="00FA5B16" w:rsidRPr="0016022E">
        <w:rPr>
          <w:rFonts w:ascii="Calibri" w:hAnsi="Calibri" w:cs="Arial"/>
          <w:b/>
          <w:color w:val="26744D"/>
          <w:sz w:val="22"/>
          <w:szCs w:val="22"/>
        </w:rPr>
        <w:t xml:space="preserve">są to wyniki dużo słabsze </w:t>
      </w:r>
      <w:r w:rsidR="00412BAC" w:rsidRPr="0016022E">
        <w:rPr>
          <w:rFonts w:ascii="Calibri" w:hAnsi="Calibri" w:cs="Arial"/>
          <w:b/>
          <w:color w:val="26744D"/>
          <w:sz w:val="22"/>
          <w:szCs w:val="22"/>
        </w:rPr>
        <w:t xml:space="preserve">niż te z II kwartału 2018 i 2017 roku. </w:t>
      </w:r>
    </w:p>
    <w:p w14:paraId="56CA1F79" w14:textId="02AE3C2E" w:rsidR="002620F7" w:rsidRPr="0016022E" w:rsidRDefault="002620F7" w:rsidP="0016022E">
      <w:pPr>
        <w:spacing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6022E">
        <w:rPr>
          <w:rFonts w:ascii="Calibri" w:hAnsi="Calibri" w:cs="Arial"/>
          <w:i/>
          <w:sz w:val="22"/>
          <w:szCs w:val="22"/>
        </w:rPr>
        <w:t xml:space="preserve">- </w:t>
      </w:r>
      <w:r w:rsidR="00015B17" w:rsidRPr="0016022E">
        <w:rPr>
          <w:rFonts w:ascii="Calibri" w:hAnsi="Calibri" w:cstheme="majorHAnsi"/>
          <w:i/>
          <w:sz w:val="22"/>
          <w:szCs w:val="22"/>
        </w:rPr>
        <w:t xml:space="preserve">Kondycja </w:t>
      </w:r>
      <w:r w:rsidR="003F7301" w:rsidRPr="0016022E">
        <w:rPr>
          <w:rFonts w:ascii="Calibri" w:hAnsi="Calibri" w:cstheme="majorHAnsi"/>
          <w:i/>
          <w:sz w:val="22"/>
          <w:szCs w:val="22"/>
        </w:rPr>
        <w:t>każdej</w:t>
      </w:r>
      <w:r w:rsidR="00015B17" w:rsidRPr="0016022E">
        <w:rPr>
          <w:rFonts w:ascii="Calibri" w:hAnsi="Calibri" w:cstheme="majorHAnsi"/>
          <w:i/>
          <w:sz w:val="22"/>
          <w:szCs w:val="22"/>
        </w:rPr>
        <w:t xml:space="preserve"> branży jest wynikową kilku czynników, które najbardziej determinują działalność </w:t>
      </w:r>
      <w:r w:rsidR="00D72924" w:rsidRPr="0016022E">
        <w:rPr>
          <w:rFonts w:ascii="Calibri" w:hAnsi="Calibri" w:cstheme="majorHAnsi"/>
          <w:i/>
          <w:sz w:val="22"/>
          <w:szCs w:val="22"/>
        </w:rPr>
        <w:t>reprezentujących</w:t>
      </w:r>
      <w:r w:rsidR="00D72924" w:rsidRPr="0016022E">
        <w:rPr>
          <w:rFonts w:ascii="Calibri" w:hAnsi="Calibri" w:cstheme="majorHAnsi"/>
          <w:i/>
          <w:sz w:val="22"/>
          <w:szCs w:val="22"/>
        </w:rPr>
        <w:t xml:space="preserve"> </w:t>
      </w:r>
      <w:r w:rsidR="00D72924">
        <w:rPr>
          <w:rFonts w:ascii="Calibri" w:hAnsi="Calibri" w:cstheme="majorHAnsi"/>
          <w:i/>
          <w:sz w:val="22"/>
          <w:szCs w:val="22"/>
        </w:rPr>
        <w:t xml:space="preserve"> ją firm</w:t>
      </w:r>
      <w:r w:rsidR="00015B17" w:rsidRPr="0016022E">
        <w:rPr>
          <w:rFonts w:ascii="Calibri" w:hAnsi="Calibri" w:cstheme="majorHAnsi"/>
          <w:i/>
          <w:sz w:val="22"/>
          <w:szCs w:val="22"/>
        </w:rPr>
        <w:t>. Te okoliczności z pewnością wpływają także na subiektywną ocenę sytuacji przedstawiciela</w:t>
      </w:r>
      <w:r w:rsidR="00D24E79" w:rsidRPr="0016022E">
        <w:rPr>
          <w:rFonts w:ascii="Calibri" w:hAnsi="Calibri" w:cstheme="majorHAnsi"/>
          <w:i/>
          <w:sz w:val="22"/>
          <w:szCs w:val="22"/>
        </w:rPr>
        <w:t xml:space="preserve"> biznesu</w:t>
      </w:r>
      <w:r w:rsidR="00015B17" w:rsidRPr="0016022E">
        <w:rPr>
          <w:rFonts w:ascii="Calibri" w:hAnsi="Calibri" w:cstheme="majorHAnsi"/>
          <w:i/>
          <w:sz w:val="22"/>
          <w:szCs w:val="22"/>
        </w:rPr>
        <w:t>.</w:t>
      </w:r>
      <w:r w:rsidR="005359FD" w:rsidRPr="0016022E">
        <w:rPr>
          <w:rFonts w:ascii="Calibri" w:hAnsi="Calibri" w:cstheme="majorHAnsi"/>
          <w:i/>
          <w:sz w:val="22"/>
          <w:szCs w:val="22"/>
        </w:rPr>
        <w:t xml:space="preserve"> Na przykład w </w:t>
      </w:r>
      <w:r w:rsidR="003F7301" w:rsidRPr="0016022E">
        <w:rPr>
          <w:rFonts w:ascii="Calibri" w:hAnsi="Calibri" w:cstheme="majorHAnsi"/>
          <w:i/>
          <w:sz w:val="22"/>
          <w:szCs w:val="22"/>
        </w:rPr>
        <w:t xml:space="preserve">przypadku </w:t>
      </w:r>
      <w:r w:rsidR="005359FD" w:rsidRPr="0016022E">
        <w:rPr>
          <w:rFonts w:ascii="Calibri" w:hAnsi="Calibri" w:cstheme="majorHAnsi"/>
          <w:i/>
          <w:sz w:val="22"/>
          <w:szCs w:val="22"/>
        </w:rPr>
        <w:t>budownictwa</w:t>
      </w:r>
      <w:r w:rsidR="00252447" w:rsidRPr="0016022E">
        <w:rPr>
          <w:rFonts w:ascii="Calibri" w:hAnsi="Calibri" w:cstheme="majorHAnsi"/>
          <w:i/>
          <w:sz w:val="22"/>
          <w:szCs w:val="22"/>
        </w:rPr>
        <w:t xml:space="preserve"> </w:t>
      </w:r>
      <w:r w:rsidR="003F7301" w:rsidRPr="0016022E">
        <w:rPr>
          <w:rFonts w:ascii="Calibri" w:hAnsi="Calibri" w:cstheme="majorHAnsi"/>
          <w:i/>
          <w:sz w:val="22"/>
          <w:szCs w:val="22"/>
        </w:rPr>
        <w:t>istotne są</w:t>
      </w:r>
      <w:r w:rsidR="00015B17" w:rsidRPr="0016022E">
        <w:rPr>
          <w:rFonts w:ascii="Calibri" w:hAnsi="Calibri" w:cstheme="majorHAnsi"/>
          <w:i/>
          <w:sz w:val="22"/>
          <w:szCs w:val="22"/>
        </w:rPr>
        <w:t xml:space="preserve"> czynniki związane z rokiem kalendarzowym. </w:t>
      </w:r>
      <w:r w:rsidR="001A06E0" w:rsidRPr="0016022E">
        <w:rPr>
          <w:rFonts w:ascii="Calibri" w:hAnsi="Calibri" w:cstheme="majorHAnsi"/>
          <w:i/>
          <w:sz w:val="22"/>
          <w:szCs w:val="22"/>
        </w:rPr>
        <w:t>Sezon wiosenno-letni</w:t>
      </w:r>
      <w:r w:rsidR="00015B17" w:rsidRPr="0016022E">
        <w:rPr>
          <w:rFonts w:ascii="Calibri" w:hAnsi="Calibri" w:cstheme="majorHAnsi"/>
          <w:i/>
          <w:sz w:val="22"/>
          <w:szCs w:val="22"/>
        </w:rPr>
        <w:t xml:space="preserve"> </w:t>
      </w:r>
      <w:r w:rsidR="001A06E0" w:rsidRPr="0016022E">
        <w:rPr>
          <w:rFonts w:ascii="Calibri" w:hAnsi="Calibri" w:cstheme="majorHAnsi"/>
          <w:i/>
          <w:sz w:val="22"/>
          <w:szCs w:val="22"/>
        </w:rPr>
        <w:t xml:space="preserve">to </w:t>
      </w:r>
      <w:r w:rsidR="00015B17" w:rsidRPr="0016022E">
        <w:rPr>
          <w:rFonts w:ascii="Calibri" w:hAnsi="Calibri" w:cstheme="majorHAnsi"/>
          <w:i/>
          <w:sz w:val="22"/>
          <w:szCs w:val="22"/>
        </w:rPr>
        <w:t>czas, w którym</w:t>
      </w:r>
      <w:r w:rsidR="001669E7" w:rsidRPr="0016022E">
        <w:rPr>
          <w:rFonts w:ascii="Calibri" w:hAnsi="Calibri" w:cstheme="majorHAnsi"/>
          <w:i/>
          <w:sz w:val="22"/>
          <w:szCs w:val="22"/>
        </w:rPr>
        <w:t xml:space="preserve"> ta branża wchodzi</w:t>
      </w:r>
      <w:r w:rsidR="00015B17" w:rsidRPr="0016022E">
        <w:rPr>
          <w:rFonts w:ascii="Calibri" w:hAnsi="Calibri" w:cstheme="majorHAnsi"/>
          <w:i/>
          <w:sz w:val="22"/>
          <w:szCs w:val="22"/>
        </w:rPr>
        <w:t xml:space="preserve"> </w:t>
      </w:r>
      <w:r w:rsidR="001A06E0" w:rsidRPr="0016022E">
        <w:rPr>
          <w:rFonts w:ascii="Calibri" w:hAnsi="Calibri" w:cstheme="majorHAnsi"/>
          <w:i/>
          <w:sz w:val="22"/>
          <w:szCs w:val="22"/>
        </w:rPr>
        <w:t>na pełne obroty</w:t>
      </w:r>
      <w:r w:rsidR="001669E7" w:rsidRPr="0016022E">
        <w:rPr>
          <w:rFonts w:ascii="Calibri" w:hAnsi="Calibri" w:cstheme="majorHAnsi"/>
          <w:i/>
          <w:sz w:val="22"/>
          <w:szCs w:val="22"/>
        </w:rPr>
        <w:t xml:space="preserve">. Wzrost obrotów w produkcji i handlu to </w:t>
      </w:r>
      <w:r w:rsidR="004C1521" w:rsidRPr="0016022E">
        <w:rPr>
          <w:rFonts w:ascii="Calibri" w:hAnsi="Calibri" w:cstheme="majorHAnsi"/>
          <w:i/>
          <w:sz w:val="22"/>
          <w:szCs w:val="22"/>
        </w:rPr>
        <w:t>często pochodna nastrojów konsumenckich, a te wśród Polaków są bardzo dobre, wzmacniane kolejnymi programami społecznymi.</w:t>
      </w:r>
      <w:r w:rsidR="001669E7" w:rsidRPr="0016022E">
        <w:rPr>
          <w:rFonts w:ascii="Calibri" w:hAnsi="Calibri" w:cstheme="majorHAnsi"/>
          <w:i/>
          <w:sz w:val="22"/>
          <w:szCs w:val="22"/>
        </w:rPr>
        <w:t xml:space="preserve"> </w:t>
      </w:r>
      <w:r w:rsidR="004C1521" w:rsidRPr="0016022E">
        <w:rPr>
          <w:rFonts w:ascii="Calibri" w:hAnsi="Calibri" w:cstheme="majorHAnsi"/>
          <w:i/>
          <w:sz w:val="22"/>
          <w:szCs w:val="22"/>
        </w:rPr>
        <w:t xml:space="preserve">Ponadto, </w:t>
      </w:r>
      <w:r w:rsidR="00015B17" w:rsidRPr="0016022E">
        <w:rPr>
          <w:rFonts w:ascii="Calibri" w:hAnsi="Calibri" w:cstheme="majorHAnsi"/>
          <w:i/>
          <w:sz w:val="22"/>
          <w:szCs w:val="22"/>
        </w:rPr>
        <w:t xml:space="preserve">wartość branżowych subindeksów to </w:t>
      </w:r>
      <w:r w:rsidR="009E027D" w:rsidRPr="0016022E">
        <w:rPr>
          <w:rFonts w:ascii="Calibri" w:hAnsi="Calibri" w:cstheme="majorHAnsi"/>
          <w:i/>
          <w:sz w:val="22"/>
          <w:szCs w:val="22"/>
        </w:rPr>
        <w:t>także</w:t>
      </w:r>
      <w:r w:rsidR="00015B17" w:rsidRPr="0016022E">
        <w:rPr>
          <w:rFonts w:ascii="Calibri" w:hAnsi="Calibri" w:cstheme="majorHAnsi"/>
          <w:i/>
          <w:sz w:val="22"/>
          <w:szCs w:val="22"/>
        </w:rPr>
        <w:t xml:space="preserve"> </w:t>
      </w:r>
      <w:r w:rsidR="009E027D" w:rsidRPr="0016022E">
        <w:rPr>
          <w:rFonts w:ascii="Calibri" w:hAnsi="Calibri" w:cstheme="majorHAnsi"/>
          <w:i/>
          <w:sz w:val="22"/>
          <w:szCs w:val="22"/>
        </w:rPr>
        <w:t>następstwo</w:t>
      </w:r>
      <w:r w:rsidR="00015B17" w:rsidRPr="0016022E">
        <w:rPr>
          <w:rFonts w:ascii="Calibri" w:hAnsi="Calibri" w:cstheme="majorHAnsi"/>
          <w:i/>
          <w:sz w:val="22"/>
          <w:szCs w:val="22"/>
        </w:rPr>
        <w:t xml:space="preserve"> sytuacji gospodarczej w kraju, Unii Europejskiej czy u najważniejszych partnerów handlowych. Każdy właściciel firmy uważnie obserwuje to, co dzieje się wokół – jakie nastroje panują wśród zachodnich kontrahentów, jakie są ceny ropy, jak wygląda sytuacja na zagranicznych giełdach – i uwzględnia to w swoich prognozach i planach </w:t>
      </w:r>
      <w:r w:rsidRPr="0016022E">
        <w:rPr>
          <w:rFonts w:ascii="Calibri" w:hAnsi="Calibri" w:cs="Arial"/>
          <w:i/>
          <w:sz w:val="22"/>
          <w:szCs w:val="22"/>
        </w:rPr>
        <w:t xml:space="preserve">– </w:t>
      </w:r>
      <w:r w:rsidRPr="0016022E">
        <w:rPr>
          <w:rFonts w:ascii="Calibri" w:hAnsi="Calibri" w:cs="Arial"/>
          <w:sz w:val="22"/>
          <w:szCs w:val="22"/>
        </w:rPr>
        <w:t xml:space="preserve">mówi </w:t>
      </w:r>
      <w:r w:rsidRPr="0016022E">
        <w:rPr>
          <w:rFonts w:ascii="Calibri" w:hAnsi="Calibri" w:cs="Arial"/>
          <w:b/>
          <w:color w:val="26744D"/>
          <w:sz w:val="22"/>
          <w:szCs w:val="22"/>
        </w:rPr>
        <w:t>Radosław Kuczyński, prezes EFL.</w:t>
      </w:r>
    </w:p>
    <w:p w14:paraId="6DF2E7D3" w14:textId="0773B67D" w:rsidR="00086B8E" w:rsidRPr="0016022E" w:rsidRDefault="00086B8E" w:rsidP="0016022E">
      <w:pPr>
        <w:spacing w:after="120" w:line="276" w:lineRule="auto"/>
        <w:jc w:val="both"/>
        <w:rPr>
          <w:rFonts w:ascii="Calibri" w:hAnsi="Calibri" w:cs="Arial"/>
          <w:b/>
          <w:color w:val="26744D"/>
          <w:sz w:val="22"/>
          <w:szCs w:val="22"/>
        </w:rPr>
      </w:pPr>
      <w:r w:rsidRPr="0016022E">
        <w:rPr>
          <w:rFonts w:ascii="Calibri" w:hAnsi="Calibri" w:cs="Arial"/>
          <w:b/>
          <w:color w:val="26744D"/>
          <w:sz w:val="22"/>
          <w:szCs w:val="22"/>
        </w:rPr>
        <w:t>Budowlanka</w:t>
      </w:r>
      <w:r w:rsidR="006345F7" w:rsidRPr="0016022E">
        <w:rPr>
          <w:rFonts w:ascii="Calibri" w:hAnsi="Calibri" w:cs="Arial"/>
          <w:b/>
          <w:color w:val="26744D"/>
          <w:sz w:val="22"/>
          <w:szCs w:val="22"/>
        </w:rPr>
        <w:t xml:space="preserve"> liczy na </w:t>
      </w:r>
      <w:r w:rsidR="00D057BF" w:rsidRPr="0016022E">
        <w:rPr>
          <w:rFonts w:ascii="Calibri" w:hAnsi="Calibri" w:cs="Arial"/>
          <w:b/>
          <w:color w:val="26744D"/>
          <w:sz w:val="22"/>
          <w:szCs w:val="22"/>
        </w:rPr>
        <w:t xml:space="preserve">skokowy </w:t>
      </w:r>
      <w:r w:rsidR="006345F7" w:rsidRPr="0016022E">
        <w:rPr>
          <w:rFonts w:ascii="Calibri" w:hAnsi="Calibri" w:cs="Arial"/>
          <w:b/>
          <w:color w:val="26744D"/>
          <w:sz w:val="22"/>
          <w:szCs w:val="22"/>
        </w:rPr>
        <w:t>wzrost zamówień</w:t>
      </w:r>
    </w:p>
    <w:p w14:paraId="4BADF460" w14:textId="545C4021" w:rsidR="000C39AA" w:rsidRPr="0016022E" w:rsidRDefault="0022699E" w:rsidP="0016022E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16022E">
        <w:rPr>
          <w:rFonts w:ascii="Calibri" w:hAnsi="Calibri"/>
          <w:sz w:val="22"/>
          <w:szCs w:val="22"/>
        </w:rPr>
        <w:t>W I</w:t>
      </w:r>
      <w:r w:rsidR="000E470B">
        <w:rPr>
          <w:rFonts w:ascii="Calibri" w:hAnsi="Calibri"/>
          <w:sz w:val="22"/>
          <w:szCs w:val="22"/>
        </w:rPr>
        <w:t>I</w:t>
      </w:r>
      <w:r w:rsidRPr="0016022E">
        <w:rPr>
          <w:rFonts w:ascii="Calibri" w:hAnsi="Calibri"/>
          <w:sz w:val="22"/>
          <w:szCs w:val="22"/>
        </w:rPr>
        <w:t xml:space="preserve"> kwartale br. subindeks dla branży budowlanej wy</w:t>
      </w:r>
      <w:r w:rsidR="000C39AA" w:rsidRPr="0016022E">
        <w:rPr>
          <w:rFonts w:ascii="Calibri" w:hAnsi="Calibri"/>
          <w:sz w:val="22"/>
          <w:szCs w:val="22"/>
        </w:rPr>
        <w:t>niósł 57 pkt. i był wyższy o 3,8</w:t>
      </w:r>
      <w:r w:rsidRPr="0016022E">
        <w:rPr>
          <w:rFonts w:ascii="Calibri" w:hAnsi="Calibri"/>
          <w:sz w:val="22"/>
          <w:szCs w:val="22"/>
        </w:rPr>
        <w:t xml:space="preserve"> pkt. w porównaniu do poprzedniego kwartału. </w:t>
      </w:r>
      <w:r w:rsidR="000C39AA" w:rsidRPr="0016022E">
        <w:rPr>
          <w:rFonts w:ascii="Calibri" w:hAnsi="Calibri"/>
          <w:sz w:val="22"/>
          <w:szCs w:val="22"/>
        </w:rPr>
        <w:t>Choć jest to jeden z najlepszych odczytów branżowych</w:t>
      </w:r>
      <w:r w:rsidR="00713C21" w:rsidRPr="0016022E">
        <w:rPr>
          <w:rFonts w:ascii="Calibri" w:hAnsi="Calibri"/>
          <w:sz w:val="22"/>
          <w:szCs w:val="22"/>
        </w:rPr>
        <w:t xml:space="preserve"> w tym kwartale</w:t>
      </w:r>
      <w:r w:rsidR="000C39AA" w:rsidRPr="0016022E">
        <w:rPr>
          <w:rFonts w:ascii="Calibri" w:hAnsi="Calibri"/>
          <w:sz w:val="22"/>
          <w:szCs w:val="22"/>
        </w:rPr>
        <w:t xml:space="preserve">, </w:t>
      </w:r>
      <w:r w:rsidR="000E54CE" w:rsidRPr="0016022E">
        <w:rPr>
          <w:rFonts w:ascii="Calibri" w:hAnsi="Calibri"/>
          <w:sz w:val="22"/>
          <w:szCs w:val="22"/>
        </w:rPr>
        <w:t>wynik ten jest daleki od rekordowego z IV kwarta</w:t>
      </w:r>
      <w:r w:rsidR="00713C21" w:rsidRPr="0016022E">
        <w:rPr>
          <w:rFonts w:ascii="Calibri" w:hAnsi="Calibri"/>
          <w:sz w:val="22"/>
          <w:szCs w:val="22"/>
        </w:rPr>
        <w:t xml:space="preserve">łu 2017 roku (66,7 pkt.). </w:t>
      </w:r>
      <w:r w:rsidR="00C3547A" w:rsidRPr="0016022E">
        <w:rPr>
          <w:rFonts w:ascii="Calibri" w:hAnsi="Calibri"/>
          <w:sz w:val="22"/>
          <w:szCs w:val="22"/>
        </w:rPr>
        <w:t>Na l</w:t>
      </w:r>
      <w:r w:rsidR="00221A90" w:rsidRPr="0016022E">
        <w:rPr>
          <w:rFonts w:ascii="Calibri" w:hAnsi="Calibri"/>
          <w:sz w:val="22"/>
          <w:szCs w:val="22"/>
        </w:rPr>
        <w:t xml:space="preserve">epszy wynik wpływ miał głównie sprzedażowy </w:t>
      </w:r>
      <w:r w:rsidR="00C3547A" w:rsidRPr="0016022E">
        <w:rPr>
          <w:rFonts w:ascii="Calibri" w:hAnsi="Calibri"/>
          <w:sz w:val="22"/>
          <w:szCs w:val="22"/>
        </w:rPr>
        <w:t xml:space="preserve">optymizm wśród firm budowlanych. </w:t>
      </w:r>
      <w:r w:rsidR="00221A90" w:rsidRPr="0016022E">
        <w:rPr>
          <w:rFonts w:ascii="Calibri" w:hAnsi="Calibri"/>
          <w:sz w:val="22"/>
          <w:szCs w:val="22"/>
        </w:rPr>
        <w:t xml:space="preserve">Niemal połowa z nich spodziewa się wzrostu obrotów (47,5 proc.), dużo więcej niż na początku tego roku (18,8 proc.). </w:t>
      </w:r>
    </w:p>
    <w:p w14:paraId="461D8DBB" w14:textId="20204D76" w:rsidR="009B61D3" w:rsidRPr="0016022E" w:rsidRDefault="009B61D3" w:rsidP="0016022E">
      <w:p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16022E">
        <w:rPr>
          <w:rFonts w:ascii="Calibri" w:hAnsi="Calibri" w:cs="Arial"/>
          <w:sz w:val="22"/>
          <w:szCs w:val="22"/>
        </w:rPr>
        <w:lastRenderedPageBreak/>
        <w:t xml:space="preserve">Firmy budowlane bardzo często posiłkują się leasingiem – przy pomocy tego rozwiązania swoje inwestycje </w:t>
      </w:r>
      <w:r w:rsidR="00265357" w:rsidRPr="0016022E">
        <w:rPr>
          <w:rFonts w:ascii="Calibri" w:hAnsi="Calibri" w:cs="Arial"/>
          <w:sz w:val="22"/>
          <w:szCs w:val="22"/>
        </w:rPr>
        <w:t xml:space="preserve">jak sprzęt budowlany </w:t>
      </w:r>
      <w:r w:rsidRPr="0016022E">
        <w:rPr>
          <w:rFonts w:ascii="Calibri" w:hAnsi="Calibri" w:cs="Arial"/>
          <w:sz w:val="22"/>
          <w:szCs w:val="22"/>
        </w:rPr>
        <w:t>zamierza finansować ponad połowa firm</w:t>
      </w:r>
      <w:r w:rsidR="00265357" w:rsidRPr="0016022E">
        <w:rPr>
          <w:rFonts w:ascii="Calibri" w:hAnsi="Calibri" w:cs="Arial"/>
          <w:sz w:val="22"/>
          <w:szCs w:val="22"/>
        </w:rPr>
        <w:t xml:space="preserve"> (57,5</w:t>
      </w:r>
      <w:r w:rsidRPr="0016022E">
        <w:rPr>
          <w:rFonts w:ascii="Calibri" w:hAnsi="Calibri" w:cs="Arial"/>
          <w:sz w:val="22"/>
          <w:szCs w:val="22"/>
        </w:rPr>
        <w:t xml:space="preserve"> proc.).</w:t>
      </w:r>
    </w:p>
    <w:p w14:paraId="23264564" w14:textId="13284F35" w:rsidR="002620F7" w:rsidRPr="0016022E" w:rsidRDefault="00D057BF" w:rsidP="0016022E">
      <w:pPr>
        <w:spacing w:after="120" w:line="276" w:lineRule="auto"/>
        <w:jc w:val="both"/>
        <w:rPr>
          <w:rFonts w:ascii="Calibri" w:hAnsi="Calibri" w:cs="Arial"/>
          <w:b/>
          <w:color w:val="26744D"/>
          <w:sz w:val="22"/>
          <w:szCs w:val="22"/>
        </w:rPr>
      </w:pPr>
      <w:r w:rsidRPr="0016022E">
        <w:rPr>
          <w:rFonts w:ascii="Calibri" w:hAnsi="Calibri" w:cs="Arial"/>
          <w:b/>
          <w:color w:val="26744D"/>
          <w:sz w:val="22"/>
          <w:szCs w:val="22"/>
        </w:rPr>
        <w:t>W przemyśle d</w:t>
      </w:r>
      <w:r w:rsidR="00655A48" w:rsidRPr="0016022E">
        <w:rPr>
          <w:rFonts w:ascii="Calibri" w:hAnsi="Calibri" w:cs="Arial"/>
          <w:b/>
          <w:color w:val="26744D"/>
          <w:sz w:val="22"/>
          <w:szCs w:val="22"/>
        </w:rPr>
        <w:t xml:space="preserve">wa razy więcej </w:t>
      </w:r>
      <w:r w:rsidRPr="0016022E">
        <w:rPr>
          <w:rFonts w:ascii="Calibri" w:hAnsi="Calibri" w:cs="Arial"/>
          <w:b/>
          <w:color w:val="26744D"/>
          <w:sz w:val="22"/>
          <w:szCs w:val="22"/>
        </w:rPr>
        <w:t>sprzedażowych</w:t>
      </w:r>
      <w:r w:rsidR="00655A48" w:rsidRPr="0016022E">
        <w:rPr>
          <w:rFonts w:ascii="Calibri" w:hAnsi="Calibri" w:cs="Arial"/>
          <w:b/>
          <w:color w:val="26744D"/>
          <w:sz w:val="22"/>
          <w:szCs w:val="22"/>
        </w:rPr>
        <w:t xml:space="preserve"> optymistów</w:t>
      </w:r>
    </w:p>
    <w:p w14:paraId="69A0DD6C" w14:textId="07395DD3" w:rsidR="002620F7" w:rsidRPr="0016022E" w:rsidRDefault="00831CE5" w:rsidP="0016022E">
      <w:p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16022E">
        <w:rPr>
          <w:rFonts w:ascii="Calibri" w:hAnsi="Calibri" w:cs="Arial"/>
          <w:sz w:val="22"/>
          <w:szCs w:val="22"/>
        </w:rPr>
        <w:t>Wartość subindeksu Barometru EFL dla produkcji</w:t>
      </w:r>
      <w:r w:rsidR="002620F7" w:rsidRPr="0016022E">
        <w:rPr>
          <w:rFonts w:ascii="Calibri" w:hAnsi="Calibri" w:cs="Arial"/>
          <w:sz w:val="22"/>
          <w:szCs w:val="22"/>
        </w:rPr>
        <w:t xml:space="preserve"> w I</w:t>
      </w:r>
      <w:r w:rsidR="00655A48" w:rsidRPr="0016022E">
        <w:rPr>
          <w:rFonts w:ascii="Calibri" w:hAnsi="Calibri" w:cs="Arial"/>
          <w:sz w:val="22"/>
          <w:szCs w:val="22"/>
        </w:rPr>
        <w:t>I</w:t>
      </w:r>
      <w:r w:rsidRPr="0016022E">
        <w:rPr>
          <w:rFonts w:ascii="Calibri" w:hAnsi="Calibri" w:cs="Arial"/>
          <w:sz w:val="22"/>
          <w:szCs w:val="22"/>
        </w:rPr>
        <w:t xml:space="preserve"> kwartale br. wyniosła 51,1</w:t>
      </w:r>
      <w:r w:rsidR="00996F8D" w:rsidRPr="0016022E">
        <w:rPr>
          <w:rFonts w:ascii="Calibri" w:hAnsi="Calibri" w:cs="Arial"/>
          <w:sz w:val="22"/>
          <w:szCs w:val="22"/>
        </w:rPr>
        <w:t xml:space="preserve"> pkt. Jest to w</w:t>
      </w:r>
      <w:r w:rsidR="00723FFC">
        <w:rPr>
          <w:rFonts w:ascii="Calibri" w:hAnsi="Calibri" w:cs="Arial"/>
          <w:sz w:val="22"/>
          <w:szCs w:val="22"/>
        </w:rPr>
        <w:t xml:space="preserve">ynik </w:t>
      </w:r>
      <w:r w:rsidR="00996F8D" w:rsidRPr="0016022E">
        <w:rPr>
          <w:rFonts w:ascii="Calibri" w:hAnsi="Calibri" w:cs="Arial"/>
          <w:sz w:val="22"/>
          <w:szCs w:val="22"/>
        </w:rPr>
        <w:t xml:space="preserve">o 2,1 pkt. </w:t>
      </w:r>
      <w:r w:rsidR="00723FFC">
        <w:rPr>
          <w:rFonts w:ascii="Calibri" w:hAnsi="Calibri" w:cs="Arial"/>
          <w:sz w:val="22"/>
          <w:szCs w:val="22"/>
        </w:rPr>
        <w:t>wyższy</w:t>
      </w:r>
      <w:r w:rsidR="002620F7" w:rsidRPr="0016022E">
        <w:rPr>
          <w:rFonts w:ascii="Calibri" w:hAnsi="Calibri" w:cs="Arial"/>
          <w:sz w:val="22"/>
          <w:szCs w:val="22"/>
        </w:rPr>
        <w:t xml:space="preserve"> niż kwartał wcześniej </w:t>
      </w:r>
      <w:r w:rsidR="00996F8D" w:rsidRPr="0016022E">
        <w:rPr>
          <w:rFonts w:ascii="Calibri" w:hAnsi="Calibri" w:cs="Arial"/>
          <w:sz w:val="22"/>
          <w:szCs w:val="22"/>
        </w:rPr>
        <w:t>(49 pkt.)</w:t>
      </w:r>
      <w:r w:rsidR="002620F7" w:rsidRPr="0016022E">
        <w:rPr>
          <w:rFonts w:ascii="Calibri" w:hAnsi="Calibri" w:cs="Arial"/>
          <w:sz w:val="22"/>
          <w:szCs w:val="22"/>
        </w:rPr>
        <w:t xml:space="preserve"> </w:t>
      </w:r>
      <w:r w:rsidR="00570179" w:rsidRPr="0016022E">
        <w:rPr>
          <w:rFonts w:ascii="Calibri" w:hAnsi="Calibri" w:cs="Arial"/>
          <w:sz w:val="22"/>
          <w:szCs w:val="22"/>
        </w:rPr>
        <w:t>N</w:t>
      </w:r>
      <w:r w:rsidR="00996F8D" w:rsidRPr="0016022E">
        <w:rPr>
          <w:rFonts w:ascii="Calibri" w:hAnsi="Calibri" w:cs="Arial"/>
          <w:sz w:val="22"/>
          <w:szCs w:val="22"/>
        </w:rPr>
        <w:t>ieco bardzi</w:t>
      </w:r>
      <w:r w:rsidR="00570179" w:rsidRPr="0016022E">
        <w:rPr>
          <w:rFonts w:ascii="Calibri" w:hAnsi="Calibri" w:cs="Arial"/>
          <w:sz w:val="22"/>
          <w:szCs w:val="22"/>
        </w:rPr>
        <w:t>e</w:t>
      </w:r>
      <w:r w:rsidR="00996F8D" w:rsidRPr="0016022E">
        <w:rPr>
          <w:rFonts w:ascii="Calibri" w:hAnsi="Calibri" w:cs="Arial"/>
          <w:sz w:val="22"/>
          <w:szCs w:val="22"/>
        </w:rPr>
        <w:t>j o</w:t>
      </w:r>
      <w:r w:rsidR="002620F7" w:rsidRPr="0016022E">
        <w:rPr>
          <w:rFonts w:ascii="Calibri" w:hAnsi="Calibri" w:cs="Arial"/>
          <w:sz w:val="22"/>
          <w:szCs w:val="22"/>
        </w:rPr>
        <w:t xml:space="preserve">ptymistyczna ocena koniunktury w produkcji to pochodna </w:t>
      </w:r>
      <w:r w:rsidR="007771E3" w:rsidRPr="0016022E">
        <w:rPr>
          <w:rFonts w:ascii="Calibri" w:hAnsi="Calibri" w:cs="Arial"/>
          <w:sz w:val="22"/>
          <w:szCs w:val="22"/>
        </w:rPr>
        <w:t xml:space="preserve">przede wszystkim </w:t>
      </w:r>
      <w:r w:rsidR="002620F7" w:rsidRPr="0016022E">
        <w:rPr>
          <w:rFonts w:ascii="Calibri" w:hAnsi="Calibri" w:cs="Arial"/>
          <w:sz w:val="22"/>
          <w:szCs w:val="22"/>
        </w:rPr>
        <w:t xml:space="preserve">pozytywnych prognoz w zakresie </w:t>
      </w:r>
      <w:r w:rsidR="007771E3" w:rsidRPr="0016022E">
        <w:rPr>
          <w:rFonts w:ascii="Calibri" w:hAnsi="Calibri" w:cs="Arial"/>
          <w:sz w:val="22"/>
          <w:szCs w:val="22"/>
        </w:rPr>
        <w:t>sprzedaży</w:t>
      </w:r>
      <w:r w:rsidR="002620F7" w:rsidRPr="0016022E">
        <w:rPr>
          <w:rFonts w:ascii="Calibri" w:hAnsi="Calibri" w:cs="Arial"/>
          <w:sz w:val="22"/>
          <w:szCs w:val="22"/>
        </w:rPr>
        <w:t xml:space="preserve">. </w:t>
      </w:r>
      <w:r w:rsidR="007771E3" w:rsidRPr="0016022E">
        <w:rPr>
          <w:rFonts w:ascii="Calibri" w:hAnsi="Calibri" w:cs="Arial"/>
          <w:sz w:val="22"/>
          <w:szCs w:val="22"/>
        </w:rPr>
        <w:t>4 na 10 zarządzaj</w:t>
      </w:r>
      <w:r w:rsidR="006671D5" w:rsidRPr="0016022E">
        <w:rPr>
          <w:rFonts w:ascii="Calibri" w:hAnsi="Calibri" w:cs="Arial"/>
          <w:sz w:val="22"/>
          <w:szCs w:val="22"/>
        </w:rPr>
        <w:t>ących małym lub średnim biznesem</w:t>
      </w:r>
      <w:r w:rsidR="002620F7" w:rsidRPr="0016022E">
        <w:rPr>
          <w:rFonts w:ascii="Calibri" w:hAnsi="Calibri" w:cs="Arial"/>
          <w:sz w:val="22"/>
          <w:szCs w:val="22"/>
        </w:rPr>
        <w:t xml:space="preserve"> </w:t>
      </w:r>
      <w:r w:rsidR="00644057">
        <w:rPr>
          <w:rFonts w:ascii="Calibri" w:hAnsi="Calibri" w:cs="Arial"/>
          <w:sz w:val="22"/>
          <w:szCs w:val="22"/>
        </w:rPr>
        <w:t xml:space="preserve">produkcyjnym </w:t>
      </w:r>
      <w:r w:rsidR="002620F7" w:rsidRPr="0016022E">
        <w:rPr>
          <w:rFonts w:ascii="Calibri" w:hAnsi="Calibri" w:cs="Arial"/>
          <w:sz w:val="22"/>
          <w:szCs w:val="22"/>
        </w:rPr>
        <w:t>spodziewa się wzrostu zamówień na swoje usługi.</w:t>
      </w:r>
      <w:r w:rsidR="006671D5" w:rsidRPr="0016022E">
        <w:rPr>
          <w:rFonts w:ascii="Calibri" w:hAnsi="Calibri" w:cs="Arial"/>
          <w:sz w:val="22"/>
          <w:szCs w:val="22"/>
        </w:rPr>
        <w:t xml:space="preserve"> To ponad dwa razy lepszy wynik niż na początku roku, kiedy odsetek produkcyjnych optymistów wyniósł tylko 18 proc.  </w:t>
      </w:r>
    </w:p>
    <w:p w14:paraId="449D567B" w14:textId="3ED10998" w:rsidR="00570179" w:rsidRPr="0016022E" w:rsidRDefault="00570179" w:rsidP="0016022E">
      <w:p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16022E">
        <w:rPr>
          <w:rFonts w:ascii="Calibri" w:hAnsi="Calibri" w:cs="Arial"/>
          <w:sz w:val="22"/>
          <w:szCs w:val="22"/>
        </w:rPr>
        <w:t>Warto jednak zwrócić uwagę</w:t>
      </w:r>
      <w:r w:rsidR="002A23B3" w:rsidRPr="0016022E">
        <w:rPr>
          <w:rFonts w:ascii="Calibri" w:hAnsi="Calibri" w:cs="Arial"/>
          <w:sz w:val="22"/>
          <w:szCs w:val="22"/>
        </w:rPr>
        <w:t xml:space="preserve">, że produkcyjny subindeks z II kwartału br. wciąż należy do najniższych wyników </w:t>
      </w:r>
      <w:r w:rsidR="00644057">
        <w:rPr>
          <w:rFonts w:ascii="Calibri" w:hAnsi="Calibri" w:cs="Arial"/>
          <w:sz w:val="22"/>
          <w:szCs w:val="22"/>
        </w:rPr>
        <w:t xml:space="preserve">w historii badania </w:t>
      </w:r>
      <w:r w:rsidR="002A23B3" w:rsidRPr="0016022E">
        <w:rPr>
          <w:rFonts w:ascii="Calibri" w:hAnsi="Calibri" w:cs="Arial"/>
          <w:sz w:val="22"/>
          <w:szCs w:val="22"/>
        </w:rPr>
        <w:t xml:space="preserve">i daleko mu do rekordowych odczytów z II kwartału 2018 roku </w:t>
      </w:r>
      <w:r w:rsidR="00873AF3" w:rsidRPr="0016022E">
        <w:rPr>
          <w:rFonts w:ascii="Calibri" w:hAnsi="Calibri" w:cs="Arial"/>
          <w:sz w:val="22"/>
          <w:szCs w:val="22"/>
        </w:rPr>
        <w:t xml:space="preserve">(62,8 pkt.) </w:t>
      </w:r>
      <w:r w:rsidR="002A23B3" w:rsidRPr="0016022E">
        <w:rPr>
          <w:rFonts w:ascii="Calibri" w:hAnsi="Calibri" w:cs="Arial"/>
          <w:sz w:val="22"/>
          <w:szCs w:val="22"/>
        </w:rPr>
        <w:t>i 2017 roku (</w:t>
      </w:r>
      <w:r w:rsidR="00873AF3" w:rsidRPr="0016022E">
        <w:rPr>
          <w:rFonts w:ascii="Calibri" w:hAnsi="Calibri" w:cs="Arial"/>
          <w:sz w:val="22"/>
          <w:szCs w:val="22"/>
        </w:rPr>
        <w:t>69 pkt.).</w:t>
      </w:r>
    </w:p>
    <w:p w14:paraId="5B5B676D" w14:textId="37E2B6B9" w:rsidR="002620F7" w:rsidRPr="0016022E" w:rsidRDefault="003E0049" w:rsidP="0016022E">
      <w:p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16022E">
        <w:rPr>
          <w:rFonts w:ascii="Calibri" w:hAnsi="Calibri" w:cs="Arial"/>
          <w:sz w:val="22"/>
          <w:szCs w:val="22"/>
        </w:rPr>
        <w:t xml:space="preserve">Firmy produkcyjne są jedną z dwóch branż, które najczęściej </w:t>
      </w:r>
      <w:r w:rsidR="002620F7" w:rsidRPr="0016022E">
        <w:rPr>
          <w:rFonts w:ascii="Calibri" w:hAnsi="Calibri" w:cs="Arial"/>
          <w:sz w:val="22"/>
          <w:szCs w:val="22"/>
        </w:rPr>
        <w:t>swoje inwestycje zamierzają sfinansować leasingiem</w:t>
      </w:r>
      <w:r w:rsidR="001C1C6F" w:rsidRPr="0016022E">
        <w:rPr>
          <w:rFonts w:ascii="Calibri" w:hAnsi="Calibri" w:cs="Arial"/>
          <w:sz w:val="22"/>
          <w:szCs w:val="22"/>
        </w:rPr>
        <w:t xml:space="preserve"> (biorąc pod uwagę zewnętrzne instrumenty finansowe). Z</w:t>
      </w:r>
      <w:r w:rsidR="002620F7" w:rsidRPr="0016022E">
        <w:rPr>
          <w:rFonts w:ascii="Calibri" w:hAnsi="Calibri" w:cs="Arial"/>
          <w:sz w:val="22"/>
          <w:szCs w:val="22"/>
        </w:rPr>
        <w:t xml:space="preserve"> tego narzędzia planuje korzystać </w:t>
      </w:r>
      <w:r w:rsidRPr="0016022E">
        <w:rPr>
          <w:rFonts w:ascii="Calibri" w:hAnsi="Calibri" w:cs="Arial"/>
          <w:sz w:val="22"/>
          <w:szCs w:val="22"/>
        </w:rPr>
        <w:t>2 na 3 producentów (6</w:t>
      </w:r>
      <w:r w:rsidR="001C1C6F" w:rsidRPr="0016022E">
        <w:rPr>
          <w:rFonts w:ascii="Calibri" w:hAnsi="Calibri" w:cs="Arial"/>
          <w:sz w:val="22"/>
          <w:szCs w:val="22"/>
        </w:rPr>
        <w:t>6 proc.</w:t>
      </w:r>
      <w:r w:rsidR="002620F7" w:rsidRPr="0016022E">
        <w:rPr>
          <w:rFonts w:ascii="Calibri" w:hAnsi="Calibri" w:cs="Arial"/>
          <w:sz w:val="22"/>
          <w:szCs w:val="22"/>
        </w:rPr>
        <w:t>).</w:t>
      </w:r>
    </w:p>
    <w:p w14:paraId="2CB2F7C3" w14:textId="2BF88DAC" w:rsidR="002620F7" w:rsidRPr="0016022E" w:rsidRDefault="002620F7" w:rsidP="0016022E">
      <w:pPr>
        <w:spacing w:after="120" w:line="276" w:lineRule="auto"/>
        <w:jc w:val="both"/>
        <w:rPr>
          <w:rFonts w:ascii="Calibri" w:hAnsi="Calibri" w:cs="Arial"/>
          <w:b/>
          <w:color w:val="26744D"/>
          <w:sz w:val="22"/>
          <w:szCs w:val="22"/>
        </w:rPr>
      </w:pPr>
      <w:r w:rsidRPr="0016022E">
        <w:rPr>
          <w:rFonts w:ascii="Calibri" w:hAnsi="Calibri" w:cs="Arial"/>
          <w:b/>
          <w:color w:val="26744D"/>
          <w:sz w:val="22"/>
          <w:szCs w:val="22"/>
        </w:rPr>
        <w:t xml:space="preserve">Firmy handlowe </w:t>
      </w:r>
      <w:r w:rsidR="003D59CC" w:rsidRPr="0016022E">
        <w:rPr>
          <w:rFonts w:ascii="Calibri" w:hAnsi="Calibri" w:cs="Arial"/>
          <w:b/>
          <w:color w:val="26744D"/>
          <w:sz w:val="22"/>
          <w:szCs w:val="22"/>
        </w:rPr>
        <w:t>umiarkowanymi optymistami</w:t>
      </w:r>
    </w:p>
    <w:p w14:paraId="68D7B95F" w14:textId="0FA5BFC0" w:rsidR="002620F7" w:rsidRPr="0016022E" w:rsidRDefault="002620F7" w:rsidP="0016022E">
      <w:p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16022E">
        <w:rPr>
          <w:rFonts w:ascii="Calibri" w:hAnsi="Calibri" w:cs="Arial"/>
          <w:sz w:val="22"/>
          <w:szCs w:val="22"/>
        </w:rPr>
        <w:t>W I</w:t>
      </w:r>
      <w:r w:rsidR="003D59CC" w:rsidRPr="0016022E">
        <w:rPr>
          <w:rFonts w:ascii="Calibri" w:hAnsi="Calibri" w:cs="Arial"/>
          <w:sz w:val="22"/>
          <w:szCs w:val="22"/>
        </w:rPr>
        <w:t>I</w:t>
      </w:r>
      <w:r w:rsidR="00D72924">
        <w:rPr>
          <w:rFonts w:ascii="Calibri" w:hAnsi="Calibri" w:cs="Arial"/>
          <w:sz w:val="22"/>
          <w:szCs w:val="22"/>
        </w:rPr>
        <w:t xml:space="preserve"> kwartale br. </w:t>
      </w:r>
      <w:proofErr w:type="spellStart"/>
      <w:r w:rsidR="00D72924">
        <w:rPr>
          <w:rFonts w:ascii="Calibri" w:hAnsi="Calibri" w:cs="Arial"/>
          <w:sz w:val="22"/>
          <w:szCs w:val="22"/>
        </w:rPr>
        <w:t>subindeks</w:t>
      </w:r>
      <w:proofErr w:type="spellEnd"/>
      <w:r w:rsidR="00D72924">
        <w:rPr>
          <w:rFonts w:ascii="Calibri" w:hAnsi="Calibri" w:cs="Arial"/>
          <w:sz w:val="22"/>
          <w:szCs w:val="22"/>
        </w:rPr>
        <w:t xml:space="preserve"> Barometru EFL </w:t>
      </w:r>
      <w:r w:rsidRPr="0016022E">
        <w:rPr>
          <w:rFonts w:ascii="Calibri" w:hAnsi="Calibri" w:cs="Arial"/>
          <w:sz w:val="22"/>
          <w:szCs w:val="22"/>
        </w:rPr>
        <w:t xml:space="preserve"> dla handlu wyniósł </w:t>
      </w:r>
      <w:r w:rsidR="00220934" w:rsidRPr="0016022E">
        <w:rPr>
          <w:rFonts w:ascii="Calibri" w:hAnsi="Calibri" w:cs="Arial"/>
          <w:sz w:val="22"/>
          <w:szCs w:val="22"/>
        </w:rPr>
        <w:t>51,8</w:t>
      </w:r>
      <w:r w:rsidRPr="0016022E">
        <w:rPr>
          <w:rFonts w:ascii="Calibri" w:hAnsi="Calibri" w:cs="Arial"/>
          <w:sz w:val="22"/>
          <w:szCs w:val="22"/>
        </w:rPr>
        <w:t xml:space="preserve"> pkt. Jest to wynik nieco lepszy niż w poprzednim </w:t>
      </w:r>
      <w:r w:rsidR="00220934" w:rsidRPr="0016022E">
        <w:rPr>
          <w:rFonts w:ascii="Calibri" w:hAnsi="Calibri" w:cs="Arial"/>
          <w:sz w:val="22"/>
          <w:szCs w:val="22"/>
        </w:rPr>
        <w:t xml:space="preserve">kwartale (+3,6 </w:t>
      </w:r>
      <w:r w:rsidRPr="0016022E">
        <w:rPr>
          <w:rFonts w:ascii="Calibri" w:hAnsi="Calibri" w:cs="Arial"/>
          <w:sz w:val="22"/>
          <w:szCs w:val="22"/>
        </w:rPr>
        <w:t>pkt.</w:t>
      </w:r>
      <w:r w:rsidR="00220934" w:rsidRPr="0016022E">
        <w:rPr>
          <w:rFonts w:ascii="Calibri" w:hAnsi="Calibri" w:cs="Arial"/>
          <w:sz w:val="22"/>
          <w:szCs w:val="22"/>
        </w:rPr>
        <w:t xml:space="preserve">). </w:t>
      </w:r>
      <w:r w:rsidRPr="0016022E">
        <w:rPr>
          <w:rFonts w:ascii="Calibri" w:hAnsi="Calibri" w:cs="Arial"/>
          <w:sz w:val="22"/>
          <w:szCs w:val="22"/>
        </w:rPr>
        <w:t>T</w:t>
      </w:r>
      <w:r w:rsidR="00220934" w:rsidRPr="0016022E">
        <w:rPr>
          <w:rFonts w:ascii="Calibri" w:hAnsi="Calibri" w:cs="Arial"/>
          <w:sz w:val="22"/>
          <w:szCs w:val="22"/>
        </w:rPr>
        <w:t xml:space="preserve">utaj, </w:t>
      </w:r>
      <w:r w:rsidRPr="0016022E">
        <w:rPr>
          <w:rFonts w:ascii="Calibri" w:hAnsi="Calibri" w:cs="Arial"/>
          <w:sz w:val="22"/>
          <w:szCs w:val="22"/>
        </w:rPr>
        <w:t xml:space="preserve">na głównym wskaźniku zaważyły </w:t>
      </w:r>
      <w:r w:rsidR="001907EF" w:rsidRPr="0016022E">
        <w:rPr>
          <w:rFonts w:ascii="Calibri" w:hAnsi="Calibri" w:cs="Arial"/>
          <w:sz w:val="22"/>
          <w:szCs w:val="22"/>
        </w:rPr>
        <w:t>lepsze niż kwartał wcześniej</w:t>
      </w:r>
      <w:r w:rsidRPr="0016022E">
        <w:rPr>
          <w:rFonts w:ascii="Calibri" w:hAnsi="Calibri" w:cs="Arial"/>
          <w:sz w:val="22"/>
          <w:szCs w:val="22"/>
        </w:rPr>
        <w:t xml:space="preserve"> prognozy dotyczące inwestycji i sprzedaży. Po pierwsze, aż </w:t>
      </w:r>
      <w:r w:rsidR="003E1455" w:rsidRPr="0016022E">
        <w:rPr>
          <w:rFonts w:ascii="Calibri" w:hAnsi="Calibri" w:cs="Arial"/>
          <w:sz w:val="22"/>
          <w:szCs w:val="22"/>
        </w:rPr>
        <w:t>co piąta</w:t>
      </w:r>
      <w:r w:rsidRPr="0016022E">
        <w:rPr>
          <w:rFonts w:ascii="Calibri" w:hAnsi="Calibri" w:cs="Arial"/>
          <w:sz w:val="22"/>
          <w:szCs w:val="22"/>
        </w:rPr>
        <w:t xml:space="preserve"> firm</w:t>
      </w:r>
      <w:r w:rsidR="003E1455" w:rsidRPr="0016022E">
        <w:rPr>
          <w:rFonts w:ascii="Calibri" w:hAnsi="Calibri" w:cs="Arial"/>
          <w:sz w:val="22"/>
          <w:szCs w:val="22"/>
        </w:rPr>
        <w:t>a</w:t>
      </w:r>
      <w:r w:rsidRPr="0016022E">
        <w:rPr>
          <w:rFonts w:ascii="Calibri" w:hAnsi="Calibri" w:cs="Arial"/>
          <w:sz w:val="22"/>
          <w:szCs w:val="22"/>
        </w:rPr>
        <w:t xml:space="preserve"> </w:t>
      </w:r>
      <w:r w:rsidR="003E1455" w:rsidRPr="0016022E">
        <w:rPr>
          <w:rFonts w:ascii="Calibri" w:hAnsi="Calibri" w:cs="Arial"/>
          <w:sz w:val="22"/>
          <w:szCs w:val="22"/>
        </w:rPr>
        <w:t>handlowa</w:t>
      </w:r>
      <w:r w:rsidRPr="0016022E">
        <w:rPr>
          <w:rFonts w:ascii="Calibri" w:hAnsi="Calibri" w:cs="Arial"/>
          <w:sz w:val="22"/>
          <w:szCs w:val="22"/>
        </w:rPr>
        <w:t xml:space="preserve"> spodziewa się więcej inwestować</w:t>
      </w:r>
      <w:r w:rsidR="00CB3817" w:rsidRPr="0016022E">
        <w:rPr>
          <w:rFonts w:ascii="Calibri" w:hAnsi="Calibri" w:cs="Arial"/>
          <w:sz w:val="22"/>
          <w:szCs w:val="22"/>
        </w:rPr>
        <w:t xml:space="preserve"> (20 proc.)</w:t>
      </w:r>
      <w:r w:rsidRPr="0016022E">
        <w:rPr>
          <w:rFonts w:ascii="Calibri" w:hAnsi="Calibri" w:cs="Arial"/>
          <w:sz w:val="22"/>
          <w:szCs w:val="22"/>
        </w:rPr>
        <w:t xml:space="preserve">. </w:t>
      </w:r>
      <w:r w:rsidR="00CB3817" w:rsidRPr="0016022E">
        <w:rPr>
          <w:rFonts w:ascii="Calibri" w:hAnsi="Calibri" w:cs="Arial"/>
          <w:sz w:val="22"/>
          <w:szCs w:val="22"/>
        </w:rPr>
        <w:t>To o 6</w:t>
      </w:r>
      <w:r w:rsidRPr="0016022E">
        <w:rPr>
          <w:rFonts w:ascii="Calibri" w:hAnsi="Calibri" w:cs="Arial"/>
          <w:sz w:val="22"/>
          <w:szCs w:val="22"/>
        </w:rPr>
        <w:t xml:space="preserve"> p.p. </w:t>
      </w:r>
      <w:r w:rsidR="00CB3817" w:rsidRPr="0016022E">
        <w:rPr>
          <w:rFonts w:ascii="Calibri" w:hAnsi="Calibri" w:cs="Arial"/>
          <w:sz w:val="22"/>
          <w:szCs w:val="22"/>
        </w:rPr>
        <w:t>lepszy wynik</w:t>
      </w:r>
      <w:r w:rsidRPr="0016022E">
        <w:rPr>
          <w:rFonts w:ascii="Calibri" w:hAnsi="Calibri" w:cs="Arial"/>
          <w:sz w:val="22"/>
          <w:szCs w:val="22"/>
        </w:rPr>
        <w:t xml:space="preserve"> niż kwartał wcześniej. Przedstawiciele branży handlowej sygnalizują również wzrost zamówień. Więcej spodziewa się sprzedawać </w:t>
      </w:r>
      <w:r w:rsidR="006E3C1A" w:rsidRPr="0016022E">
        <w:rPr>
          <w:rFonts w:ascii="Calibri" w:hAnsi="Calibri" w:cs="Arial"/>
          <w:sz w:val="22"/>
          <w:szCs w:val="22"/>
        </w:rPr>
        <w:t>33,3 proc.</w:t>
      </w:r>
      <w:r w:rsidRPr="0016022E">
        <w:rPr>
          <w:rFonts w:ascii="Calibri" w:hAnsi="Calibri" w:cs="Arial"/>
          <w:sz w:val="22"/>
          <w:szCs w:val="22"/>
        </w:rPr>
        <w:t xml:space="preserve"> firm, co oznacza wzrost o </w:t>
      </w:r>
      <w:r w:rsidR="006E3C1A" w:rsidRPr="0016022E">
        <w:rPr>
          <w:rFonts w:ascii="Calibri" w:hAnsi="Calibri" w:cs="Arial"/>
          <w:sz w:val="22"/>
          <w:szCs w:val="22"/>
        </w:rPr>
        <w:t>7,5</w:t>
      </w:r>
      <w:r w:rsidRPr="0016022E">
        <w:rPr>
          <w:rFonts w:ascii="Calibri" w:hAnsi="Calibri" w:cs="Arial"/>
          <w:sz w:val="22"/>
          <w:szCs w:val="22"/>
        </w:rPr>
        <w:t xml:space="preserve"> p</w:t>
      </w:r>
      <w:r w:rsidR="006E3C1A" w:rsidRPr="0016022E">
        <w:rPr>
          <w:rFonts w:ascii="Calibri" w:hAnsi="Calibri" w:cs="Arial"/>
          <w:sz w:val="22"/>
          <w:szCs w:val="22"/>
        </w:rPr>
        <w:t>.</w:t>
      </w:r>
      <w:r w:rsidRPr="0016022E">
        <w:rPr>
          <w:rFonts w:ascii="Calibri" w:hAnsi="Calibri" w:cs="Arial"/>
          <w:sz w:val="22"/>
          <w:szCs w:val="22"/>
        </w:rPr>
        <w:t>p. w porównaniu do I kwartału</w:t>
      </w:r>
      <w:r w:rsidR="006E3C1A" w:rsidRPr="0016022E">
        <w:rPr>
          <w:rFonts w:ascii="Calibri" w:hAnsi="Calibri" w:cs="Arial"/>
          <w:sz w:val="22"/>
          <w:szCs w:val="22"/>
        </w:rPr>
        <w:t xml:space="preserve"> tego</w:t>
      </w:r>
      <w:r w:rsidRPr="0016022E">
        <w:rPr>
          <w:rFonts w:ascii="Calibri" w:hAnsi="Calibri" w:cs="Arial"/>
          <w:sz w:val="22"/>
          <w:szCs w:val="22"/>
        </w:rPr>
        <w:t xml:space="preserve"> roku. </w:t>
      </w:r>
      <w:r w:rsidR="00ED4FCB" w:rsidRPr="0016022E">
        <w:rPr>
          <w:rFonts w:ascii="Calibri" w:hAnsi="Calibri" w:cs="Arial"/>
          <w:sz w:val="22"/>
          <w:szCs w:val="22"/>
        </w:rPr>
        <w:t xml:space="preserve">Podobnie jednak jak w przypadku firm przemysłowych, odczyt z II kwartału br. daleki jest od rekordowych z analogicznego okresu w 2018 i 2017 roku (odpowiednio </w:t>
      </w:r>
      <w:r w:rsidR="003F64E9" w:rsidRPr="0016022E">
        <w:rPr>
          <w:rFonts w:ascii="Calibri" w:hAnsi="Calibri" w:cs="Arial"/>
          <w:sz w:val="22"/>
          <w:szCs w:val="22"/>
        </w:rPr>
        <w:t>61,1 pkt i 61,9 pkt.).</w:t>
      </w:r>
    </w:p>
    <w:p w14:paraId="36EF60EE" w14:textId="06857C30" w:rsidR="002620F7" w:rsidRPr="0016022E" w:rsidRDefault="002620F7" w:rsidP="0016022E">
      <w:p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16022E">
        <w:rPr>
          <w:rFonts w:ascii="Calibri" w:hAnsi="Calibri" w:cs="Arial"/>
          <w:sz w:val="22"/>
          <w:szCs w:val="22"/>
        </w:rPr>
        <w:t>Firmy handlowe bardzo często posiłkują się leasingiem – przy pomocy tego rozwiązania swoje inwe</w:t>
      </w:r>
      <w:r w:rsidR="003F64E9" w:rsidRPr="0016022E">
        <w:rPr>
          <w:rFonts w:ascii="Calibri" w:hAnsi="Calibri" w:cs="Arial"/>
          <w:sz w:val="22"/>
          <w:szCs w:val="22"/>
        </w:rPr>
        <w:t>stycje zamierza finansować ponad połowa</w:t>
      </w:r>
      <w:r w:rsidRPr="0016022E">
        <w:rPr>
          <w:rFonts w:ascii="Calibri" w:hAnsi="Calibri" w:cs="Arial"/>
          <w:sz w:val="22"/>
          <w:szCs w:val="22"/>
        </w:rPr>
        <w:t xml:space="preserve"> firm</w:t>
      </w:r>
      <w:r w:rsidR="003F64E9" w:rsidRPr="0016022E">
        <w:rPr>
          <w:rFonts w:ascii="Calibri" w:hAnsi="Calibri" w:cs="Arial"/>
          <w:sz w:val="22"/>
          <w:szCs w:val="22"/>
        </w:rPr>
        <w:t xml:space="preserve"> (56 proc.)</w:t>
      </w:r>
      <w:r w:rsidRPr="0016022E">
        <w:rPr>
          <w:rFonts w:ascii="Calibri" w:hAnsi="Calibri" w:cs="Arial"/>
          <w:sz w:val="22"/>
          <w:szCs w:val="22"/>
        </w:rPr>
        <w:t>.</w:t>
      </w:r>
    </w:p>
    <w:p w14:paraId="02876A6D" w14:textId="49CCED22" w:rsidR="0038673D" w:rsidRPr="0016022E" w:rsidRDefault="0038673D" w:rsidP="0016022E">
      <w:pPr>
        <w:spacing w:after="120" w:line="276" w:lineRule="auto"/>
        <w:jc w:val="both"/>
        <w:rPr>
          <w:rFonts w:ascii="Calibri" w:hAnsi="Calibri" w:cs="Arial"/>
          <w:b/>
          <w:color w:val="26744D"/>
          <w:sz w:val="22"/>
          <w:szCs w:val="22"/>
        </w:rPr>
      </w:pPr>
      <w:r w:rsidRPr="0016022E">
        <w:rPr>
          <w:rFonts w:ascii="Calibri" w:hAnsi="Calibri" w:cs="Arial"/>
          <w:b/>
          <w:color w:val="26744D"/>
          <w:sz w:val="22"/>
          <w:szCs w:val="22"/>
        </w:rPr>
        <w:t>Firmy usługowe będą więcej inwestować</w:t>
      </w:r>
    </w:p>
    <w:p w14:paraId="667F08FC" w14:textId="0B4BC2BE" w:rsidR="00712CB9" w:rsidRPr="0016022E" w:rsidRDefault="00712CB9" w:rsidP="0016022E">
      <w:pPr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16022E">
        <w:rPr>
          <w:rFonts w:ascii="Calibri" w:hAnsi="Calibri" w:cs="Arial"/>
          <w:sz w:val="22"/>
          <w:szCs w:val="22"/>
        </w:rPr>
        <w:t xml:space="preserve">Subindeks Barometru EFL dla usług wyniósł 54,4 pkt. i był o 5,2 pkt. wyższy niż kwartał wcześniej. </w:t>
      </w:r>
      <w:r w:rsidR="00C87B9C" w:rsidRPr="0016022E">
        <w:rPr>
          <w:rFonts w:ascii="Calibri" w:hAnsi="Calibri" w:cs="Arial"/>
          <w:sz w:val="22"/>
          <w:szCs w:val="22"/>
        </w:rPr>
        <w:t xml:space="preserve">Jest to najlepszy wynik od roku (od II kwartału 2018 – 59,3 pkt.). </w:t>
      </w:r>
      <w:r w:rsidR="000A464D" w:rsidRPr="0016022E">
        <w:rPr>
          <w:rFonts w:ascii="Calibri" w:hAnsi="Calibri" w:cs="Arial"/>
          <w:sz w:val="22"/>
          <w:szCs w:val="22"/>
        </w:rPr>
        <w:t xml:space="preserve">Optymizm wśród firm </w:t>
      </w:r>
      <w:r w:rsidR="004726AC" w:rsidRPr="0016022E">
        <w:rPr>
          <w:rFonts w:ascii="Calibri" w:hAnsi="Calibri" w:cs="Arial"/>
          <w:sz w:val="22"/>
          <w:szCs w:val="22"/>
        </w:rPr>
        <w:t>reprezentujących</w:t>
      </w:r>
      <w:r w:rsidR="000A464D" w:rsidRPr="0016022E">
        <w:rPr>
          <w:rFonts w:ascii="Calibri" w:hAnsi="Calibri" w:cs="Arial"/>
          <w:sz w:val="22"/>
          <w:szCs w:val="22"/>
        </w:rPr>
        <w:t xml:space="preserve"> ten sektor powrócił biorąc pod uwagę inwestycje i sprzedaż. </w:t>
      </w:r>
      <w:r w:rsidR="00DB06C0" w:rsidRPr="0016022E">
        <w:rPr>
          <w:rFonts w:ascii="Calibri" w:hAnsi="Calibri" w:cs="Arial"/>
          <w:sz w:val="22"/>
          <w:szCs w:val="22"/>
        </w:rPr>
        <w:t xml:space="preserve">Co trzecia firma usługowa planuje więcej inwestować (33,3 proc.), co jest wynikiem aż </w:t>
      </w:r>
      <w:r w:rsidR="004726AC" w:rsidRPr="0016022E">
        <w:rPr>
          <w:rFonts w:ascii="Calibri" w:hAnsi="Calibri" w:cs="Arial"/>
          <w:sz w:val="22"/>
          <w:szCs w:val="22"/>
        </w:rPr>
        <w:t>trzy</w:t>
      </w:r>
      <w:r w:rsidR="00DB06C0" w:rsidRPr="0016022E">
        <w:rPr>
          <w:rFonts w:ascii="Calibri" w:hAnsi="Calibri" w:cs="Arial"/>
          <w:sz w:val="22"/>
          <w:szCs w:val="22"/>
        </w:rPr>
        <w:t xml:space="preserve"> razy lepszym niż kwartał wcześniej (10,3 proc.).</w:t>
      </w:r>
      <w:r w:rsidR="00462DF7" w:rsidRPr="0016022E">
        <w:rPr>
          <w:rFonts w:ascii="Calibri" w:hAnsi="Calibri" w:cs="Arial"/>
          <w:sz w:val="22"/>
          <w:szCs w:val="22"/>
        </w:rPr>
        <w:t xml:space="preserve"> W przypadku sprzedaży, odsetek optymistów wyniósł 31,4 proc., podczas gdy na początku roku 18,6 proc.</w:t>
      </w:r>
      <w:r w:rsidR="00BD4398" w:rsidRPr="0016022E">
        <w:rPr>
          <w:rFonts w:ascii="Calibri" w:hAnsi="Calibri" w:cs="Arial"/>
          <w:sz w:val="22"/>
          <w:szCs w:val="22"/>
        </w:rPr>
        <w:t xml:space="preserve"> Firmy usługowe należą do tych, którzy niemal w większości finansują swoją działalność ze środków własnych (</w:t>
      </w:r>
      <w:r w:rsidR="000F3FE2" w:rsidRPr="0016022E">
        <w:rPr>
          <w:rFonts w:ascii="Calibri" w:hAnsi="Calibri" w:cs="Arial"/>
          <w:sz w:val="22"/>
          <w:szCs w:val="22"/>
        </w:rPr>
        <w:t>96,4 proc.), następnie korzystają z ubezpieczenia majątku firmy (42 proc.), a potem z leasingu (35,5 proc.).</w:t>
      </w:r>
    </w:p>
    <w:tbl>
      <w:tblPr>
        <w:tblW w:w="10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10636"/>
      </w:tblGrid>
      <w:tr w:rsidR="00023F41" w:rsidRPr="00ED3203" w14:paraId="56B9539D" w14:textId="77777777" w:rsidTr="00023F41">
        <w:tc>
          <w:tcPr>
            <w:tcW w:w="10636" w:type="dxa"/>
            <w:shd w:val="clear" w:color="auto" w:fill="22744F"/>
          </w:tcPr>
          <w:p w14:paraId="66F4C1BD" w14:textId="77777777" w:rsidR="00023F41" w:rsidRPr="00ED3203" w:rsidRDefault="00023F41" w:rsidP="00BF4013">
            <w:pPr>
              <w:tabs>
                <w:tab w:val="left" w:pos="4248"/>
                <w:tab w:val="left" w:pos="6684"/>
              </w:tabs>
              <w:outlineLvl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D3203">
              <w:rPr>
                <w:rFonts w:ascii="Arial" w:hAnsi="Arial" w:cs="Arial"/>
                <w:color w:val="FFFFFF"/>
                <w:sz w:val="20"/>
                <w:szCs w:val="20"/>
              </w:rPr>
              <w:t>Więcej informacji udziela:</w:t>
            </w:r>
            <w:r w:rsidRPr="00ED3203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  <w:r w:rsidRPr="00ED3203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</w:p>
        </w:tc>
      </w:tr>
      <w:tr w:rsidR="00023F41" w:rsidRPr="0018401C" w14:paraId="5BCC48DF" w14:textId="77777777" w:rsidTr="00023F41">
        <w:trPr>
          <w:trHeight w:val="964"/>
        </w:trPr>
        <w:tc>
          <w:tcPr>
            <w:tcW w:w="10636" w:type="dxa"/>
            <w:shd w:val="clear" w:color="auto" w:fill="auto"/>
            <w:vAlign w:val="center"/>
          </w:tcPr>
          <w:p w14:paraId="1EC993B7" w14:textId="77777777" w:rsidR="00023F41" w:rsidRPr="00ED3203" w:rsidRDefault="00023F41" w:rsidP="00BF401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203">
              <w:rPr>
                <w:rFonts w:ascii="Arial" w:hAnsi="Arial" w:cs="Arial"/>
                <w:b/>
                <w:sz w:val="20"/>
                <w:szCs w:val="20"/>
              </w:rPr>
              <w:t>Maja Lidke</w:t>
            </w:r>
          </w:p>
          <w:p w14:paraId="3634999D" w14:textId="77777777" w:rsidR="00023F41" w:rsidRPr="00ED3203" w:rsidRDefault="00023F41" w:rsidP="00BF401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203">
              <w:rPr>
                <w:rFonts w:ascii="Arial" w:hAnsi="Arial" w:cs="Arial"/>
                <w:sz w:val="20"/>
                <w:szCs w:val="20"/>
              </w:rPr>
              <w:t>Europejski Fundusz Leasingowy</w:t>
            </w:r>
          </w:p>
          <w:p w14:paraId="1AF5F67A" w14:textId="77777777" w:rsidR="00023F41" w:rsidRPr="00ED3203" w:rsidRDefault="00023F41" w:rsidP="00BF4013">
            <w:pPr>
              <w:rPr>
                <w:rFonts w:ascii="Arial" w:hAnsi="Arial" w:cs="Arial"/>
                <w:sz w:val="20"/>
                <w:szCs w:val="20"/>
              </w:rPr>
            </w:pPr>
            <w:r w:rsidRPr="00ED3203">
              <w:rPr>
                <w:rFonts w:ascii="Arial" w:hAnsi="Arial" w:cs="Arial"/>
                <w:sz w:val="20"/>
                <w:szCs w:val="20"/>
              </w:rPr>
              <w:t>Tel.: 603 630 166</w:t>
            </w:r>
          </w:p>
          <w:p w14:paraId="68FD6303" w14:textId="77777777" w:rsidR="00023F41" w:rsidRPr="00575566" w:rsidRDefault="00023F41" w:rsidP="00BF4013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75566"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  <w:hyperlink r:id="rId11" w:history="1">
              <w:r w:rsidRPr="00575566">
                <w:rPr>
                  <w:rStyle w:val="Hipercze"/>
                  <w:rFonts w:ascii="Arial" w:hAnsi="Arial" w:cs="Arial"/>
                  <w:sz w:val="20"/>
                  <w:szCs w:val="20"/>
                  <w:lang w:val="en-GB"/>
                </w:rPr>
                <w:t>maja.lidke@efl.com.pl</w:t>
              </w:r>
            </w:hyperlink>
          </w:p>
        </w:tc>
      </w:tr>
    </w:tbl>
    <w:p w14:paraId="32FF81DB" w14:textId="77777777" w:rsidR="00002970" w:rsidRPr="00034CF7" w:rsidRDefault="00002970" w:rsidP="00807E14">
      <w:pPr>
        <w:spacing w:before="360" w:after="360" w:line="276" w:lineRule="auto"/>
        <w:jc w:val="both"/>
        <w:rPr>
          <w:rFonts w:ascii="Calibri" w:hAnsi="Calibri"/>
          <w:i/>
          <w:sz w:val="22"/>
          <w:szCs w:val="22"/>
        </w:rPr>
      </w:pPr>
      <w:bookmarkStart w:id="0" w:name="_GoBack"/>
      <w:bookmarkEnd w:id="0"/>
    </w:p>
    <w:sectPr w:rsidR="00002970" w:rsidRPr="00034CF7" w:rsidSect="0090356A">
      <w:headerReference w:type="even" r:id="rId12"/>
      <w:headerReference w:type="default" r:id="rId13"/>
      <w:headerReference w:type="first" r:id="rId14"/>
      <w:pgSz w:w="11900" w:h="16840"/>
      <w:pgMar w:top="1985" w:right="680" w:bottom="198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3AAE8" w14:textId="77777777" w:rsidR="00D206F3" w:rsidRDefault="00D206F3" w:rsidP="00E55FF4">
      <w:r>
        <w:separator/>
      </w:r>
    </w:p>
  </w:endnote>
  <w:endnote w:type="continuationSeparator" w:id="0">
    <w:p w14:paraId="19FED783" w14:textId="77777777" w:rsidR="00D206F3" w:rsidRDefault="00D206F3" w:rsidP="00E5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53104" w14:textId="77777777" w:rsidR="00D206F3" w:rsidRDefault="00D206F3" w:rsidP="00E55FF4">
      <w:r>
        <w:separator/>
      </w:r>
    </w:p>
  </w:footnote>
  <w:footnote w:type="continuationSeparator" w:id="0">
    <w:p w14:paraId="0F9A7F9B" w14:textId="77777777" w:rsidR="00D206F3" w:rsidRDefault="00D206F3" w:rsidP="00E55FF4">
      <w:r>
        <w:continuationSeparator/>
      </w:r>
    </w:p>
  </w:footnote>
  <w:footnote w:id="1">
    <w:p w14:paraId="78FB3839" w14:textId="48244DF5" w:rsidR="005A3992" w:rsidRDefault="005A39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037C">
        <w:rPr>
          <w:rFonts w:ascii="Calibri" w:hAnsi="Calibri" w:cs="Arial"/>
          <w:b/>
          <w:sz w:val="18"/>
        </w:rPr>
        <w:t>Barometr EFL</w:t>
      </w:r>
      <w:r w:rsidRPr="001A037C">
        <w:rPr>
          <w:rFonts w:ascii="Calibri" w:hAnsi="Calibri" w:cs="Arial"/>
          <w:sz w:val="18"/>
        </w:rPr>
        <w:t xml:space="preserve"> jest syntetycznym wskaźnikiem informującym o skłonności firm z sektora MŚP do wzrostu (tj. rozwoju rozumianego, jako stawianie sobie przez przedsiębiorstwa celów związanych ze wzrostem sprzedaży i produkcji, ekspansją na nowe rynki i maksymalizacją zysków, co jest związane z inwestycjami w środki trwałe). Prognozowana na dany kwartał kondycja finansowa firm MŚP daje punkt odniesienia do wnioskowania o zakładanym kierunku zmian, które sprzyjają wzrostowi lub działają hamująco na rozwój firm. Badanie przygotowywane jest przez Ecorys na zlecenie Europejskiego Funduszu Leasingowego SA., a jego wyniki są publikowane co kwartał. Jego uczestnicy to mikro, małe i średnie firmy terenu całej Polski. W badaniu wzięła udział reprezentatywna grupa 600 mikro, małych i średnich firm. Aktualna edycja badania odbyła się w dniach 28.03- 05.04. 2019 r.</w:t>
      </w:r>
    </w:p>
  </w:footnote>
  <w:footnote w:id="2">
    <w:p w14:paraId="5DAB25C0" w14:textId="286A3A58" w:rsidR="008073A3" w:rsidRDefault="008073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A3992" w:rsidRPr="001A037C">
        <w:rPr>
          <w:rFonts w:ascii="Calibri" w:hAnsi="Calibri"/>
          <w:b/>
          <w:sz w:val="18"/>
        </w:rPr>
        <w:t>Próg OR</w:t>
      </w:r>
      <w:r w:rsidR="005A3992" w:rsidRPr="001A037C">
        <w:rPr>
          <w:rFonts w:ascii="Calibri" w:hAnsi="Calibri"/>
          <w:sz w:val="18"/>
        </w:rPr>
        <w:t xml:space="preserve"> to poziom ograniczonego rozwoju firm z sektora MŚP, który wynosi co najmniej 50 pkt. w Barometrze EFL. Stanowi algorytm stworzony na podstawie danych zgromadzonych w trakcie badania przedsiębiorców dotyczących 4 sfer: poziomu sprzedaży, planowanych inwestycji w środki trwałe, płynności finansowej i zapotrzebowania na zewnętrzne finansowanie. Przyjmuje wartości od 0 do 100, przy czym zagregowany wynik powyżej 50 pkt. oznacza, że występują sprzyjające warunki do rozwoju sektora MŚP, natomiast wynik niższy oznacza, że warunki te są niekorzystne</w:t>
      </w:r>
      <w:r w:rsidR="005A3992">
        <w:rPr>
          <w:rFonts w:ascii="Calibri" w:hAnsi="Calibr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E561A" w14:textId="77777777" w:rsidR="00C570A9" w:rsidRDefault="00D206F3">
    <w:pPr>
      <w:pStyle w:val="Nagwek"/>
    </w:pPr>
    <w:r>
      <w:rPr>
        <w:noProof/>
        <w:lang w:eastAsia="pl-PL"/>
      </w:rPr>
      <w:pict w14:anchorId="54FCF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EFL-To-Sie-Uda-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C2F06" w14:textId="77777777" w:rsidR="00E55FF4" w:rsidRDefault="00D206F3">
    <w:pPr>
      <w:pStyle w:val="Nagwek"/>
    </w:pPr>
    <w:r>
      <w:rPr>
        <w:noProof/>
        <w:lang w:eastAsia="pl-PL"/>
      </w:rPr>
      <w:pict w14:anchorId="07F386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-34.5pt;margin-top:-99.05pt;width:595.75pt;height:842pt;z-index:-251658240;mso-position-horizontal-relative:margin;mso-position-vertical-relative:margin" o:allowincell="f">
          <v:imagedata r:id="rId1" o:title="EFL-To-Sie-Uda-Papier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9D8E3" w14:textId="77777777" w:rsidR="00C570A9" w:rsidRDefault="00D206F3">
    <w:pPr>
      <w:pStyle w:val="Nagwek"/>
    </w:pPr>
    <w:r>
      <w:rPr>
        <w:noProof/>
        <w:lang w:eastAsia="pl-PL"/>
      </w:rPr>
      <w:pict w14:anchorId="246DBD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EFL-To-Sie-Uda-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1AF4"/>
    <w:multiLevelType w:val="hybridMultilevel"/>
    <w:tmpl w:val="6C6AB038"/>
    <w:lvl w:ilvl="0" w:tplc="0A944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42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E6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62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03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65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86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C3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E0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F60EA6"/>
    <w:multiLevelType w:val="hybridMultilevel"/>
    <w:tmpl w:val="36B08FDE"/>
    <w:lvl w:ilvl="0" w:tplc="DB38A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8A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A4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8D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8E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EC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A5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E2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EB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A61366"/>
    <w:multiLevelType w:val="multilevel"/>
    <w:tmpl w:val="CEB44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B35DB"/>
    <w:multiLevelType w:val="hybridMultilevel"/>
    <w:tmpl w:val="E110C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479CA"/>
    <w:multiLevelType w:val="hybridMultilevel"/>
    <w:tmpl w:val="37647A68"/>
    <w:lvl w:ilvl="0" w:tplc="8990F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ED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02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0F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65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E7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40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AB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8A11B7"/>
    <w:multiLevelType w:val="multilevel"/>
    <w:tmpl w:val="05A2710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E1"/>
    <w:rsid w:val="00002970"/>
    <w:rsid w:val="00015B17"/>
    <w:rsid w:val="00023F41"/>
    <w:rsid w:val="00026165"/>
    <w:rsid w:val="00034CF7"/>
    <w:rsid w:val="00063C06"/>
    <w:rsid w:val="00086B8E"/>
    <w:rsid w:val="000953F8"/>
    <w:rsid w:val="00096F55"/>
    <w:rsid w:val="000A464D"/>
    <w:rsid w:val="000C39AA"/>
    <w:rsid w:val="000D366A"/>
    <w:rsid w:val="000E436B"/>
    <w:rsid w:val="000E470B"/>
    <w:rsid w:val="000E54CE"/>
    <w:rsid w:val="000F3FE2"/>
    <w:rsid w:val="000F69B3"/>
    <w:rsid w:val="000F78E2"/>
    <w:rsid w:val="00126436"/>
    <w:rsid w:val="00126807"/>
    <w:rsid w:val="001270D8"/>
    <w:rsid w:val="00144A9B"/>
    <w:rsid w:val="0016022E"/>
    <w:rsid w:val="00164595"/>
    <w:rsid w:val="001669E7"/>
    <w:rsid w:val="00186A27"/>
    <w:rsid w:val="001907EF"/>
    <w:rsid w:val="00192CDD"/>
    <w:rsid w:val="001A037C"/>
    <w:rsid w:val="001A06E0"/>
    <w:rsid w:val="001C1C6F"/>
    <w:rsid w:val="001E219A"/>
    <w:rsid w:val="001F0A5F"/>
    <w:rsid w:val="00201CDB"/>
    <w:rsid w:val="00220934"/>
    <w:rsid w:val="00221A90"/>
    <w:rsid w:val="00226088"/>
    <w:rsid w:val="0022699E"/>
    <w:rsid w:val="00245287"/>
    <w:rsid w:val="00250695"/>
    <w:rsid w:val="00252447"/>
    <w:rsid w:val="002620F7"/>
    <w:rsid w:val="002650B9"/>
    <w:rsid w:val="00265357"/>
    <w:rsid w:val="002A23B3"/>
    <w:rsid w:val="002A4B31"/>
    <w:rsid w:val="002C2F8A"/>
    <w:rsid w:val="002C6E20"/>
    <w:rsid w:val="002E1FC6"/>
    <w:rsid w:val="002E4545"/>
    <w:rsid w:val="002E45E4"/>
    <w:rsid w:val="002F7B14"/>
    <w:rsid w:val="00307ED5"/>
    <w:rsid w:val="0031322A"/>
    <w:rsid w:val="003152FD"/>
    <w:rsid w:val="003415DD"/>
    <w:rsid w:val="003624ED"/>
    <w:rsid w:val="00372702"/>
    <w:rsid w:val="0038189D"/>
    <w:rsid w:val="0038673D"/>
    <w:rsid w:val="00391A57"/>
    <w:rsid w:val="003A639D"/>
    <w:rsid w:val="003B677D"/>
    <w:rsid w:val="003D1981"/>
    <w:rsid w:val="003D59CC"/>
    <w:rsid w:val="003E0049"/>
    <w:rsid w:val="003E1455"/>
    <w:rsid w:val="003F64E9"/>
    <w:rsid w:val="003F7301"/>
    <w:rsid w:val="00412BAC"/>
    <w:rsid w:val="00435E08"/>
    <w:rsid w:val="00440030"/>
    <w:rsid w:val="00460954"/>
    <w:rsid w:val="00462DF7"/>
    <w:rsid w:val="004726AC"/>
    <w:rsid w:val="00477D90"/>
    <w:rsid w:val="0048637F"/>
    <w:rsid w:val="0048751D"/>
    <w:rsid w:val="004974C7"/>
    <w:rsid w:val="004B4D33"/>
    <w:rsid w:val="004C1521"/>
    <w:rsid w:val="004D68D1"/>
    <w:rsid w:val="00504743"/>
    <w:rsid w:val="00517394"/>
    <w:rsid w:val="00523F26"/>
    <w:rsid w:val="005359FD"/>
    <w:rsid w:val="00552D6E"/>
    <w:rsid w:val="005646CD"/>
    <w:rsid w:val="00570179"/>
    <w:rsid w:val="00580A15"/>
    <w:rsid w:val="00592069"/>
    <w:rsid w:val="005A3992"/>
    <w:rsid w:val="005B1FD4"/>
    <w:rsid w:val="005B6BC6"/>
    <w:rsid w:val="005D44E1"/>
    <w:rsid w:val="005E258E"/>
    <w:rsid w:val="006000FB"/>
    <w:rsid w:val="00610D6E"/>
    <w:rsid w:val="0063330D"/>
    <w:rsid w:val="006345F7"/>
    <w:rsid w:val="006425BD"/>
    <w:rsid w:val="00644057"/>
    <w:rsid w:val="00652A31"/>
    <w:rsid w:val="00655A48"/>
    <w:rsid w:val="00656E72"/>
    <w:rsid w:val="0066357E"/>
    <w:rsid w:val="006671D5"/>
    <w:rsid w:val="006756B4"/>
    <w:rsid w:val="006C4222"/>
    <w:rsid w:val="006C588C"/>
    <w:rsid w:val="006E3C1A"/>
    <w:rsid w:val="006E6097"/>
    <w:rsid w:val="007074C5"/>
    <w:rsid w:val="00712CB9"/>
    <w:rsid w:val="00713C21"/>
    <w:rsid w:val="00723FFC"/>
    <w:rsid w:val="007445A4"/>
    <w:rsid w:val="0075429A"/>
    <w:rsid w:val="00757C58"/>
    <w:rsid w:val="00773842"/>
    <w:rsid w:val="007771E3"/>
    <w:rsid w:val="00792923"/>
    <w:rsid w:val="007A7A23"/>
    <w:rsid w:val="007B4E5E"/>
    <w:rsid w:val="008073A3"/>
    <w:rsid w:val="00807E14"/>
    <w:rsid w:val="00814731"/>
    <w:rsid w:val="00817E41"/>
    <w:rsid w:val="008211B3"/>
    <w:rsid w:val="00831CE5"/>
    <w:rsid w:val="00832F88"/>
    <w:rsid w:val="008477D6"/>
    <w:rsid w:val="008520F0"/>
    <w:rsid w:val="00873AF3"/>
    <w:rsid w:val="00883DF4"/>
    <w:rsid w:val="008A515E"/>
    <w:rsid w:val="008C0BCB"/>
    <w:rsid w:val="008C18C7"/>
    <w:rsid w:val="00902F60"/>
    <w:rsid w:val="00903088"/>
    <w:rsid w:val="0090356A"/>
    <w:rsid w:val="009116D7"/>
    <w:rsid w:val="009138A6"/>
    <w:rsid w:val="00927CBB"/>
    <w:rsid w:val="0093570C"/>
    <w:rsid w:val="00941FB8"/>
    <w:rsid w:val="00952FCD"/>
    <w:rsid w:val="00966937"/>
    <w:rsid w:val="00985DC2"/>
    <w:rsid w:val="00996F8D"/>
    <w:rsid w:val="009A690F"/>
    <w:rsid w:val="009B61D3"/>
    <w:rsid w:val="009D5402"/>
    <w:rsid w:val="009E01C2"/>
    <w:rsid w:val="009E027D"/>
    <w:rsid w:val="009E7049"/>
    <w:rsid w:val="009F0FF2"/>
    <w:rsid w:val="009F3B5A"/>
    <w:rsid w:val="00A255FF"/>
    <w:rsid w:val="00A411D4"/>
    <w:rsid w:val="00A45AD3"/>
    <w:rsid w:val="00A6571A"/>
    <w:rsid w:val="00A741CD"/>
    <w:rsid w:val="00A77EC7"/>
    <w:rsid w:val="00A87D71"/>
    <w:rsid w:val="00A90E25"/>
    <w:rsid w:val="00AA309D"/>
    <w:rsid w:val="00AD1375"/>
    <w:rsid w:val="00AD771D"/>
    <w:rsid w:val="00AE29C2"/>
    <w:rsid w:val="00B3400B"/>
    <w:rsid w:val="00B560EA"/>
    <w:rsid w:val="00B77005"/>
    <w:rsid w:val="00BC6464"/>
    <w:rsid w:val="00BD4398"/>
    <w:rsid w:val="00BE42CB"/>
    <w:rsid w:val="00C063A7"/>
    <w:rsid w:val="00C14307"/>
    <w:rsid w:val="00C14384"/>
    <w:rsid w:val="00C221AE"/>
    <w:rsid w:val="00C31067"/>
    <w:rsid w:val="00C3547A"/>
    <w:rsid w:val="00C47949"/>
    <w:rsid w:val="00C570A9"/>
    <w:rsid w:val="00C717CA"/>
    <w:rsid w:val="00C71A15"/>
    <w:rsid w:val="00C87B9C"/>
    <w:rsid w:val="00CA7CAC"/>
    <w:rsid w:val="00CB268B"/>
    <w:rsid w:val="00CB3817"/>
    <w:rsid w:val="00CC4903"/>
    <w:rsid w:val="00D057BF"/>
    <w:rsid w:val="00D20598"/>
    <w:rsid w:val="00D206F3"/>
    <w:rsid w:val="00D24E79"/>
    <w:rsid w:val="00D63355"/>
    <w:rsid w:val="00D72924"/>
    <w:rsid w:val="00D73D76"/>
    <w:rsid w:val="00D877A4"/>
    <w:rsid w:val="00D912E9"/>
    <w:rsid w:val="00D974BA"/>
    <w:rsid w:val="00DA5C37"/>
    <w:rsid w:val="00DB06C0"/>
    <w:rsid w:val="00DB17E3"/>
    <w:rsid w:val="00DB7155"/>
    <w:rsid w:val="00DC1C0E"/>
    <w:rsid w:val="00DC38F5"/>
    <w:rsid w:val="00DE4C41"/>
    <w:rsid w:val="00DF6619"/>
    <w:rsid w:val="00E00A64"/>
    <w:rsid w:val="00E11C4F"/>
    <w:rsid w:val="00E37BC7"/>
    <w:rsid w:val="00E55FF4"/>
    <w:rsid w:val="00E927B3"/>
    <w:rsid w:val="00E92AF2"/>
    <w:rsid w:val="00E95814"/>
    <w:rsid w:val="00EB1DFF"/>
    <w:rsid w:val="00ED4FCB"/>
    <w:rsid w:val="00EF4CF7"/>
    <w:rsid w:val="00F21042"/>
    <w:rsid w:val="00F276BD"/>
    <w:rsid w:val="00F52499"/>
    <w:rsid w:val="00F56E18"/>
    <w:rsid w:val="00F623C2"/>
    <w:rsid w:val="00F80D85"/>
    <w:rsid w:val="00FA5B16"/>
    <w:rsid w:val="00FB61D4"/>
    <w:rsid w:val="00FC07ED"/>
    <w:rsid w:val="00FC6208"/>
    <w:rsid w:val="00FC66E1"/>
    <w:rsid w:val="00F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96F63EE"/>
  <w15:docId w15:val="{1CAF3FF7-BF5E-4B8E-A5D9-06C2C592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FF4"/>
  </w:style>
  <w:style w:type="paragraph" w:styleId="Stopka">
    <w:name w:val="footer"/>
    <w:basedOn w:val="Normalny"/>
    <w:link w:val="StopkaZnak"/>
    <w:uiPriority w:val="99"/>
    <w:unhideWhenUsed/>
    <w:rsid w:val="00E5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FF4"/>
  </w:style>
  <w:style w:type="paragraph" w:styleId="Akapitzlist">
    <w:name w:val="List Paragraph"/>
    <w:basedOn w:val="Normalny"/>
    <w:uiPriority w:val="34"/>
    <w:qFormat/>
    <w:rsid w:val="00126807"/>
    <w:pPr>
      <w:spacing w:line="360" w:lineRule="auto"/>
      <w:ind w:left="720" w:hanging="357"/>
      <w:jc w:val="both"/>
    </w:pPr>
    <w:rPr>
      <w:rFonts w:ascii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45AD3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5AD3"/>
    <w:rPr>
      <w:rFonts w:ascii="Calibri" w:hAnsi="Calibri"/>
      <w:sz w:val="22"/>
      <w:szCs w:val="21"/>
    </w:rPr>
  </w:style>
  <w:style w:type="character" w:styleId="Hipercze">
    <w:name w:val="Hyperlink"/>
    <w:basedOn w:val="Domylnaczcionkaakapitu"/>
    <w:uiPriority w:val="99"/>
    <w:unhideWhenUsed/>
    <w:rsid w:val="00F52499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2499"/>
    <w:rPr>
      <w:rFonts w:ascii="Courier New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2499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52499"/>
    <w:rPr>
      <w:b/>
      <w:bCs/>
    </w:rPr>
  </w:style>
  <w:style w:type="paragraph" w:styleId="Bezodstpw">
    <w:name w:val="No Spacing"/>
    <w:uiPriority w:val="1"/>
    <w:qFormat/>
    <w:rsid w:val="009116D7"/>
  </w:style>
  <w:style w:type="paragraph" w:styleId="Tekstprzypisudolnego">
    <w:name w:val="footnote text"/>
    <w:basedOn w:val="Normalny"/>
    <w:link w:val="TekstprzypisudolnegoZnak"/>
    <w:unhideWhenUsed/>
    <w:rsid w:val="006E60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609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E609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02F6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7E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7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7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7E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7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7E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7ED"/>
    <w:rPr>
      <w:rFonts w:ascii="Times New Roman" w:hAnsi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C0BC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C0BCB"/>
  </w:style>
  <w:style w:type="character" w:styleId="Odwoanieprzypisukocowego">
    <w:name w:val="endnote reference"/>
    <w:basedOn w:val="Domylnaczcionkaakapitu"/>
    <w:uiPriority w:val="99"/>
    <w:unhideWhenUsed/>
    <w:rsid w:val="008C0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1637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222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4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4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269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ja.lidke@efl.com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9654d01-3c3b-4dd3-abec-1afffd83b5ce">Logo i szablony dokumentów</Rodzaj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23C6362C0D64A8EA9BBCE3467C3FA" ma:contentTypeVersion="1" ma:contentTypeDescription="Utwórz nowy dokument." ma:contentTypeScope="" ma:versionID="e278c82fb55b059082948336e2a5926c">
  <xsd:schema xmlns:xsd="http://www.w3.org/2001/XMLSchema" xmlns:xs="http://www.w3.org/2001/XMLSchema" xmlns:p="http://schemas.microsoft.com/office/2006/metadata/properties" xmlns:ns2="f9654d01-3c3b-4dd3-abec-1afffd83b5ce" targetNamespace="http://schemas.microsoft.com/office/2006/metadata/properties" ma:root="true" ma:fieldsID="231a1ae8981fb99cbaa102e510d84ee2" ns2:_="">
    <xsd:import namespace="f9654d01-3c3b-4dd3-abec-1afffd83b5ce"/>
    <xsd:element name="properties">
      <xsd:complexType>
        <xsd:sequence>
          <xsd:element name="documentManagement">
            <xsd:complexType>
              <xsd:all>
                <xsd:element ref="ns2:Rodza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4d01-3c3b-4dd3-abec-1afffd83b5ce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internalName="Rodza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1BF218-2C33-47DE-BA81-D34E9A570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C1008-E18C-4962-AD19-2870D490DCAE}">
  <ds:schemaRefs>
    <ds:schemaRef ds:uri="http://schemas.microsoft.com/office/2006/metadata/properties"/>
    <ds:schemaRef ds:uri="http://schemas.microsoft.com/office/infopath/2007/PartnerControls"/>
    <ds:schemaRef ds:uri="f9654d01-3c3b-4dd3-abec-1afffd83b5ce"/>
  </ds:schemaRefs>
</ds:datastoreItem>
</file>

<file path=customXml/itemProps3.xml><?xml version="1.0" encoding="utf-8"?>
<ds:datastoreItem xmlns:ds="http://schemas.openxmlformats.org/officeDocument/2006/customXml" ds:itemID="{E30296A1-1FEB-41BC-B5B4-551750372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54d01-3c3b-4dd3-abec-1afffd83b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79E69-057B-417F-8571-E2F5A3B0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Fundusz Leasingowy SA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Przemyslaw Lorenc</dc:creator>
  <cp:lastModifiedBy>Maja Lidke</cp:lastModifiedBy>
  <cp:revision>37</cp:revision>
  <dcterms:created xsi:type="dcterms:W3CDTF">2019-04-15T16:48:00Z</dcterms:created>
  <dcterms:modified xsi:type="dcterms:W3CDTF">2019-05-13T08:47:00Z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0x010100C2523C6362C0D64A8EA9BBCE3467C3FA</vt:lpwstr>
  </property>
</Properties>
</file>