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40" w:rsidRPr="00F303A7" w:rsidRDefault="00240540" w:rsidP="00240540">
      <w:pPr>
        <w:jc w:val="right"/>
        <w:rPr>
          <w:szCs w:val="23"/>
        </w:rPr>
      </w:pPr>
      <w:bookmarkStart w:id="0" w:name="_GoBack"/>
      <w:bookmarkEnd w:id="0"/>
    </w:p>
    <w:p w:rsidR="00240540" w:rsidRPr="00F303A7" w:rsidRDefault="00240540" w:rsidP="00240540">
      <w:pPr>
        <w:jc w:val="right"/>
        <w:rPr>
          <w:szCs w:val="23"/>
        </w:rPr>
      </w:pPr>
      <w:r>
        <w:rPr>
          <w:szCs w:val="23"/>
        </w:rPr>
        <w:t xml:space="preserve">Warszawa, </w:t>
      </w:r>
      <w:r w:rsidR="00A562F5">
        <w:rPr>
          <w:szCs w:val="23"/>
        </w:rPr>
        <w:t>08</w:t>
      </w:r>
      <w:r w:rsidR="00FA3094">
        <w:rPr>
          <w:szCs w:val="23"/>
        </w:rPr>
        <w:t xml:space="preserve"> </w:t>
      </w:r>
      <w:r w:rsidR="00A4349B">
        <w:rPr>
          <w:szCs w:val="23"/>
        </w:rPr>
        <w:t>sierpnia</w:t>
      </w:r>
      <w:r>
        <w:rPr>
          <w:szCs w:val="23"/>
        </w:rPr>
        <w:t xml:space="preserve"> </w:t>
      </w:r>
      <w:r w:rsidR="003824C7">
        <w:rPr>
          <w:szCs w:val="23"/>
        </w:rPr>
        <w:t>2019</w:t>
      </w:r>
      <w:r w:rsidRPr="00F303A7">
        <w:rPr>
          <w:szCs w:val="23"/>
        </w:rPr>
        <w:t xml:space="preserve"> r.</w:t>
      </w:r>
    </w:p>
    <w:p w:rsidR="00240540" w:rsidRPr="00F303A7" w:rsidRDefault="00240540" w:rsidP="00240540">
      <w:pPr>
        <w:spacing w:after="120"/>
        <w:rPr>
          <w:rFonts w:cs="Arial"/>
          <w:i/>
          <w:szCs w:val="23"/>
        </w:rPr>
      </w:pPr>
      <w:r w:rsidRPr="00F303A7">
        <w:rPr>
          <w:rFonts w:cs="Arial"/>
          <w:i/>
          <w:szCs w:val="23"/>
        </w:rPr>
        <w:t xml:space="preserve"> </w:t>
      </w:r>
    </w:p>
    <w:p w:rsidR="002E0ECB" w:rsidRDefault="002E0ECB" w:rsidP="00240540">
      <w:pPr>
        <w:rPr>
          <w:b/>
          <w:sz w:val="28"/>
          <w:szCs w:val="28"/>
        </w:rPr>
      </w:pPr>
    </w:p>
    <w:p w:rsidR="002E0ECB" w:rsidRDefault="002E0ECB" w:rsidP="00240540">
      <w:pPr>
        <w:rPr>
          <w:b/>
          <w:sz w:val="36"/>
          <w:szCs w:val="28"/>
        </w:rPr>
      </w:pPr>
    </w:p>
    <w:p w:rsidR="003824C7" w:rsidRPr="00DD6D0D" w:rsidRDefault="002E0ECB" w:rsidP="00240540">
      <w:pPr>
        <w:rPr>
          <w:b/>
          <w:sz w:val="28"/>
          <w:szCs w:val="28"/>
        </w:rPr>
      </w:pPr>
      <w:r w:rsidRPr="00DD6D0D">
        <w:rPr>
          <w:b/>
          <w:sz w:val="28"/>
          <w:szCs w:val="28"/>
        </w:rPr>
        <w:t xml:space="preserve">Co z naszą moralnością finansową? </w:t>
      </w:r>
      <w:r w:rsidR="003824C7" w:rsidRPr="00DD6D0D">
        <w:rPr>
          <w:b/>
          <w:sz w:val="28"/>
          <w:szCs w:val="28"/>
        </w:rPr>
        <w:t>W pomyłce kasjera co trzeci Polak widzi szanse na łatwy zarobek</w:t>
      </w:r>
    </w:p>
    <w:p w:rsidR="002E0ECB" w:rsidRPr="00F07FDD" w:rsidRDefault="002E0ECB" w:rsidP="00240540">
      <w:pPr>
        <w:rPr>
          <w:b/>
          <w:szCs w:val="23"/>
        </w:rPr>
      </w:pPr>
    </w:p>
    <w:p w:rsidR="00240540" w:rsidRDefault="00672AC2" w:rsidP="00FA3094">
      <w:pPr>
        <w:jc w:val="both"/>
        <w:rPr>
          <w:b/>
          <w:szCs w:val="23"/>
        </w:rPr>
      </w:pPr>
      <w:r>
        <w:rPr>
          <w:b/>
          <w:szCs w:val="23"/>
        </w:rPr>
        <w:t xml:space="preserve">Moralność finansowa Polaków </w:t>
      </w:r>
      <w:r w:rsidR="008D7A8E">
        <w:rPr>
          <w:b/>
          <w:szCs w:val="23"/>
        </w:rPr>
        <w:t>pozostawia wiele do życzenia</w:t>
      </w:r>
      <w:r w:rsidR="00DD6D0D">
        <w:rPr>
          <w:b/>
          <w:szCs w:val="23"/>
        </w:rPr>
        <w:t>. Widać t</w:t>
      </w:r>
      <w:r>
        <w:rPr>
          <w:b/>
          <w:szCs w:val="23"/>
        </w:rPr>
        <w:t xml:space="preserve">o na przykładzie </w:t>
      </w:r>
      <w:r w:rsidR="000E375C">
        <w:rPr>
          <w:b/>
          <w:szCs w:val="23"/>
        </w:rPr>
        <w:t xml:space="preserve">przyzwolenia na </w:t>
      </w:r>
      <w:r>
        <w:rPr>
          <w:b/>
          <w:szCs w:val="23"/>
        </w:rPr>
        <w:t>wykorzystani</w:t>
      </w:r>
      <w:r w:rsidR="008D7A8E">
        <w:rPr>
          <w:b/>
          <w:szCs w:val="23"/>
        </w:rPr>
        <w:t>e</w:t>
      </w:r>
      <w:r>
        <w:rPr>
          <w:b/>
          <w:szCs w:val="23"/>
        </w:rPr>
        <w:t xml:space="preserve"> błędu sprzedawcy, który wydał za dużą resztę. </w:t>
      </w:r>
      <w:r w:rsidR="00523A7F">
        <w:rPr>
          <w:b/>
          <w:szCs w:val="23"/>
        </w:rPr>
        <w:t xml:space="preserve">Jak wynika z badania </w:t>
      </w:r>
      <w:r w:rsidR="00240540" w:rsidRPr="00240540">
        <w:rPr>
          <w:b/>
          <w:szCs w:val="23"/>
        </w:rPr>
        <w:t>„Moralność Finansowa Polaków”</w:t>
      </w:r>
      <w:r w:rsidR="0026188A">
        <w:rPr>
          <w:b/>
          <w:szCs w:val="23"/>
        </w:rPr>
        <w:t>,</w:t>
      </w:r>
      <w:r w:rsidR="00240540" w:rsidRPr="00240540">
        <w:rPr>
          <w:b/>
          <w:szCs w:val="23"/>
        </w:rPr>
        <w:t xml:space="preserve"> wykonanego na zlecenie K</w:t>
      </w:r>
      <w:r w:rsidR="009932BF">
        <w:rPr>
          <w:b/>
          <w:szCs w:val="23"/>
        </w:rPr>
        <w:t>PF</w:t>
      </w:r>
      <w:r w:rsidR="0026188A">
        <w:rPr>
          <w:b/>
          <w:szCs w:val="23"/>
        </w:rPr>
        <w:t>,</w:t>
      </w:r>
      <w:r w:rsidR="00240540" w:rsidRPr="00240540">
        <w:rPr>
          <w:b/>
          <w:szCs w:val="23"/>
        </w:rPr>
        <w:t xml:space="preserve"> w par</w:t>
      </w:r>
      <w:r w:rsidR="00FA3094">
        <w:rPr>
          <w:b/>
          <w:szCs w:val="23"/>
        </w:rPr>
        <w:t xml:space="preserve">tnerstwie z </w:t>
      </w:r>
      <w:r w:rsidR="00240540" w:rsidRPr="00240540">
        <w:rPr>
          <w:b/>
          <w:szCs w:val="23"/>
        </w:rPr>
        <w:t>BIG InfoMonitor</w:t>
      </w:r>
      <w:r w:rsidR="008D7A8E">
        <w:rPr>
          <w:b/>
          <w:szCs w:val="23"/>
        </w:rPr>
        <w:t>,</w:t>
      </w:r>
      <w:r w:rsidR="00EE4954">
        <w:rPr>
          <w:b/>
          <w:szCs w:val="23"/>
        </w:rPr>
        <w:t xml:space="preserve"> </w:t>
      </w:r>
      <w:r w:rsidR="00107EC4">
        <w:rPr>
          <w:b/>
          <w:szCs w:val="23"/>
        </w:rPr>
        <w:t>takiej okazji do łatwego zarob</w:t>
      </w:r>
      <w:r w:rsidR="008D7A8E">
        <w:rPr>
          <w:b/>
          <w:szCs w:val="23"/>
        </w:rPr>
        <w:t>ku</w:t>
      </w:r>
      <w:r>
        <w:rPr>
          <w:b/>
          <w:szCs w:val="23"/>
        </w:rPr>
        <w:t xml:space="preserve"> nie potępia blisko jedna trzecia badanych. Oznacza to, że na przestrzeni zaledwie kilku</w:t>
      </w:r>
      <w:r w:rsidR="00945118">
        <w:rPr>
          <w:b/>
          <w:szCs w:val="23"/>
        </w:rPr>
        <w:t xml:space="preserve"> lat odsetek osób przymykających oko w takiej sytuacji </w:t>
      </w:r>
      <w:r>
        <w:rPr>
          <w:b/>
          <w:szCs w:val="23"/>
        </w:rPr>
        <w:t xml:space="preserve">wzrósł </w:t>
      </w:r>
      <w:r w:rsidR="000E375C">
        <w:rPr>
          <w:b/>
          <w:szCs w:val="23"/>
        </w:rPr>
        <w:t>o ponad</w:t>
      </w:r>
      <w:r w:rsidR="00EE4954">
        <w:rPr>
          <w:b/>
          <w:szCs w:val="23"/>
        </w:rPr>
        <w:t xml:space="preserve"> </w:t>
      </w:r>
      <w:r w:rsidR="000E375C">
        <w:rPr>
          <w:b/>
          <w:szCs w:val="23"/>
        </w:rPr>
        <w:t xml:space="preserve">12 </w:t>
      </w:r>
      <w:proofErr w:type="spellStart"/>
      <w:r>
        <w:rPr>
          <w:b/>
          <w:szCs w:val="23"/>
        </w:rPr>
        <w:t>p.p</w:t>
      </w:r>
      <w:proofErr w:type="spellEnd"/>
      <w:r>
        <w:rPr>
          <w:b/>
          <w:szCs w:val="23"/>
        </w:rPr>
        <w:t>.</w:t>
      </w:r>
      <w:r w:rsidR="00341CD5">
        <w:rPr>
          <w:b/>
          <w:szCs w:val="23"/>
        </w:rPr>
        <w:t xml:space="preserve"> Kto jest najbardziej podatny</w:t>
      </w:r>
      <w:r w:rsidR="00926C01">
        <w:rPr>
          <w:b/>
          <w:szCs w:val="23"/>
        </w:rPr>
        <w:t xml:space="preserve"> na </w:t>
      </w:r>
      <w:r w:rsidR="00945118">
        <w:rPr>
          <w:b/>
          <w:szCs w:val="23"/>
        </w:rPr>
        <w:t xml:space="preserve">takie </w:t>
      </w:r>
      <w:r w:rsidR="00926C01">
        <w:rPr>
          <w:b/>
          <w:szCs w:val="23"/>
        </w:rPr>
        <w:t>zachowania</w:t>
      </w:r>
      <w:r w:rsidR="00341CD5">
        <w:rPr>
          <w:b/>
          <w:szCs w:val="23"/>
        </w:rPr>
        <w:t xml:space="preserve">? Statystycznie </w:t>
      </w:r>
      <w:r w:rsidR="00926C01">
        <w:rPr>
          <w:b/>
          <w:szCs w:val="23"/>
        </w:rPr>
        <w:t>naj</w:t>
      </w:r>
      <w:r w:rsidR="00341CD5">
        <w:rPr>
          <w:b/>
          <w:szCs w:val="23"/>
        </w:rPr>
        <w:t xml:space="preserve">częściej będzie to młody mężczyzna z </w:t>
      </w:r>
      <w:r w:rsidR="0058483A">
        <w:rPr>
          <w:b/>
          <w:szCs w:val="23"/>
        </w:rPr>
        <w:t>małej</w:t>
      </w:r>
      <w:r w:rsidR="00341CD5">
        <w:rPr>
          <w:b/>
          <w:szCs w:val="23"/>
        </w:rPr>
        <w:t xml:space="preserve"> miejscowości.</w:t>
      </w:r>
    </w:p>
    <w:p w:rsidR="00EC38C9" w:rsidRDefault="00EC38C9" w:rsidP="00240540"/>
    <w:p w:rsidR="0071095E" w:rsidRDefault="00B87EB7" w:rsidP="0071095E">
      <w:pPr>
        <w:spacing w:line="276" w:lineRule="auto"/>
        <w:jc w:val="both"/>
      </w:pPr>
      <w:r>
        <w:t>Dla blisko jednej trzeciej Polaków o</w:t>
      </w:r>
      <w:r w:rsidR="00DA5646">
        <w:t xml:space="preserve">dpowiedź na pytanie: </w:t>
      </w:r>
      <w:r w:rsidR="006A6C55">
        <w:t>c</w:t>
      </w:r>
      <w:r w:rsidR="00DA5646" w:rsidRPr="00F243CC">
        <w:t xml:space="preserve">zy można usprawiedliwić, gdy </w:t>
      </w:r>
      <w:r w:rsidR="00DA5646">
        <w:t>„</w:t>
      </w:r>
      <w:r w:rsidR="00926C01">
        <w:t>k</w:t>
      </w:r>
      <w:r w:rsidR="00DA5646" w:rsidRPr="00F243CC">
        <w:t>toś nie zwraca uwagi kasjerowi, który pomylił się na własną niekorzyść?</w:t>
      </w:r>
      <w:r w:rsidR="00DA5646">
        <w:t xml:space="preserve">” </w:t>
      </w:r>
      <w:r w:rsidR="006A6C55">
        <w:t>brzmi „tak”</w:t>
      </w:r>
      <w:r w:rsidR="00DA5646">
        <w:t>. Oznacza to, że w oczach 32 proc.</w:t>
      </w:r>
      <w:r>
        <w:t xml:space="preserve"> </w:t>
      </w:r>
      <w:r w:rsidR="0058483A">
        <w:t>nie ma niczego złego w wykorzystaniu cudzej nieuwagi</w:t>
      </w:r>
      <w:r w:rsidR="00F07FDD">
        <w:t xml:space="preserve">. </w:t>
      </w:r>
      <w:r w:rsidR="00DA5646">
        <w:t>Według ankietowanych w badaniu</w:t>
      </w:r>
      <w:r w:rsidR="009F5F42">
        <w:t xml:space="preserve"> „Moralność finansowa Polaków” </w:t>
      </w:r>
      <w:r w:rsidR="00DA5646">
        <w:t>wykonanym na zlecenie Konferencji Przedsiębiorstw Finansowych w Polsce, we współpracy z Instytutem Filozofii i Socjologii PAN oraz w partnerstwie z BIG InfoMonitor, takie zachowanie można usprawiedliwić</w:t>
      </w:r>
      <w:r w:rsidR="000E375C">
        <w:t>:</w:t>
      </w:r>
      <w:r w:rsidR="00DA5646">
        <w:t xml:space="preserve"> zawsze – 3,6 proc., często – 7,8 proc., czasem </w:t>
      </w:r>
      <w:r w:rsidR="00341CD5">
        <w:t xml:space="preserve">– </w:t>
      </w:r>
      <w:r w:rsidR="00DA5646">
        <w:t>20,6</w:t>
      </w:r>
      <w:r>
        <w:t xml:space="preserve"> proc. </w:t>
      </w:r>
    </w:p>
    <w:p w:rsidR="00F4298F" w:rsidRDefault="00F4298F" w:rsidP="0071095E">
      <w:pPr>
        <w:spacing w:line="276" w:lineRule="auto"/>
        <w:jc w:val="both"/>
      </w:pPr>
    </w:p>
    <w:p w:rsidR="00F4298F" w:rsidRDefault="00F4298F" w:rsidP="00F4298F">
      <w:pPr>
        <w:spacing w:line="276" w:lineRule="auto"/>
        <w:jc w:val="both"/>
      </w:pPr>
      <w:r w:rsidRPr="00F4298F">
        <w:t xml:space="preserve">Wśród osób usprawiedliwiających (czasem, często lub zawsze), gdy ktoś nie zwraca uwagi </w:t>
      </w:r>
      <w:r>
        <w:t>sprzedawcy</w:t>
      </w:r>
      <w:r w:rsidRPr="00F4298F">
        <w:t>, który po</w:t>
      </w:r>
      <w:r>
        <w:t xml:space="preserve">mylił się na własną niekorzyść </w:t>
      </w:r>
      <w:r w:rsidRPr="00F4298F">
        <w:t xml:space="preserve">blisko dwie trzecie </w:t>
      </w:r>
      <w:r>
        <w:t xml:space="preserve">(65,3 proc.) </w:t>
      </w:r>
      <w:r w:rsidRPr="00F4298F">
        <w:t>uważa, że na rynku trzeba</w:t>
      </w:r>
      <w:r>
        <w:t xml:space="preserve"> ponosić skutki własnych błędów. Innymi słowy </w:t>
      </w:r>
      <w:r w:rsidRPr="00F4298F">
        <w:t>należy wykorzystać okazję, która zaistniała w trakcie wymiany rynkowej, ponieważ druga strona transakcji powinna cechować się profesjonalizmem i ponosić konse</w:t>
      </w:r>
      <w:r>
        <w:t>kwencje swoich błędów. Ponad 23 proc.</w:t>
      </w:r>
      <w:r w:rsidRPr="00F4298F">
        <w:t xml:space="preserve"> tych osób wskazuje na korzyść, którą może przynieść ta</w:t>
      </w:r>
      <w:r>
        <w:t>kie zachowanie i nieco ponad 11 proc.</w:t>
      </w:r>
      <w:r w:rsidRPr="00F4298F">
        <w:t xml:space="preserve"> deklaruje przyzwolenie na nie ze strony otoczenia.</w:t>
      </w:r>
    </w:p>
    <w:p w:rsidR="0071095E" w:rsidRDefault="0071095E" w:rsidP="0071095E">
      <w:pPr>
        <w:spacing w:line="276" w:lineRule="auto"/>
        <w:jc w:val="both"/>
      </w:pPr>
    </w:p>
    <w:p w:rsidR="00DA5646" w:rsidRDefault="0071095E" w:rsidP="00D00D7B">
      <w:pPr>
        <w:spacing w:line="276" w:lineRule="auto"/>
        <w:jc w:val="both"/>
      </w:pPr>
      <w:r>
        <w:t xml:space="preserve">Wprawdzie większość z nas (68 proc.) </w:t>
      </w:r>
      <w:r w:rsidR="00672AC2">
        <w:t xml:space="preserve">nie znajduje </w:t>
      </w:r>
      <w:r>
        <w:t>usprawied</w:t>
      </w:r>
      <w:r w:rsidR="00672AC2">
        <w:t>liwienia dla</w:t>
      </w:r>
      <w:r>
        <w:t xml:space="preserve"> wykorzystania pomyłki</w:t>
      </w:r>
      <w:r w:rsidR="00107EC4">
        <w:t xml:space="preserve"> ekspedienta</w:t>
      </w:r>
      <w:r>
        <w:t>, n</w:t>
      </w:r>
      <w:r w:rsidR="00B87EB7">
        <w:t xml:space="preserve">ie oznacza to jednak, </w:t>
      </w:r>
      <w:r w:rsidR="00DA5646">
        <w:t>że</w:t>
      </w:r>
      <w:r w:rsidR="00B87EB7">
        <w:t xml:space="preserve"> </w:t>
      </w:r>
      <w:r>
        <w:t xml:space="preserve">mamy powody do zadowolenia. </w:t>
      </w:r>
      <w:r w:rsidR="00B87EB7">
        <w:t>W</w:t>
      </w:r>
      <w:r w:rsidR="00DA5646">
        <w:t xml:space="preserve"> porównaniu do </w:t>
      </w:r>
      <w:r w:rsidR="00DD6D0D">
        <w:t>wyników</w:t>
      </w:r>
      <w:r w:rsidR="00DA5646">
        <w:t xml:space="preserve"> badania</w:t>
      </w:r>
      <w:r w:rsidR="00DD6D0D">
        <w:t xml:space="preserve"> z 2016 roku (sprzed 3 lat),</w:t>
      </w:r>
      <w:r w:rsidR="00DA5646">
        <w:t xml:space="preserve"> odsetek osób akceptujących „skorzystanie z okazji”</w:t>
      </w:r>
      <w:r w:rsidR="00676C34">
        <w:t xml:space="preserve"> </w:t>
      </w:r>
      <w:r>
        <w:t>wzrósł</w:t>
      </w:r>
      <w:r w:rsidR="00DA5646">
        <w:t xml:space="preserve"> o 12,6 </w:t>
      </w:r>
      <w:proofErr w:type="spellStart"/>
      <w:r w:rsidR="00DA5646">
        <w:t>p.p</w:t>
      </w:r>
      <w:proofErr w:type="spellEnd"/>
      <w:r w:rsidR="00DA5646">
        <w:t xml:space="preserve">. </w:t>
      </w:r>
      <w:r>
        <w:t>Najwięcej przybyło tych, którzy czasem zezwalają na wykorzystanie błędu kasj</w:t>
      </w:r>
      <w:r w:rsidR="00B229BE">
        <w:t xml:space="preserve">era – aż o 8,8 </w:t>
      </w:r>
      <w:proofErr w:type="spellStart"/>
      <w:r w:rsidR="00B229BE">
        <w:t>p.p</w:t>
      </w:r>
      <w:proofErr w:type="spellEnd"/>
      <w:r w:rsidR="00B229BE">
        <w:t>. Również ci</w:t>
      </w:r>
      <w:r>
        <w:t>, którzy często dają na to przyzwolenie</w:t>
      </w:r>
      <w:r w:rsidR="00D3441D">
        <w:t>,</w:t>
      </w:r>
      <w:r>
        <w:t xml:space="preserve"> są liczniejsi o 5 </w:t>
      </w:r>
      <w:proofErr w:type="spellStart"/>
      <w:r>
        <w:t>p.p</w:t>
      </w:r>
      <w:proofErr w:type="spellEnd"/>
      <w:r>
        <w:t xml:space="preserve">. </w:t>
      </w:r>
    </w:p>
    <w:p w:rsidR="00DD6D0D" w:rsidRDefault="00DD6D0D" w:rsidP="00D00D7B">
      <w:pPr>
        <w:spacing w:line="276" w:lineRule="auto"/>
        <w:jc w:val="both"/>
      </w:pPr>
    </w:p>
    <w:p w:rsidR="00DA5646" w:rsidRDefault="00F4298F" w:rsidP="00DA5646">
      <w:pPr>
        <w:jc w:val="both"/>
      </w:pPr>
      <w:r>
        <w:rPr>
          <w:noProof/>
        </w:rPr>
        <w:lastRenderedPageBreak/>
        <w:drawing>
          <wp:inline distT="0" distB="0" distL="0" distR="0" wp14:anchorId="48923A7F" wp14:editId="2CDAF8FF">
            <wp:extent cx="5917721" cy="2260121"/>
            <wp:effectExtent l="0" t="0" r="26035" b="2603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4A96" w:rsidRPr="000455AB" w:rsidRDefault="00B44A96" w:rsidP="00B44A96">
      <w:pPr>
        <w:rPr>
          <w:i/>
          <w:sz w:val="18"/>
          <w:szCs w:val="18"/>
        </w:rPr>
      </w:pPr>
      <w:r w:rsidRPr="00371487">
        <w:rPr>
          <w:i/>
          <w:sz w:val="18"/>
          <w:szCs w:val="18"/>
        </w:rPr>
        <w:t>Źródło: Badanie na zlecenie KPF, w partnerstwie z BIG InfoMonitor</w:t>
      </w:r>
    </w:p>
    <w:p w:rsidR="00DA5646" w:rsidRDefault="00DA5646" w:rsidP="00240540"/>
    <w:p w:rsidR="0039518D" w:rsidRPr="00F07FDD" w:rsidRDefault="0039518D" w:rsidP="00095187">
      <w:pPr>
        <w:jc w:val="both"/>
        <w:rPr>
          <w:b/>
          <w:szCs w:val="23"/>
        </w:rPr>
      </w:pPr>
    </w:p>
    <w:p w:rsidR="00700F4E" w:rsidRPr="0039518D" w:rsidRDefault="0047461D" w:rsidP="00095187">
      <w:pPr>
        <w:jc w:val="both"/>
        <w:rPr>
          <w:b/>
          <w:sz w:val="28"/>
        </w:rPr>
      </w:pPr>
      <w:r>
        <w:rPr>
          <w:b/>
          <w:sz w:val="28"/>
        </w:rPr>
        <w:t>Wiek, płeć, zamieszkanie, a może wykształcenie - p</w:t>
      </w:r>
      <w:r w:rsidR="0039518D" w:rsidRPr="0039518D">
        <w:rPr>
          <w:b/>
          <w:sz w:val="28"/>
        </w:rPr>
        <w:t>ozytywne i</w:t>
      </w:r>
      <w:r w:rsidR="00635DB3">
        <w:rPr>
          <w:b/>
          <w:sz w:val="28"/>
        </w:rPr>
        <w:t xml:space="preserve"> negatywne postawy moralne zależą od </w:t>
      </w:r>
      <w:r w:rsidR="00700F4E">
        <w:rPr>
          <w:b/>
          <w:sz w:val="28"/>
        </w:rPr>
        <w:t>różnych czynników</w:t>
      </w:r>
    </w:p>
    <w:p w:rsidR="00095187" w:rsidRDefault="00095187" w:rsidP="00095187">
      <w:pPr>
        <w:jc w:val="both"/>
      </w:pPr>
    </w:p>
    <w:p w:rsidR="00EE4954" w:rsidRDefault="00116D3F" w:rsidP="00116D3F">
      <w:pPr>
        <w:spacing w:line="276" w:lineRule="auto"/>
        <w:jc w:val="both"/>
      </w:pPr>
      <w:r>
        <w:t xml:space="preserve">Po kim można spodziewać się, że </w:t>
      </w:r>
      <w:r w:rsidR="00F07FDD">
        <w:t xml:space="preserve">da milczącą zgodę </w:t>
      </w:r>
      <w:r w:rsidR="0030449C">
        <w:t>na sięgnięcie</w:t>
      </w:r>
      <w:r w:rsidR="00EE4954">
        <w:t xml:space="preserve"> po resztę, którą w nadmiarze wydał sprzedawca? Statystycznie większa szansa jest, że będzie to młody mężczyzna z mniejszej miejscowości. </w:t>
      </w:r>
      <w:r w:rsidR="00B10092">
        <w:t xml:space="preserve">Największe przyzwolenie na niemoralne zachowanie jest </w:t>
      </w:r>
      <w:r w:rsidR="00EE4954">
        <w:t xml:space="preserve">właśnie </w:t>
      </w:r>
      <w:r w:rsidR="00B10092">
        <w:t>w</w:t>
      </w:r>
      <w:r w:rsidR="0058483A">
        <w:t>śród osób w</w:t>
      </w:r>
      <w:r w:rsidR="00D56DAA">
        <w:t xml:space="preserve"> </w:t>
      </w:r>
      <w:r w:rsidR="001702C5">
        <w:t>wieku</w:t>
      </w:r>
      <w:r w:rsidR="0030449C">
        <w:t xml:space="preserve"> 18-29 lat i dotyczy b</w:t>
      </w:r>
      <w:r w:rsidR="00B10092">
        <w:t>lisko</w:t>
      </w:r>
      <w:r w:rsidR="0030449C">
        <w:t xml:space="preserve"> połowy</w:t>
      </w:r>
      <w:r w:rsidR="00F07FDD">
        <w:t xml:space="preserve"> badanych </w:t>
      </w:r>
      <w:r w:rsidR="001702C5">
        <w:t>(45,8 proc.)</w:t>
      </w:r>
      <w:r w:rsidR="00B10092">
        <w:t>. Co nie powinno dziwić, największą uczciw</w:t>
      </w:r>
      <w:r w:rsidR="00341CD5">
        <w:t>ością wykazują się osoby 50</w:t>
      </w:r>
      <w:r>
        <w:t>+</w:t>
      </w:r>
      <w:r w:rsidR="00B10092">
        <w:t xml:space="preserve">. </w:t>
      </w:r>
      <w:r w:rsidR="001702C5">
        <w:t xml:space="preserve">Około </w:t>
      </w:r>
      <w:r w:rsidR="00B10092">
        <w:t xml:space="preserve">80 proc. </w:t>
      </w:r>
      <w:r w:rsidR="001702C5">
        <w:t xml:space="preserve">z nich </w:t>
      </w:r>
      <w:r w:rsidR="00B10092">
        <w:t>jest zd</w:t>
      </w:r>
      <w:r w:rsidR="00F07FDD">
        <w:t>ania, że pomyłkę należałoby</w:t>
      </w:r>
      <w:r w:rsidR="00B10092">
        <w:t xml:space="preserve"> </w:t>
      </w:r>
      <w:r w:rsidR="00E541D3">
        <w:t xml:space="preserve">raczej </w:t>
      </w:r>
      <w:r w:rsidR="00B10092">
        <w:t>wyjaśnić.</w:t>
      </w:r>
      <w:r w:rsidR="002C7728">
        <w:t xml:space="preserve"> Nie bez znaczenia jest też płeć. Kobiety są bardziej kategor</w:t>
      </w:r>
      <w:r w:rsidR="0030449C">
        <w:t>yczne niż mężczyźni i</w:t>
      </w:r>
      <w:r w:rsidR="002C7728">
        <w:t xml:space="preserve"> </w:t>
      </w:r>
      <w:r w:rsidR="00926C01">
        <w:t xml:space="preserve">wśród nich o </w:t>
      </w:r>
      <w:r w:rsidR="0030449C">
        <w:t xml:space="preserve">8 </w:t>
      </w:r>
      <w:proofErr w:type="spellStart"/>
      <w:r w:rsidR="0030449C">
        <w:t>p.p</w:t>
      </w:r>
      <w:proofErr w:type="spellEnd"/>
      <w:r w:rsidR="0030449C">
        <w:t xml:space="preserve">. </w:t>
      </w:r>
      <w:r w:rsidR="002C7728">
        <w:t xml:space="preserve">więcej </w:t>
      </w:r>
      <w:r w:rsidR="00926C01">
        <w:t xml:space="preserve">jest tych, które </w:t>
      </w:r>
      <w:r w:rsidR="002C7728">
        <w:t xml:space="preserve">nigdy </w:t>
      </w:r>
      <w:r w:rsidR="00090DF0">
        <w:t xml:space="preserve">nie </w:t>
      </w:r>
      <w:r w:rsidR="0030449C">
        <w:t xml:space="preserve">dałoby aprobaty dla nieuczciwego </w:t>
      </w:r>
      <w:r w:rsidR="001602B7">
        <w:t>zachowania.</w:t>
      </w:r>
    </w:p>
    <w:p w:rsidR="001602B7" w:rsidRDefault="001602B7" w:rsidP="00116D3F">
      <w:pPr>
        <w:spacing w:line="276" w:lineRule="auto"/>
        <w:jc w:val="both"/>
      </w:pPr>
    </w:p>
    <w:p w:rsidR="00D15EB4" w:rsidRDefault="00F07FDD" w:rsidP="00116D3F">
      <w:pPr>
        <w:spacing w:line="276" w:lineRule="auto"/>
        <w:jc w:val="both"/>
      </w:pPr>
      <w:r>
        <w:t>Najbardziej zasadnicze</w:t>
      </w:r>
      <w:r w:rsidR="00E541D3">
        <w:t xml:space="preserve"> w byciu fair</w:t>
      </w:r>
      <w:r w:rsidR="001602B7">
        <w:t xml:space="preserve"> wobec </w:t>
      </w:r>
      <w:r w:rsidR="005E5549">
        <w:t>ekspedienta</w:t>
      </w:r>
      <w:r w:rsidR="001602B7">
        <w:t xml:space="preserve"> (na poziomie 74,7 proc.) są osoby z miejscowości o liczbie 20 – 100 tys. mieszkańców. Z kolei w miejscowościach do 20 tys. ten odsetek jest najmniejszy i wynosi 64,9 proc. Ten wynik nie odstaje jednak znacząco od średniej 68 proc.</w:t>
      </w:r>
      <w:r w:rsidR="00945118">
        <w:t xml:space="preserve"> Większą wagę</w:t>
      </w:r>
      <w:r w:rsidR="00C05C4F">
        <w:t xml:space="preserve"> ma za to poziom edukacji. </w:t>
      </w:r>
      <w:r w:rsidR="00022F56">
        <w:t xml:space="preserve">Zdecydowanie </w:t>
      </w:r>
      <w:r w:rsidR="00C05C4F">
        <w:t>częściej</w:t>
      </w:r>
      <w:r w:rsidR="00022F56">
        <w:t xml:space="preserve"> </w:t>
      </w:r>
      <w:r w:rsidR="001602B7">
        <w:t>zrozumienie</w:t>
      </w:r>
      <w:r w:rsidR="005E5549">
        <w:t xml:space="preserve"> dla korzystających z błędu</w:t>
      </w:r>
      <w:r w:rsidR="00EE4954">
        <w:t xml:space="preserve"> </w:t>
      </w:r>
      <w:r w:rsidR="00C05C4F">
        <w:t xml:space="preserve">wykazują osoby </w:t>
      </w:r>
      <w:r w:rsidR="00926C01">
        <w:t xml:space="preserve">z </w:t>
      </w:r>
      <w:r w:rsidR="00022F56">
        <w:t>wykształcenie</w:t>
      </w:r>
      <w:r w:rsidR="00926C01">
        <w:t>m</w:t>
      </w:r>
      <w:r w:rsidR="00022F56">
        <w:t xml:space="preserve"> podstawow</w:t>
      </w:r>
      <w:r w:rsidR="00926C01">
        <w:t>ym</w:t>
      </w:r>
      <w:r w:rsidR="00DD6D0D">
        <w:t>/</w:t>
      </w:r>
      <w:r w:rsidR="00022F56">
        <w:t>gim</w:t>
      </w:r>
      <w:r w:rsidR="002C7728">
        <w:t>nazjaln</w:t>
      </w:r>
      <w:r w:rsidR="00926C01">
        <w:t>ym</w:t>
      </w:r>
      <w:r w:rsidR="002C7728">
        <w:t>. Różnica w stosunku</w:t>
      </w:r>
      <w:r w:rsidR="00E20CF4">
        <w:t xml:space="preserve"> </w:t>
      </w:r>
      <w:r w:rsidR="00926C01">
        <w:t xml:space="preserve">do </w:t>
      </w:r>
      <w:r w:rsidR="00E20CF4">
        <w:t>grupy z wyższym wykształceniem</w:t>
      </w:r>
      <w:r w:rsidR="001602B7">
        <w:t xml:space="preserve"> </w:t>
      </w:r>
      <w:r w:rsidR="001702C5">
        <w:t>to</w:t>
      </w:r>
      <w:r w:rsidR="00E20CF4">
        <w:t xml:space="preserve"> </w:t>
      </w:r>
      <w:r w:rsidR="001602B7">
        <w:t xml:space="preserve">aż </w:t>
      </w:r>
      <w:r w:rsidR="00E20CF4">
        <w:t xml:space="preserve">15 </w:t>
      </w:r>
      <w:proofErr w:type="spellStart"/>
      <w:r w:rsidR="00E20CF4">
        <w:t>p.p</w:t>
      </w:r>
      <w:proofErr w:type="spellEnd"/>
      <w:r w:rsidR="00E20CF4">
        <w:t xml:space="preserve">. </w:t>
      </w:r>
      <w:r w:rsidR="00D15EB4">
        <w:t xml:space="preserve">Wiele zależy także od rozporządzanego dochodu </w:t>
      </w:r>
      <w:r w:rsidR="00D15EB4" w:rsidRPr="00D15EB4">
        <w:t>na członka gospodarstwa domowego</w:t>
      </w:r>
      <w:r w:rsidR="00D15EB4">
        <w:t xml:space="preserve">. Co ciekawe </w:t>
      </w:r>
      <w:r w:rsidR="0030449C">
        <w:t xml:space="preserve">najbardziej pobłażliwi są </w:t>
      </w:r>
      <w:r w:rsidR="002C7728">
        <w:t xml:space="preserve">najbogatsi. </w:t>
      </w:r>
      <w:r w:rsidR="00E541D3">
        <w:t>Przy wyborach moralnych</w:t>
      </w:r>
      <w:r w:rsidR="001702C5">
        <w:t xml:space="preserve"> wykształcenie nie idzie więc </w:t>
      </w:r>
      <w:r w:rsidR="002C7728">
        <w:t xml:space="preserve">w parze z zarobkami. </w:t>
      </w:r>
    </w:p>
    <w:p w:rsidR="00F07FDD" w:rsidRPr="00F07FDD" w:rsidRDefault="00F07FDD" w:rsidP="00FA3094">
      <w:pPr>
        <w:jc w:val="both"/>
        <w:rPr>
          <w:b/>
          <w:szCs w:val="23"/>
        </w:rPr>
      </w:pPr>
    </w:p>
    <w:p w:rsidR="00771086" w:rsidRDefault="00700F4E" w:rsidP="00635DB3">
      <w:pPr>
        <w:spacing w:line="276" w:lineRule="auto"/>
        <w:jc w:val="both"/>
      </w:pPr>
      <w:r>
        <w:t xml:space="preserve"> - </w:t>
      </w:r>
      <w:r w:rsidR="00E541D3" w:rsidRPr="00700F4E">
        <w:rPr>
          <w:i/>
        </w:rPr>
        <w:t>Dodatkowo znaczenie ma także rzetelność</w:t>
      </w:r>
      <w:r w:rsidR="00635DB3" w:rsidRPr="00700F4E">
        <w:rPr>
          <w:i/>
        </w:rPr>
        <w:t xml:space="preserve"> w spłacaniu długów. </w:t>
      </w:r>
      <w:r w:rsidR="00F07FDD" w:rsidRPr="00700F4E">
        <w:rPr>
          <w:i/>
        </w:rPr>
        <w:t>U</w:t>
      </w:r>
      <w:r w:rsidR="00635DB3" w:rsidRPr="00700F4E">
        <w:rPr>
          <w:i/>
        </w:rPr>
        <w:t xml:space="preserve">czciwością </w:t>
      </w:r>
      <w:r w:rsidR="005E5549" w:rsidRPr="00700F4E">
        <w:rPr>
          <w:i/>
        </w:rPr>
        <w:t xml:space="preserve">względem ekspedienta </w:t>
      </w:r>
      <w:r w:rsidR="00F07FDD" w:rsidRPr="00700F4E">
        <w:rPr>
          <w:i/>
        </w:rPr>
        <w:t>na poziomie 73,1 proc.</w:t>
      </w:r>
      <w:r w:rsidR="0058483A" w:rsidRPr="00700F4E">
        <w:rPr>
          <w:i/>
        </w:rPr>
        <w:t xml:space="preserve"> </w:t>
      </w:r>
      <w:r w:rsidR="00635DB3" w:rsidRPr="00700F4E">
        <w:rPr>
          <w:i/>
        </w:rPr>
        <w:t>wykazują się osoby, które nigdy nie posiadały zobowiąz</w:t>
      </w:r>
      <w:r w:rsidR="0058483A" w:rsidRPr="00700F4E">
        <w:rPr>
          <w:i/>
        </w:rPr>
        <w:t>ań wobec instytucji finansowej</w:t>
      </w:r>
      <w:r w:rsidR="00635DB3" w:rsidRPr="00700F4E">
        <w:rPr>
          <w:i/>
        </w:rPr>
        <w:t>. Z kolei w przypadku osób, które zaciągnęły kredyt i mają problem z jego spłatą</w:t>
      </w:r>
      <w:r w:rsidR="00090DF0" w:rsidRPr="00700F4E">
        <w:rPr>
          <w:i/>
        </w:rPr>
        <w:t>,</w:t>
      </w:r>
      <w:r w:rsidR="00635DB3" w:rsidRPr="00700F4E">
        <w:rPr>
          <w:i/>
        </w:rPr>
        <w:t xml:space="preserve"> ten odsetek wyraźnie spada do</w:t>
      </w:r>
      <w:r>
        <w:rPr>
          <w:i/>
        </w:rPr>
        <w:t xml:space="preserve"> 55,4 proc. </w:t>
      </w:r>
      <w:r w:rsidRPr="00700F4E">
        <w:t xml:space="preserve">- zwraca uwagę Sławomir Grzelczak, prezes BIG </w:t>
      </w:r>
      <w:proofErr w:type="spellStart"/>
      <w:r w:rsidRPr="00700F4E">
        <w:t>InfoMonior</w:t>
      </w:r>
      <w:proofErr w:type="spellEnd"/>
      <w:r>
        <w:t xml:space="preserve">.  - </w:t>
      </w:r>
      <w:r w:rsidR="00C05C4F" w:rsidRPr="00700F4E">
        <w:rPr>
          <w:i/>
        </w:rPr>
        <w:t>Okazuje się, że g</w:t>
      </w:r>
      <w:r w:rsidR="00AF3BC6" w:rsidRPr="00700F4E">
        <w:rPr>
          <w:i/>
        </w:rPr>
        <w:t>dy</w:t>
      </w:r>
      <w:r w:rsidR="00771086" w:rsidRPr="00700F4E">
        <w:rPr>
          <w:i/>
        </w:rPr>
        <w:t xml:space="preserve"> w grę wchodzą pieniądze</w:t>
      </w:r>
      <w:r w:rsidR="00D3441D" w:rsidRPr="00700F4E">
        <w:rPr>
          <w:i/>
        </w:rPr>
        <w:t>,</w:t>
      </w:r>
      <w:r w:rsidR="00771086" w:rsidRPr="00700F4E">
        <w:rPr>
          <w:i/>
        </w:rPr>
        <w:t xml:space="preserve"> </w:t>
      </w:r>
      <w:r w:rsidR="001602B7" w:rsidRPr="00700F4E">
        <w:rPr>
          <w:i/>
        </w:rPr>
        <w:t xml:space="preserve">codzienne </w:t>
      </w:r>
      <w:r w:rsidR="00771086" w:rsidRPr="00700F4E">
        <w:rPr>
          <w:i/>
        </w:rPr>
        <w:t>wybory</w:t>
      </w:r>
      <w:r w:rsidR="00E541D3" w:rsidRPr="00700F4E">
        <w:rPr>
          <w:i/>
        </w:rPr>
        <w:t xml:space="preserve"> dla wielu Polaków </w:t>
      </w:r>
      <w:r w:rsidR="00771086" w:rsidRPr="00700F4E">
        <w:rPr>
          <w:i/>
        </w:rPr>
        <w:t xml:space="preserve">stają się trudniejsze. Widać to na przykładzie kasjera, ale nie tylko. </w:t>
      </w:r>
      <w:r w:rsidR="00D3441D" w:rsidRPr="00700F4E">
        <w:rPr>
          <w:i/>
        </w:rPr>
        <w:t>W</w:t>
      </w:r>
      <w:r w:rsidR="00771086" w:rsidRPr="00700F4E">
        <w:rPr>
          <w:i/>
        </w:rPr>
        <w:t xml:space="preserve"> Rejestrze Dłużników BIG InfoMonitor oraz bazie Biura Informacji Kredytowej jest bardzo dużo osób,</w:t>
      </w:r>
      <w:r w:rsidR="00107EC4" w:rsidRPr="00700F4E">
        <w:rPr>
          <w:i/>
        </w:rPr>
        <w:t xml:space="preserve"> które mają problemy ze spłatą zadłużenia. </w:t>
      </w:r>
      <w:r w:rsidR="00771086" w:rsidRPr="00700F4E">
        <w:rPr>
          <w:i/>
        </w:rPr>
        <w:t xml:space="preserve">Tylko w pierwszym kwartale 2019 zaległości kredytowe i </w:t>
      </w:r>
      <w:proofErr w:type="spellStart"/>
      <w:r w:rsidR="00771086" w:rsidRPr="00700F4E">
        <w:rPr>
          <w:i/>
        </w:rPr>
        <w:t>pozakredytowe</w:t>
      </w:r>
      <w:proofErr w:type="spellEnd"/>
      <w:r w:rsidR="00771086" w:rsidRPr="00700F4E">
        <w:rPr>
          <w:i/>
        </w:rPr>
        <w:t xml:space="preserve"> Polaków wzrosły o ponad 2 mld zł, a liczba niesolidnych dłuż</w:t>
      </w:r>
      <w:r w:rsidR="008E503B" w:rsidRPr="00700F4E">
        <w:rPr>
          <w:i/>
        </w:rPr>
        <w:t>ników zwiększyła się o 21,5 tys.</w:t>
      </w:r>
      <w:r w:rsidR="008E503B">
        <w:t xml:space="preserve"> </w:t>
      </w:r>
      <w:r>
        <w:t>–</w:t>
      </w:r>
      <w:r w:rsidR="008E503B">
        <w:t xml:space="preserve"> </w:t>
      </w:r>
      <w:r>
        <w:t>dodaje.</w:t>
      </w:r>
    </w:p>
    <w:p w:rsidR="00771086" w:rsidRDefault="00771086" w:rsidP="00D3441D">
      <w:pPr>
        <w:spacing w:line="276" w:lineRule="auto"/>
        <w:jc w:val="both"/>
      </w:pPr>
    </w:p>
    <w:p w:rsidR="00D00D7B" w:rsidRPr="00700F4E" w:rsidRDefault="00D00D7B" w:rsidP="00D3441D">
      <w:pPr>
        <w:spacing w:line="276" w:lineRule="auto"/>
        <w:jc w:val="both"/>
      </w:pPr>
      <w:r w:rsidRPr="00700F4E">
        <w:t>Z osta</w:t>
      </w:r>
      <w:r w:rsidR="008E503B" w:rsidRPr="00700F4E">
        <w:t>tniego R</w:t>
      </w:r>
      <w:r w:rsidRPr="00700F4E">
        <w:t xml:space="preserve">aportu </w:t>
      </w:r>
      <w:proofErr w:type="spellStart"/>
      <w:r w:rsidRPr="00700F4E">
        <w:t>InfoDług</w:t>
      </w:r>
      <w:proofErr w:type="spellEnd"/>
      <w:r w:rsidRPr="00700F4E">
        <w:t xml:space="preserve"> wynika, że bieżące zobowiązania jak raty kredytów, pożyczek, rachunki za media czy telefon i TV, ale też alimenty i zobowiązania wo</w:t>
      </w:r>
      <w:r w:rsidR="00960532" w:rsidRPr="00700F4E">
        <w:t>bec sądów, płaci z co najmniej 3</w:t>
      </w:r>
      <w:r w:rsidRPr="00700F4E">
        <w:t xml:space="preserve">0-dniowym opóźnieniem, </w:t>
      </w:r>
      <w:r w:rsidR="00960532" w:rsidRPr="00700F4E">
        <w:t xml:space="preserve">blisko 2,8 mln </w:t>
      </w:r>
      <w:r w:rsidRPr="00700F4E">
        <w:t xml:space="preserve">osób. Ich łączne zaległości </w:t>
      </w:r>
      <w:r w:rsidR="007E693C">
        <w:t>na koniec pierwszego kwartału</w:t>
      </w:r>
      <w:r w:rsidR="00960532" w:rsidRPr="00700F4E">
        <w:t xml:space="preserve"> przekroczyły 76 mld zł. </w:t>
      </w:r>
    </w:p>
    <w:p w:rsidR="00D00D7B" w:rsidRDefault="00D00D7B" w:rsidP="00FA3094">
      <w:pPr>
        <w:jc w:val="both"/>
      </w:pPr>
    </w:p>
    <w:p w:rsidR="00024B08" w:rsidRDefault="00024B08" w:rsidP="00FA3094">
      <w:pPr>
        <w:jc w:val="both"/>
      </w:pPr>
    </w:p>
    <w:p w:rsidR="00240540" w:rsidRPr="00FA3094" w:rsidRDefault="00240540" w:rsidP="00240540">
      <w:r w:rsidRPr="0026188A">
        <w:rPr>
          <w:sz w:val="20"/>
          <w:szCs w:val="20"/>
        </w:rPr>
        <w:t>*</w:t>
      </w:r>
      <w:r w:rsidRPr="0026188A">
        <w:rPr>
          <w:i/>
          <w:sz w:val="20"/>
          <w:szCs w:val="20"/>
        </w:rPr>
        <w:t xml:space="preserve">Badanie przeprowadzone przez </w:t>
      </w:r>
      <w:proofErr w:type="spellStart"/>
      <w:r w:rsidR="00AF3BC6">
        <w:rPr>
          <w:i/>
          <w:sz w:val="20"/>
          <w:szCs w:val="20"/>
        </w:rPr>
        <w:t>Biostat</w:t>
      </w:r>
      <w:proofErr w:type="spellEnd"/>
      <w:r w:rsidRPr="0026188A">
        <w:rPr>
          <w:i/>
          <w:sz w:val="20"/>
          <w:szCs w:val="20"/>
        </w:rPr>
        <w:t xml:space="preserve"> </w:t>
      </w:r>
      <w:r w:rsidR="0026188A">
        <w:rPr>
          <w:i/>
          <w:sz w:val="20"/>
          <w:szCs w:val="20"/>
        </w:rPr>
        <w:t>metodą CATI</w:t>
      </w:r>
      <w:r w:rsidR="009932BF">
        <w:rPr>
          <w:i/>
          <w:sz w:val="20"/>
          <w:szCs w:val="20"/>
        </w:rPr>
        <w:t>,</w:t>
      </w:r>
      <w:r w:rsidR="00FA3094">
        <w:rPr>
          <w:i/>
          <w:sz w:val="20"/>
          <w:szCs w:val="20"/>
        </w:rPr>
        <w:t xml:space="preserve"> </w:t>
      </w:r>
      <w:r w:rsidRPr="0026188A">
        <w:rPr>
          <w:i/>
          <w:sz w:val="20"/>
          <w:szCs w:val="20"/>
        </w:rPr>
        <w:t xml:space="preserve">na ogólnopolskiej reprezentatywnej 1000-osobowej próbie Polaków w wieku pow. 18 lat, w </w:t>
      </w:r>
      <w:r w:rsidR="00AF3BC6">
        <w:rPr>
          <w:i/>
          <w:sz w:val="20"/>
          <w:szCs w:val="20"/>
        </w:rPr>
        <w:t>marcu 2019</w:t>
      </w:r>
      <w:r w:rsidRPr="0026188A">
        <w:rPr>
          <w:i/>
          <w:sz w:val="20"/>
          <w:szCs w:val="20"/>
        </w:rPr>
        <w:t xml:space="preserve"> r.</w:t>
      </w:r>
      <w:r w:rsidR="00FA3094">
        <w:rPr>
          <w:sz w:val="20"/>
          <w:szCs w:val="20"/>
        </w:rPr>
        <w:t xml:space="preserve"> </w:t>
      </w:r>
    </w:p>
    <w:p w:rsidR="00240540" w:rsidRPr="0026188A" w:rsidRDefault="00D56DAA" w:rsidP="002405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40540" w:rsidRPr="00F303A7" w:rsidRDefault="00240540" w:rsidP="00240540">
      <w:pPr>
        <w:spacing w:before="120"/>
        <w:jc w:val="both"/>
        <w:rPr>
          <w:bCs/>
          <w:color w:val="595959" w:themeColor="text1" w:themeTint="A6"/>
          <w:sz w:val="18"/>
          <w:szCs w:val="18"/>
        </w:rPr>
      </w:pPr>
      <w:r w:rsidRPr="00F303A7">
        <w:rPr>
          <w:b/>
          <w:bCs/>
          <w:color w:val="595959" w:themeColor="text1" w:themeTint="A6"/>
          <w:sz w:val="18"/>
          <w:szCs w:val="18"/>
        </w:rPr>
        <w:t xml:space="preserve">Biuro Informacji Gospodarczej InfoMonitor </w:t>
      </w:r>
      <w:r w:rsidRPr="00F303A7">
        <w:rPr>
          <w:bCs/>
          <w:color w:val="595959" w:themeColor="text1" w:themeTint="A6"/>
          <w:sz w:val="18"/>
          <w:szCs w:val="18"/>
        </w:rPr>
        <w:t>(BIG InfoMonitor) prowadzi Rejestr Dłużników BIG. Działając w oparciu o Ustawę o udostępnianiu informacji gospodarczych i wymianie danych gospodarczych przyjmuje, przechowuje i udostępnia informacje gospodarcze o przeterminowanym zadłużeniu osób i firm. BIG InfoMonitor umożliwia dostęp do baz: Biura Informacji</w:t>
      </w:r>
      <w:r w:rsidR="00FA3094">
        <w:rPr>
          <w:bCs/>
          <w:color w:val="595959" w:themeColor="text1" w:themeTint="A6"/>
          <w:sz w:val="18"/>
          <w:szCs w:val="18"/>
        </w:rPr>
        <w:t xml:space="preserve"> Kredytowej </w:t>
      </w:r>
      <w:r w:rsidRPr="00F303A7">
        <w:rPr>
          <w:bCs/>
          <w:color w:val="595959" w:themeColor="text1" w:themeTint="A6"/>
          <w:sz w:val="18"/>
          <w:szCs w:val="18"/>
        </w:rPr>
        <w:t>i Związku Banków Polskich, dzięki czemu stanowi platformę wymiany informacji pomiędzy sektorem bankowym i pozostałymi sektorami gospodarki. Oferu</w:t>
      </w:r>
      <w:r w:rsidR="00FA3094">
        <w:rPr>
          <w:bCs/>
          <w:color w:val="595959" w:themeColor="text1" w:themeTint="A6"/>
          <w:sz w:val="18"/>
          <w:szCs w:val="18"/>
        </w:rPr>
        <w:t xml:space="preserve">je również sektorowi bankowemu </w:t>
      </w:r>
      <w:r w:rsidRPr="00F303A7">
        <w:rPr>
          <w:bCs/>
          <w:color w:val="595959" w:themeColor="text1" w:themeTint="A6"/>
          <w:sz w:val="18"/>
          <w:szCs w:val="18"/>
        </w:rPr>
        <w:t>i przedsiębiorcom narzędzia do weryfikowania wiarygodności płatniczej klientów i kontrahentów oraz wspiera ich w odzyskiwaniu zaległych należności. BIG InfoMonitor jest spółką zależną sektora bankowego - poprzez Biuro Informacji Kredytowej – swojego głównego akcjonariusza.</w:t>
      </w:r>
    </w:p>
    <w:p w:rsidR="00240540" w:rsidRPr="00F303A7" w:rsidRDefault="00240540" w:rsidP="00240540">
      <w:pPr>
        <w:spacing w:after="60"/>
        <w:jc w:val="both"/>
        <w:rPr>
          <w:sz w:val="18"/>
          <w:szCs w:val="18"/>
        </w:rPr>
      </w:pPr>
    </w:p>
    <w:p w:rsidR="00632150" w:rsidRPr="00F303A7" w:rsidRDefault="00240540" w:rsidP="00240540">
      <w:pPr>
        <w:spacing w:after="60"/>
        <w:jc w:val="both"/>
        <w:rPr>
          <w:rFonts w:cs="Arial"/>
          <w:b/>
          <w:color w:val="595959" w:themeColor="text1" w:themeTint="A6"/>
          <w:sz w:val="18"/>
          <w:szCs w:val="18"/>
        </w:rPr>
      </w:pPr>
      <w:r w:rsidRPr="00F303A7">
        <w:rPr>
          <w:rFonts w:cs="Arial"/>
          <w:b/>
          <w:color w:val="595959" w:themeColor="text1" w:themeTint="A6"/>
          <w:sz w:val="18"/>
          <w:szCs w:val="18"/>
        </w:rPr>
        <w:t>Kontakt dla prasy: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0540" w:rsidRPr="00F303A7" w:rsidTr="00836916">
        <w:tc>
          <w:tcPr>
            <w:tcW w:w="4606" w:type="dxa"/>
            <w:hideMark/>
          </w:tcPr>
          <w:p w:rsidR="00240540" w:rsidRPr="00F303A7" w:rsidRDefault="00240540" w:rsidP="00836916">
            <w:pPr>
              <w:ind w:left="-108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Halina Kochalska</w:t>
            </w:r>
          </w:p>
          <w:p w:rsidR="00240540" w:rsidRPr="00F303A7" w:rsidRDefault="00240540" w:rsidP="00836916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Rzecznik Prasowy</w:t>
            </w:r>
          </w:p>
          <w:p w:rsidR="00240540" w:rsidRPr="00F303A7" w:rsidRDefault="00240540" w:rsidP="00836916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16</w:t>
            </w:r>
          </w:p>
          <w:p w:rsidR="00240540" w:rsidRPr="00F303A7" w:rsidRDefault="00240540" w:rsidP="00836916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+ 48 602 601 010</w:t>
            </w:r>
          </w:p>
          <w:p w:rsidR="00240540" w:rsidRPr="00F303A7" w:rsidRDefault="00577BED" w:rsidP="00836916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0" w:history="1">
              <w:r w:rsidR="00240540" w:rsidRPr="00F303A7">
                <w:rPr>
                  <w:color w:val="595959" w:themeColor="text1" w:themeTint="A6"/>
                  <w:sz w:val="18"/>
                  <w:szCs w:val="18"/>
                </w:rPr>
                <w:t>Halina.Kochalska@big.pl</w:t>
              </w:r>
            </w:hyperlink>
          </w:p>
        </w:tc>
        <w:tc>
          <w:tcPr>
            <w:tcW w:w="4606" w:type="dxa"/>
            <w:hideMark/>
          </w:tcPr>
          <w:p w:rsidR="00240540" w:rsidRPr="00F303A7" w:rsidRDefault="00240540" w:rsidP="00836916">
            <w:pPr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Diana Borowiecka</w:t>
            </w:r>
          </w:p>
          <w:p w:rsidR="00240540" w:rsidRPr="00F303A7" w:rsidRDefault="00240540" w:rsidP="00836916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Biuro PR i Komunikacji</w:t>
            </w:r>
          </w:p>
          <w:p w:rsidR="00240540" w:rsidRPr="00F303A7" w:rsidRDefault="00240540" w:rsidP="00836916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46</w:t>
            </w:r>
          </w:p>
          <w:p w:rsidR="00240540" w:rsidRPr="00F303A7" w:rsidRDefault="00240540" w:rsidP="00836916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+ 48 607 146 583</w:t>
            </w:r>
          </w:p>
          <w:p w:rsidR="00240540" w:rsidRPr="00F303A7" w:rsidRDefault="00577BED" w:rsidP="00836916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1" w:history="1">
              <w:r w:rsidR="00240540" w:rsidRPr="00F303A7">
                <w:rPr>
                  <w:color w:val="595959" w:themeColor="text1" w:themeTint="A6"/>
                  <w:sz w:val="18"/>
                  <w:szCs w:val="18"/>
                </w:rPr>
                <w:t>Diana.Borowiecka@big.pl</w:t>
              </w:r>
            </w:hyperlink>
            <w:r w:rsidR="00240540" w:rsidRPr="00F303A7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:rsidR="001F2C27" w:rsidRPr="00EB27A0" w:rsidRDefault="001F2C27" w:rsidP="00EB27A0">
      <w:pPr>
        <w:tabs>
          <w:tab w:val="left" w:pos="1005"/>
        </w:tabs>
      </w:pPr>
    </w:p>
    <w:sectPr w:rsidR="001F2C27" w:rsidRPr="00EB27A0" w:rsidSect="003E4F9A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2180" w:right="1417" w:bottom="1417" w:left="1417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ED" w:rsidRDefault="00577BED" w:rsidP="00523A7F">
      <w:r>
        <w:separator/>
      </w:r>
    </w:p>
  </w:endnote>
  <w:endnote w:type="continuationSeparator" w:id="0">
    <w:p w:rsidR="00577BED" w:rsidRDefault="00577BED" w:rsidP="0052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26" w:rsidRDefault="0037373D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A26" w:rsidRDefault="00577BED" w:rsidP="00DB3A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26" w:rsidRDefault="0037373D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71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44FC5" w:rsidRPr="00D94BC7" w:rsidRDefault="00577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ED" w:rsidRDefault="00577BED" w:rsidP="00523A7F">
      <w:r>
        <w:separator/>
      </w:r>
    </w:p>
  </w:footnote>
  <w:footnote w:type="continuationSeparator" w:id="0">
    <w:p w:rsidR="00577BED" w:rsidRDefault="00577BED" w:rsidP="0052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25" w:rsidRDefault="0037373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71B6B2" wp14:editId="177A9239">
          <wp:simplePos x="0" y="0"/>
          <wp:positionH relativeFrom="column">
            <wp:posOffset>4500245</wp:posOffset>
          </wp:positionH>
          <wp:positionV relativeFrom="paragraph">
            <wp:posOffset>274081</wp:posOffset>
          </wp:positionV>
          <wp:extent cx="1144905" cy="486410"/>
          <wp:effectExtent l="0" t="0" r="0" b="8890"/>
          <wp:wrapSquare wrapText="bothSides"/>
          <wp:docPr id="64" name="Obraz 64" descr="LogoBIG_pr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G_pr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55" w:rsidRDefault="00577BED">
    <w:pPr>
      <w:pStyle w:val="Nagwek"/>
    </w:pPr>
  </w:p>
  <w:p w:rsidR="00085155" w:rsidRDefault="0037373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443BD3" wp14:editId="75B7D9A0">
          <wp:simplePos x="0" y="0"/>
          <wp:positionH relativeFrom="column">
            <wp:posOffset>4194175</wp:posOffset>
          </wp:positionH>
          <wp:positionV relativeFrom="paragraph">
            <wp:posOffset>35428</wp:posOffset>
          </wp:positionV>
          <wp:extent cx="1522730" cy="647065"/>
          <wp:effectExtent l="0" t="0" r="1270" b="635"/>
          <wp:wrapSquare wrapText="bothSides"/>
          <wp:docPr id="65" name="Obraz 65" descr="LogoBIG_pr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G_pr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4FC5" w:rsidRDefault="00577BED">
    <w:pPr>
      <w:pStyle w:val="Nagwek"/>
    </w:pPr>
  </w:p>
  <w:p w:rsidR="006E7F0C" w:rsidRDefault="00577BED">
    <w:pPr>
      <w:pStyle w:val="Nagwek"/>
    </w:pPr>
  </w:p>
  <w:p w:rsidR="00085155" w:rsidRPr="00695EB6" w:rsidRDefault="0037373D">
    <w:pPr>
      <w:pStyle w:val="Nagwek"/>
      <w:rPr>
        <w:b/>
        <w:sz w:val="24"/>
      </w:rPr>
    </w:pPr>
    <w:r w:rsidRPr="00695EB6">
      <w:rPr>
        <w:b/>
        <w:sz w:val="24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40"/>
    <w:rsid w:val="00022F56"/>
    <w:rsid w:val="00024B08"/>
    <w:rsid w:val="00030887"/>
    <w:rsid w:val="00030BD0"/>
    <w:rsid w:val="000455AB"/>
    <w:rsid w:val="000653CD"/>
    <w:rsid w:val="00090DF0"/>
    <w:rsid w:val="00095187"/>
    <w:rsid w:val="000E375C"/>
    <w:rsid w:val="00107EC4"/>
    <w:rsid w:val="001112C7"/>
    <w:rsid w:val="00116D3F"/>
    <w:rsid w:val="00125B1A"/>
    <w:rsid w:val="001602B7"/>
    <w:rsid w:val="0016339D"/>
    <w:rsid w:val="001702C5"/>
    <w:rsid w:val="00175B34"/>
    <w:rsid w:val="001B2926"/>
    <w:rsid w:val="001C2A41"/>
    <w:rsid w:val="001C3285"/>
    <w:rsid w:val="001F2C27"/>
    <w:rsid w:val="00240540"/>
    <w:rsid w:val="0026188A"/>
    <w:rsid w:val="00262569"/>
    <w:rsid w:val="002813E2"/>
    <w:rsid w:val="002A2CE1"/>
    <w:rsid w:val="002C7728"/>
    <w:rsid w:val="002D278F"/>
    <w:rsid w:val="002E0ECB"/>
    <w:rsid w:val="002E1A46"/>
    <w:rsid w:val="0030449C"/>
    <w:rsid w:val="00341CD5"/>
    <w:rsid w:val="0034232A"/>
    <w:rsid w:val="003534EA"/>
    <w:rsid w:val="00360D54"/>
    <w:rsid w:val="00362F46"/>
    <w:rsid w:val="00371487"/>
    <w:rsid w:val="0037373D"/>
    <w:rsid w:val="003824C7"/>
    <w:rsid w:val="00386F3E"/>
    <w:rsid w:val="0039518D"/>
    <w:rsid w:val="003C3A7C"/>
    <w:rsid w:val="003E7097"/>
    <w:rsid w:val="00445EEB"/>
    <w:rsid w:val="004673CD"/>
    <w:rsid w:val="0047461D"/>
    <w:rsid w:val="00481076"/>
    <w:rsid w:val="00523A7F"/>
    <w:rsid w:val="005720A0"/>
    <w:rsid w:val="00577BED"/>
    <w:rsid w:val="00577F02"/>
    <w:rsid w:val="0058483A"/>
    <w:rsid w:val="005C489C"/>
    <w:rsid w:val="005D375B"/>
    <w:rsid w:val="005D7568"/>
    <w:rsid w:val="005E5549"/>
    <w:rsid w:val="00611BF3"/>
    <w:rsid w:val="006208C6"/>
    <w:rsid w:val="00632150"/>
    <w:rsid w:val="006344E6"/>
    <w:rsid w:val="00635DB3"/>
    <w:rsid w:val="00663AB4"/>
    <w:rsid w:val="00672AC2"/>
    <w:rsid w:val="00676C34"/>
    <w:rsid w:val="006A6C55"/>
    <w:rsid w:val="006D3C2A"/>
    <w:rsid w:val="006E2FA1"/>
    <w:rsid w:val="006E64E2"/>
    <w:rsid w:val="006F34ED"/>
    <w:rsid w:val="00700F4E"/>
    <w:rsid w:val="0070704F"/>
    <w:rsid w:val="0071095E"/>
    <w:rsid w:val="00746927"/>
    <w:rsid w:val="00763316"/>
    <w:rsid w:val="00771086"/>
    <w:rsid w:val="0078206F"/>
    <w:rsid w:val="00794853"/>
    <w:rsid w:val="007E693C"/>
    <w:rsid w:val="007F7811"/>
    <w:rsid w:val="00827CCF"/>
    <w:rsid w:val="008978BD"/>
    <w:rsid w:val="008D7A8E"/>
    <w:rsid w:val="008E503B"/>
    <w:rsid w:val="008F63E5"/>
    <w:rsid w:val="00926C01"/>
    <w:rsid w:val="00945118"/>
    <w:rsid w:val="00960532"/>
    <w:rsid w:val="009856CC"/>
    <w:rsid w:val="009932BF"/>
    <w:rsid w:val="009A2002"/>
    <w:rsid w:val="009F5F42"/>
    <w:rsid w:val="00A21250"/>
    <w:rsid w:val="00A4349B"/>
    <w:rsid w:val="00A562F5"/>
    <w:rsid w:val="00A671A0"/>
    <w:rsid w:val="00A67E86"/>
    <w:rsid w:val="00A809DF"/>
    <w:rsid w:val="00AE5A4E"/>
    <w:rsid w:val="00AF3BC6"/>
    <w:rsid w:val="00AF610E"/>
    <w:rsid w:val="00B10092"/>
    <w:rsid w:val="00B229BE"/>
    <w:rsid w:val="00B44A96"/>
    <w:rsid w:val="00B87EB7"/>
    <w:rsid w:val="00B93EBE"/>
    <w:rsid w:val="00C05C4F"/>
    <w:rsid w:val="00C8790D"/>
    <w:rsid w:val="00D00D7B"/>
    <w:rsid w:val="00D061B7"/>
    <w:rsid w:val="00D15EB4"/>
    <w:rsid w:val="00D3441D"/>
    <w:rsid w:val="00D513A6"/>
    <w:rsid w:val="00D56DAA"/>
    <w:rsid w:val="00D91B65"/>
    <w:rsid w:val="00DA302C"/>
    <w:rsid w:val="00DA5646"/>
    <w:rsid w:val="00DC7C6E"/>
    <w:rsid w:val="00DD6D0D"/>
    <w:rsid w:val="00DF5E30"/>
    <w:rsid w:val="00E06635"/>
    <w:rsid w:val="00E20CF4"/>
    <w:rsid w:val="00E20EDE"/>
    <w:rsid w:val="00E40A1A"/>
    <w:rsid w:val="00E541D3"/>
    <w:rsid w:val="00EB27A0"/>
    <w:rsid w:val="00EC38C9"/>
    <w:rsid w:val="00EE4954"/>
    <w:rsid w:val="00EF7AFB"/>
    <w:rsid w:val="00F07FDD"/>
    <w:rsid w:val="00F4298F"/>
    <w:rsid w:val="00F6763C"/>
    <w:rsid w:val="00F97A74"/>
    <w:rsid w:val="00FA081D"/>
    <w:rsid w:val="00FA3094"/>
    <w:rsid w:val="00FA71A3"/>
    <w:rsid w:val="00FC1E3D"/>
    <w:rsid w:val="00FC787C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40"/>
    <w:pPr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05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540"/>
    <w:rPr>
      <w:rFonts w:eastAsia="Times New Roman" w:cs="Times New Roman"/>
      <w:sz w:val="23"/>
      <w:szCs w:val="24"/>
      <w:lang w:eastAsia="pl-PL"/>
    </w:rPr>
  </w:style>
  <w:style w:type="paragraph" w:styleId="Stopka">
    <w:name w:val="footer"/>
    <w:basedOn w:val="Normalny"/>
    <w:link w:val="StopkaZnak"/>
    <w:rsid w:val="002405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0540"/>
    <w:rPr>
      <w:rFonts w:eastAsia="Times New Roman" w:cs="Times New Roman"/>
      <w:sz w:val="23"/>
      <w:szCs w:val="24"/>
      <w:lang w:eastAsia="pl-PL"/>
    </w:rPr>
  </w:style>
  <w:style w:type="character" w:styleId="Numerstrony">
    <w:name w:val="page number"/>
    <w:basedOn w:val="Domylnaczcionkaakapitu"/>
    <w:rsid w:val="00240540"/>
  </w:style>
  <w:style w:type="paragraph" w:customStyle="1" w:styleId="StylStBIKsubowagwka">
    <w:name w:val="Styl StBIK służbowa główka"/>
    <w:basedOn w:val="Normalny"/>
    <w:link w:val="StylStBIKsubowagwkaZnak"/>
    <w:rsid w:val="00240540"/>
    <w:pPr>
      <w:keepLines/>
      <w:spacing w:line="415" w:lineRule="atLeast"/>
    </w:pPr>
    <w:rPr>
      <w:b/>
      <w:spacing w:val="-5"/>
      <w:sz w:val="24"/>
      <w:szCs w:val="20"/>
      <w:lang w:eastAsia="en-US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240540"/>
    <w:rPr>
      <w:rFonts w:eastAsia="Times New Roman" w:cs="Times New Roman"/>
      <w:b/>
      <w:spacing w:val="-5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7F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A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8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8C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05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532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053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60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40"/>
    <w:pPr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05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540"/>
    <w:rPr>
      <w:rFonts w:eastAsia="Times New Roman" w:cs="Times New Roman"/>
      <w:sz w:val="23"/>
      <w:szCs w:val="24"/>
      <w:lang w:eastAsia="pl-PL"/>
    </w:rPr>
  </w:style>
  <w:style w:type="paragraph" w:styleId="Stopka">
    <w:name w:val="footer"/>
    <w:basedOn w:val="Normalny"/>
    <w:link w:val="StopkaZnak"/>
    <w:rsid w:val="002405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0540"/>
    <w:rPr>
      <w:rFonts w:eastAsia="Times New Roman" w:cs="Times New Roman"/>
      <w:sz w:val="23"/>
      <w:szCs w:val="24"/>
      <w:lang w:eastAsia="pl-PL"/>
    </w:rPr>
  </w:style>
  <w:style w:type="character" w:styleId="Numerstrony">
    <w:name w:val="page number"/>
    <w:basedOn w:val="Domylnaczcionkaakapitu"/>
    <w:rsid w:val="00240540"/>
  </w:style>
  <w:style w:type="paragraph" w:customStyle="1" w:styleId="StylStBIKsubowagwka">
    <w:name w:val="Styl StBIK służbowa główka"/>
    <w:basedOn w:val="Normalny"/>
    <w:link w:val="StylStBIKsubowagwkaZnak"/>
    <w:rsid w:val="00240540"/>
    <w:pPr>
      <w:keepLines/>
      <w:spacing w:line="415" w:lineRule="atLeast"/>
    </w:pPr>
    <w:rPr>
      <w:b/>
      <w:spacing w:val="-5"/>
      <w:sz w:val="24"/>
      <w:szCs w:val="20"/>
      <w:lang w:eastAsia="en-US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240540"/>
    <w:rPr>
      <w:rFonts w:eastAsia="Times New Roman" w:cs="Times New Roman"/>
      <w:b/>
      <w:spacing w:val="-5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7F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A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8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8C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05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532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053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60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ana.Borowiecka@big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Halina.Kochalska@big.pl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 b="1" i="0" baseline="0">
                <a:effectLst/>
              </a:rPr>
              <a:t>Czy można usprawiedliwić, gdy ktoś nie zwraca uwagi kasjerowi, który pomylił się na swoją niekorzyść? </a:t>
            </a:r>
            <a:endParaRPr lang="pl-PL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2016</c:v>
                </c:pt>
              </c:strCache>
            </c:strRef>
          </c:tx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czasem</c:v>
                </c:pt>
                <c:pt idx="3">
                  <c:v>nigdy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4.8000000000000001E-2</c:v>
                </c:pt>
                <c:pt idx="1">
                  <c:v>2.8000000000000001E-2</c:v>
                </c:pt>
                <c:pt idx="2">
                  <c:v>0.11799999999999999</c:v>
                </c:pt>
                <c:pt idx="3">
                  <c:v>0.80600000000000005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2019</c:v>
                </c:pt>
              </c:strCache>
            </c:strRef>
          </c:tx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czasem</c:v>
                </c:pt>
                <c:pt idx="3">
                  <c:v>nigdy</c:v>
                </c:pt>
              </c:strCache>
            </c:strRef>
          </c:cat>
          <c:val>
            <c:numRef>
              <c:f>Arkusz1!$C$2:$C$5</c:f>
              <c:numCache>
                <c:formatCode>0.00%</c:formatCode>
                <c:ptCount val="4"/>
                <c:pt idx="0">
                  <c:v>3.5999999999999997E-2</c:v>
                </c:pt>
                <c:pt idx="1">
                  <c:v>7.8E-2</c:v>
                </c:pt>
                <c:pt idx="2">
                  <c:v>0.20599999999999999</c:v>
                </c:pt>
                <c:pt idx="3" formatCode="0%">
                  <c:v>0.68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800128"/>
        <c:axId val="176802048"/>
      </c:barChart>
      <c:catAx>
        <c:axId val="176800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76802048"/>
        <c:crosses val="autoZero"/>
        <c:auto val="1"/>
        <c:lblAlgn val="ctr"/>
        <c:lblOffset val="100"/>
        <c:noMultiLvlLbl val="0"/>
      </c:catAx>
      <c:valAx>
        <c:axId val="17680204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76800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5A66-6BFE-43EB-B833-A6FB33922E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8773328-6120-4FD9-9C9A-70E4C707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Kochalska Halina</dc:creator>
  <cp:lastModifiedBy>Borowiecka Diana</cp:lastModifiedBy>
  <cp:revision>23</cp:revision>
  <cp:lastPrinted>2016-08-05T08:55:00Z</cp:lastPrinted>
  <dcterms:created xsi:type="dcterms:W3CDTF">2019-07-31T12:47:00Z</dcterms:created>
  <dcterms:modified xsi:type="dcterms:W3CDTF">2019-08-07T13:37:00Z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eac0b694-b80d-4994-9798-2e41de01b5b8</vt:lpwstr>
  </property>
  <property fmtid="{D5CDD505-2E9C-101B-9397-08002B2CF9AE}" pid="3" name="bjSaver">
    <vt:lpwstr>xORkW3ca6iDiqdk6AI3lgo0hmKRVQTR4</vt:lpwstr>
  </property>
  <property fmtid="{D5CDD505-2E9C-101B-9397-08002B2CF9AE}" pid="4" name="bjDocumentSecurityLabel">
    <vt:lpwstr>Jawne</vt:lpwstr>
  </property>
  <property fmtid="{D5CDD505-2E9C-101B-9397-08002B2CF9AE}" pid="5" name="bjDocumentLabelFieldCode">
    <vt:lpwstr>Jawne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