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0306" w14:textId="77777777" w:rsidR="00240540" w:rsidRPr="00F303A7" w:rsidRDefault="00240540" w:rsidP="00240540">
      <w:pPr>
        <w:jc w:val="right"/>
        <w:rPr>
          <w:szCs w:val="23"/>
        </w:rPr>
      </w:pPr>
    </w:p>
    <w:p w14:paraId="60B74F47" w14:textId="77777777" w:rsidR="004043D3" w:rsidRDefault="004043D3" w:rsidP="00240540">
      <w:pPr>
        <w:jc w:val="right"/>
        <w:rPr>
          <w:sz w:val="18"/>
          <w:szCs w:val="18"/>
        </w:rPr>
      </w:pPr>
    </w:p>
    <w:p w14:paraId="19C8A964" w14:textId="05479EA6" w:rsidR="00240540" w:rsidRPr="002235F3" w:rsidRDefault="00240540" w:rsidP="00240540">
      <w:pPr>
        <w:jc w:val="right"/>
        <w:rPr>
          <w:sz w:val="18"/>
          <w:szCs w:val="18"/>
        </w:rPr>
      </w:pPr>
      <w:r w:rsidRPr="002235F3">
        <w:rPr>
          <w:sz w:val="18"/>
          <w:szCs w:val="18"/>
        </w:rPr>
        <w:t xml:space="preserve">Warszawa, </w:t>
      </w:r>
      <w:r w:rsidR="00B16509" w:rsidRPr="002235F3">
        <w:rPr>
          <w:sz w:val="18"/>
          <w:szCs w:val="18"/>
        </w:rPr>
        <w:t>1</w:t>
      </w:r>
      <w:r w:rsidR="00FA3094" w:rsidRPr="002235F3">
        <w:rPr>
          <w:sz w:val="18"/>
          <w:szCs w:val="18"/>
        </w:rPr>
        <w:t xml:space="preserve"> </w:t>
      </w:r>
      <w:r w:rsidR="009D0D0D" w:rsidRPr="002235F3">
        <w:rPr>
          <w:sz w:val="18"/>
          <w:szCs w:val="18"/>
        </w:rPr>
        <w:t>paźdz</w:t>
      </w:r>
      <w:r w:rsidR="00145FE2" w:rsidRPr="002235F3">
        <w:rPr>
          <w:sz w:val="18"/>
          <w:szCs w:val="18"/>
        </w:rPr>
        <w:t>i</w:t>
      </w:r>
      <w:r w:rsidR="009D0D0D" w:rsidRPr="002235F3">
        <w:rPr>
          <w:sz w:val="18"/>
          <w:szCs w:val="18"/>
        </w:rPr>
        <w:t>ernika</w:t>
      </w:r>
      <w:r w:rsidRPr="002235F3">
        <w:rPr>
          <w:sz w:val="18"/>
          <w:szCs w:val="18"/>
        </w:rPr>
        <w:t xml:space="preserve"> 201</w:t>
      </w:r>
      <w:r w:rsidR="00683521" w:rsidRPr="002235F3">
        <w:rPr>
          <w:sz w:val="18"/>
          <w:szCs w:val="18"/>
        </w:rPr>
        <w:t>9</w:t>
      </w:r>
      <w:r w:rsidRPr="002235F3">
        <w:rPr>
          <w:sz w:val="18"/>
          <w:szCs w:val="18"/>
        </w:rPr>
        <w:t xml:space="preserve"> r.</w:t>
      </w:r>
    </w:p>
    <w:p w14:paraId="42171B40" w14:textId="77777777" w:rsidR="00240540" w:rsidRPr="00F303A7" w:rsidRDefault="00240540" w:rsidP="00240540">
      <w:pPr>
        <w:spacing w:after="120"/>
        <w:rPr>
          <w:rFonts w:cs="Arial"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14:paraId="7369381F" w14:textId="77777777" w:rsidR="004043D3" w:rsidRDefault="004043D3" w:rsidP="00B915FC">
      <w:pPr>
        <w:jc w:val="both"/>
        <w:rPr>
          <w:b/>
          <w:sz w:val="32"/>
        </w:rPr>
      </w:pPr>
    </w:p>
    <w:p w14:paraId="60B4D27C" w14:textId="34EEC173" w:rsidR="00B915FC" w:rsidRPr="0095470C" w:rsidRDefault="00BB2913" w:rsidP="00B915FC">
      <w:pPr>
        <w:jc w:val="both"/>
        <w:rPr>
          <w:b/>
          <w:sz w:val="28"/>
          <w:szCs w:val="28"/>
        </w:rPr>
      </w:pPr>
      <w:r w:rsidRPr="0095470C">
        <w:rPr>
          <w:b/>
          <w:sz w:val="28"/>
          <w:szCs w:val="28"/>
        </w:rPr>
        <w:t>Zaległości młodych przekroczyły 1 mld zł</w:t>
      </w:r>
    </w:p>
    <w:p w14:paraId="13FBD476" w14:textId="77777777" w:rsidR="00B915FC" w:rsidRPr="0075346A" w:rsidRDefault="00B915FC" w:rsidP="00B915FC">
      <w:pPr>
        <w:jc w:val="both"/>
        <w:rPr>
          <w:b/>
        </w:rPr>
      </w:pPr>
    </w:p>
    <w:p w14:paraId="637305CF" w14:textId="686EA1F7" w:rsidR="00F02173" w:rsidRPr="0075346A" w:rsidRDefault="00E40F0E" w:rsidP="00B915FC">
      <w:pPr>
        <w:jc w:val="both"/>
        <w:rPr>
          <w:b/>
        </w:rPr>
      </w:pPr>
      <w:bookmarkStart w:id="0" w:name="_GoBack"/>
      <w:r>
        <w:rPr>
          <w:b/>
        </w:rPr>
        <w:t>L</w:t>
      </w:r>
      <w:r w:rsidR="00CC78F1" w:rsidRPr="0075346A">
        <w:rPr>
          <w:b/>
        </w:rPr>
        <w:t xml:space="preserve">icencjat z </w:t>
      </w:r>
      <w:r w:rsidR="00F3294C" w:rsidRPr="0075346A">
        <w:rPr>
          <w:b/>
        </w:rPr>
        <w:t xml:space="preserve">radzenia sobie z finansami </w:t>
      </w:r>
      <w:r>
        <w:rPr>
          <w:b/>
        </w:rPr>
        <w:t xml:space="preserve">18-24 latkowie </w:t>
      </w:r>
      <w:r w:rsidRPr="0075346A">
        <w:rPr>
          <w:b/>
        </w:rPr>
        <w:t>zaliczają na 4 i 1</w:t>
      </w:r>
      <w:r>
        <w:rPr>
          <w:b/>
        </w:rPr>
        <w:t xml:space="preserve"> - ocenia</w:t>
      </w:r>
      <w:r w:rsidR="007F3BFB" w:rsidRPr="0075346A">
        <w:rPr>
          <w:b/>
        </w:rPr>
        <w:t xml:space="preserve"> Rejestr Dłuż</w:t>
      </w:r>
      <w:r w:rsidR="00F3294C" w:rsidRPr="0075346A">
        <w:rPr>
          <w:b/>
        </w:rPr>
        <w:t>ników BIG InfoMonitor oraz B</w:t>
      </w:r>
      <w:r w:rsidR="007F3BFB" w:rsidRPr="0075346A">
        <w:rPr>
          <w:b/>
        </w:rPr>
        <w:t>iur</w:t>
      </w:r>
      <w:r>
        <w:rPr>
          <w:b/>
        </w:rPr>
        <w:t>o</w:t>
      </w:r>
      <w:r w:rsidR="007F3BFB" w:rsidRPr="0075346A">
        <w:rPr>
          <w:b/>
        </w:rPr>
        <w:t xml:space="preserve"> </w:t>
      </w:r>
      <w:r w:rsidR="00F3294C" w:rsidRPr="0075346A">
        <w:rPr>
          <w:b/>
        </w:rPr>
        <w:t>I</w:t>
      </w:r>
      <w:r w:rsidR="007F3BFB" w:rsidRPr="0075346A">
        <w:rPr>
          <w:b/>
        </w:rPr>
        <w:t xml:space="preserve">nformacji </w:t>
      </w:r>
      <w:r w:rsidR="00F3294C" w:rsidRPr="0075346A">
        <w:rPr>
          <w:b/>
        </w:rPr>
        <w:t>K</w:t>
      </w:r>
      <w:r w:rsidR="007F3BFB" w:rsidRPr="0075346A">
        <w:rPr>
          <w:b/>
        </w:rPr>
        <w:t>redytowej</w:t>
      </w:r>
      <w:r w:rsidR="00F3294C" w:rsidRPr="0075346A">
        <w:rPr>
          <w:b/>
        </w:rPr>
        <w:t xml:space="preserve">. </w:t>
      </w:r>
      <w:r w:rsidR="007F3BFB" w:rsidRPr="0075346A">
        <w:rPr>
          <w:b/>
        </w:rPr>
        <w:t>Dobry</w:t>
      </w:r>
      <w:r w:rsidR="00F3294C" w:rsidRPr="0075346A">
        <w:rPr>
          <w:b/>
        </w:rPr>
        <w:t xml:space="preserve"> jest z</w:t>
      </w:r>
      <w:r>
        <w:rPr>
          <w:b/>
        </w:rPr>
        <w:t>a</w:t>
      </w:r>
      <w:r w:rsidR="00F3294C" w:rsidRPr="0075346A">
        <w:rPr>
          <w:b/>
        </w:rPr>
        <w:t xml:space="preserve"> umiejętnoś</w:t>
      </w:r>
      <w:r>
        <w:rPr>
          <w:b/>
        </w:rPr>
        <w:t>ć</w:t>
      </w:r>
      <w:r w:rsidR="00F3294C" w:rsidRPr="0075346A">
        <w:rPr>
          <w:b/>
        </w:rPr>
        <w:t xml:space="preserve"> unikania kłopotów,</w:t>
      </w:r>
      <w:r w:rsidR="00E5187D" w:rsidRPr="0075346A">
        <w:rPr>
          <w:b/>
        </w:rPr>
        <w:t xml:space="preserve"> szczególnie, że siedem na osiem młodych osób przyznaje się do wydatków przekraczających ich możliwości.</w:t>
      </w:r>
      <w:r w:rsidR="0075346A" w:rsidRPr="0075346A">
        <w:rPr>
          <w:b/>
        </w:rPr>
        <w:t xml:space="preserve"> </w:t>
      </w:r>
      <w:r w:rsidR="00E5187D" w:rsidRPr="0075346A">
        <w:rPr>
          <w:b/>
        </w:rPr>
        <w:t xml:space="preserve">A </w:t>
      </w:r>
      <w:r w:rsidR="00BB2913">
        <w:rPr>
          <w:b/>
        </w:rPr>
        <w:t xml:space="preserve">niedostateczny </w:t>
      </w:r>
      <w:r w:rsidR="00F3294C" w:rsidRPr="0075346A">
        <w:rPr>
          <w:b/>
        </w:rPr>
        <w:t xml:space="preserve">za </w:t>
      </w:r>
      <w:r w:rsidR="007F3BFB" w:rsidRPr="0075346A">
        <w:rPr>
          <w:b/>
        </w:rPr>
        <w:t>powiększanie kwoty niespłacanych długów</w:t>
      </w:r>
      <w:r w:rsidR="00E5187D" w:rsidRPr="0075346A">
        <w:rPr>
          <w:b/>
        </w:rPr>
        <w:t xml:space="preserve"> przez </w:t>
      </w:r>
      <w:r w:rsidR="00BB2913">
        <w:rPr>
          <w:b/>
        </w:rPr>
        <w:t>tych</w:t>
      </w:r>
      <w:r w:rsidR="00E5187D" w:rsidRPr="0075346A">
        <w:rPr>
          <w:b/>
        </w:rPr>
        <w:t xml:space="preserve"> </w:t>
      </w:r>
      <w:r w:rsidR="007F3BFB" w:rsidRPr="0075346A">
        <w:rPr>
          <w:b/>
        </w:rPr>
        <w:t>któr</w:t>
      </w:r>
      <w:r w:rsidR="00BB2913">
        <w:rPr>
          <w:b/>
        </w:rPr>
        <w:t xml:space="preserve">zy </w:t>
      </w:r>
      <w:r w:rsidR="00E5187D" w:rsidRPr="0075346A">
        <w:rPr>
          <w:b/>
        </w:rPr>
        <w:t>wpad</w:t>
      </w:r>
      <w:r w:rsidR="00BB2913">
        <w:rPr>
          <w:b/>
        </w:rPr>
        <w:t>aj</w:t>
      </w:r>
      <w:r w:rsidR="00E5187D" w:rsidRPr="0075346A">
        <w:rPr>
          <w:b/>
        </w:rPr>
        <w:t>ą w tarapaty. I</w:t>
      </w:r>
      <w:r w:rsidR="007F3BFB" w:rsidRPr="0075346A">
        <w:rPr>
          <w:b/>
        </w:rPr>
        <w:t>ch zasługą jest wzrost zaległości</w:t>
      </w:r>
      <w:r>
        <w:rPr>
          <w:b/>
        </w:rPr>
        <w:t xml:space="preserve"> w trzy lata o </w:t>
      </w:r>
      <w:r w:rsidRPr="0075346A">
        <w:rPr>
          <w:b/>
        </w:rPr>
        <w:t>połowę i przekroczenie</w:t>
      </w:r>
      <w:r w:rsidR="007F3BFB" w:rsidRPr="0075346A">
        <w:rPr>
          <w:b/>
        </w:rPr>
        <w:t xml:space="preserve"> </w:t>
      </w:r>
      <w:r>
        <w:rPr>
          <w:b/>
        </w:rPr>
        <w:t xml:space="preserve">kwoty </w:t>
      </w:r>
      <w:r w:rsidR="007F3BFB" w:rsidRPr="0075346A">
        <w:rPr>
          <w:b/>
        </w:rPr>
        <w:t>1 mld zł.</w:t>
      </w:r>
      <w:r>
        <w:rPr>
          <w:b/>
        </w:rPr>
        <w:t xml:space="preserve"> </w:t>
      </w:r>
      <w:r w:rsidR="007F3BFB" w:rsidRPr="0075346A">
        <w:rPr>
          <w:b/>
        </w:rPr>
        <w:t xml:space="preserve">Gdzie najczęściej </w:t>
      </w:r>
      <w:r w:rsidR="003B33FF" w:rsidRPr="0075346A">
        <w:rPr>
          <w:b/>
        </w:rPr>
        <w:t>18-24 latkom zdarza</w:t>
      </w:r>
      <w:r w:rsidR="007F3BFB" w:rsidRPr="0075346A">
        <w:rPr>
          <w:b/>
        </w:rPr>
        <w:t xml:space="preserve">ją </w:t>
      </w:r>
      <w:r w:rsidR="003B33FF" w:rsidRPr="0075346A">
        <w:rPr>
          <w:b/>
        </w:rPr>
        <w:t xml:space="preserve">się </w:t>
      </w:r>
      <w:r w:rsidR="007F3BFB" w:rsidRPr="0075346A">
        <w:rPr>
          <w:b/>
        </w:rPr>
        <w:t>problemy z finansami? Tam</w:t>
      </w:r>
      <w:r w:rsidR="00814D3D" w:rsidRPr="0075346A">
        <w:rPr>
          <w:b/>
        </w:rPr>
        <w:t>,</w:t>
      </w:r>
      <w:r w:rsidR="007F3BFB" w:rsidRPr="0075346A">
        <w:rPr>
          <w:b/>
        </w:rPr>
        <w:t xml:space="preserve"> gdzie </w:t>
      </w:r>
      <w:r w:rsidR="00F02173" w:rsidRPr="0075346A">
        <w:rPr>
          <w:b/>
        </w:rPr>
        <w:t xml:space="preserve">ich </w:t>
      </w:r>
      <w:r w:rsidR="007F3BFB" w:rsidRPr="0075346A">
        <w:rPr>
          <w:b/>
        </w:rPr>
        <w:t>rodzic</w:t>
      </w:r>
      <w:r w:rsidR="003B33FF" w:rsidRPr="0075346A">
        <w:rPr>
          <w:b/>
        </w:rPr>
        <w:t>om</w:t>
      </w:r>
      <w:r w:rsidR="007F3BFB" w:rsidRPr="0075346A">
        <w:rPr>
          <w:b/>
        </w:rPr>
        <w:t xml:space="preserve">, czyli </w:t>
      </w:r>
      <w:r w:rsidR="00F02173" w:rsidRPr="0075346A">
        <w:rPr>
          <w:b/>
        </w:rPr>
        <w:t>w Polsce zachodniej i północnej</w:t>
      </w:r>
      <w:r w:rsidR="00CC78F1" w:rsidRPr="0075346A">
        <w:rPr>
          <w:b/>
        </w:rPr>
        <w:t>, przede wszystkim w woj. dolnośląskim, lubuskim i zachodniopomorskim</w:t>
      </w:r>
      <w:r w:rsidR="00F02173" w:rsidRPr="0075346A">
        <w:rPr>
          <w:b/>
        </w:rPr>
        <w:t>.</w:t>
      </w:r>
      <w:r w:rsidR="0075346A" w:rsidRPr="0075346A">
        <w:rPr>
          <w:b/>
        </w:rPr>
        <w:t xml:space="preserve"> </w:t>
      </w:r>
    </w:p>
    <w:bookmarkEnd w:id="0"/>
    <w:p w14:paraId="3410316F" w14:textId="77777777" w:rsidR="00CC78F1" w:rsidRPr="0075346A" w:rsidRDefault="00CC78F1" w:rsidP="00F70F61">
      <w:pPr>
        <w:jc w:val="both"/>
      </w:pPr>
    </w:p>
    <w:p w14:paraId="77635BA6" w14:textId="249C2C29" w:rsidR="002235F3" w:rsidRPr="0075346A" w:rsidRDefault="00F70F61" w:rsidP="00F70F61">
      <w:pPr>
        <w:jc w:val="both"/>
      </w:pPr>
      <w:r w:rsidRPr="0075346A">
        <w:t>Studen</w:t>
      </w:r>
      <w:r w:rsidR="004C67FE" w:rsidRPr="0075346A">
        <w:t>ci rozpoczynają nowy rok edukacji</w:t>
      </w:r>
      <w:r w:rsidR="00BB2913">
        <w:t>. Jak podaje GUS</w:t>
      </w:r>
      <w:r w:rsidR="003B33FF" w:rsidRPr="0075346A">
        <w:t xml:space="preserve"> </w:t>
      </w:r>
      <w:r w:rsidR="00E5187D" w:rsidRPr="0075346A">
        <w:t xml:space="preserve">w Polsce </w:t>
      </w:r>
      <w:r w:rsidR="003B33FF" w:rsidRPr="0075346A">
        <w:t xml:space="preserve">1,23 mln </w:t>
      </w:r>
      <w:r w:rsidR="00E5187D" w:rsidRPr="0075346A">
        <w:t>osób</w:t>
      </w:r>
      <w:r w:rsidR="0075346A" w:rsidRPr="0075346A">
        <w:t xml:space="preserve"> </w:t>
      </w:r>
      <w:r w:rsidR="003B33FF" w:rsidRPr="0075346A">
        <w:t>ucz</w:t>
      </w:r>
      <w:r w:rsidR="00E5187D" w:rsidRPr="0075346A">
        <w:t>y</w:t>
      </w:r>
      <w:r w:rsidR="0075346A" w:rsidRPr="0075346A">
        <w:t xml:space="preserve"> </w:t>
      </w:r>
      <w:r w:rsidR="003B33FF" w:rsidRPr="0075346A">
        <w:t xml:space="preserve">się na 392 uczelniach. Oznacza to, że w grupie między 18 a 24 rokiem życia </w:t>
      </w:r>
      <w:r w:rsidR="00BB2913">
        <w:t xml:space="preserve">mogą </w:t>
      </w:r>
      <w:r w:rsidR="003B33FF" w:rsidRPr="0075346A">
        <w:t>studi</w:t>
      </w:r>
      <w:r w:rsidR="00BB2913">
        <w:t xml:space="preserve">ować </w:t>
      </w:r>
      <w:r w:rsidR="003B33FF" w:rsidRPr="0075346A">
        <w:t>dw</w:t>
      </w:r>
      <w:r w:rsidR="00BB2913">
        <w:t xml:space="preserve">ie </w:t>
      </w:r>
      <w:r w:rsidR="003B33FF" w:rsidRPr="0075346A">
        <w:t xml:space="preserve">na </w:t>
      </w:r>
      <w:r w:rsidR="00BB2913">
        <w:t>pięć osób</w:t>
      </w:r>
      <w:r w:rsidR="003B33FF" w:rsidRPr="0075346A">
        <w:t xml:space="preserve">. Życie to jednak nie tylko szkoła, </w:t>
      </w:r>
      <w:r w:rsidR="00CC78F1" w:rsidRPr="0075346A">
        <w:t xml:space="preserve">dlatego </w:t>
      </w:r>
      <w:r w:rsidR="00237B42" w:rsidRPr="0075346A">
        <w:t>s</w:t>
      </w:r>
      <w:r w:rsidRPr="0075346A">
        <w:t xml:space="preserve">prawdziliśmy </w:t>
      </w:r>
      <w:r w:rsidR="002669F7" w:rsidRPr="0075346A">
        <w:t xml:space="preserve">w Rejestrze Dłużników BIG InfoMonitor i w bazie Biura Informacji Kredytowej </w:t>
      </w:r>
      <w:r w:rsidR="004C67FE" w:rsidRPr="0075346A">
        <w:t xml:space="preserve">jak </w:t>
      </w:r>
      <w:r w:rsidR="00090FC5" w:rsidRPr="0075346A">
        <w:t xml:space="preserve">wszyscy </w:t>
      </w:r>
      <w:r w:rsidR="000D128E" w:rsidRPr="0075346A">
        <w:t xml:space="preserve">młodzi </w:t>
      </w:r>
      <w:r w:rsidR="00481085" w:rsidRPr="0075346A">
        <w:t>zaliczyli licencjat w radzeniu sobie z finansami</w:t>
      </w:r>
      <w:r w:rsidR="00E5187D" w:rsidRPr="0075346A">
        <w:t xml:space="preserve"> na co dzień</w:t>
      </w:r>
      <w:r w:rsidR="00481085" w:rsidRPr="0075346A">
        <w:t xml:space="preserve">. </w:t>
      </w:r>
      <w:r w:rsidR="004C67FE" w:rsidRPr="0075346A">
        <w:t xml:space="preserve">Okazało się, że </w:t>
      </w:r>
      <w:r w:rsidR="00B16509" w:rsidRPr="0075346A">
        <w:t xml:space="preserve">w porównaniu z innymi grupami wiekowymi, </w:t>
      </w:r>
      <w:r w:rsidR="004C67FE" w:rsidRPr="0075346A">
        <w:t>w</w:t>
      </w:r>
      <w:r w:rsidR="000D128E" w:rsidRPr="0075346A">
        <w:t xml:space="preserve"> ciągu t</w:t>
      </w:r>
      <w:r w:rsidR="00481085" w:rsidRPr="0075346A">
        <w:t>rzech lat</w:t>
      </w:r>
      <w:r w:rsidR="003B33FF" w:rsidRPr="0075346A">
        <w:t>, od czerwca 2016 do czerwca 2019 r.</w:t>
      </w:r>
      <w:r w:rsidR="004C67FE" w:rsidRPr="0075346A">
        <w:t>,</w:t>
      </w:r>
      <w:r w:rsidR="000D128E" w:rsidRPr="0075346A">
        <w:t xml:space="preserve"> w</w:t>
      </w:r>
      <w:r w:rsidR="004C67FE" w:rsidRPr="0075346A">
        <w:t xml:space="preserve">śród </w:t>
      </w:r>
      <w:r w:rsidR="002669F7" w:rsidRPr="0075346A">
        <w:t xml:space="preserve">18-24 latków </w:t>
      </w:r>
      <w:r w:rsidR="000D128E" w:rsidRPr="0075346A">
        <w:t>przybyło najmniej niesolidnych dłuż</w:t>
      </w:r>
      <w:r w:rsidR="00814D3D" w:rsidRPr="0075346A">
        <w:t xml:space="preserve">ników. Gdy średnio liczba osób </w:t>
      </w:r>
      <w:r w:rsidR="000D128E" w:rsidRPr="0075346A">
        <w:t>opóźniających spłatę kredytów i bieżących rachunków wz</w:t>
      </w:r>
      <w:r w:rsidR="00E32444" w:rsidRPr="0075346A">
        <w:t>r</w:t>
      </w:r>
      <w:r w:rsidR="002669F7" w:rsidRPr="0075346A">
        <w:t>osła o 22 proc.</w:t>
      </w:r>
      <w:r w:rsidR="00814D3D" w:rsidRPr="0075346A">
        <w:t>,</w:t>
      </w:r>
      <w:r w:rsidR="002669F7" w:rsidRPr="0075346A">
        <w:t xml:space="preserve"> </w:t>
      </w:r>
      <w:r w:rsidR="000E74FD" w:rsidRPr="0075346A">
        <w:t xml:space="preserve">u </w:t>
      </w:r>
      <w:r w:rsidR="002669F7" w:rsidRPr="0075346A">
        <w:t>młodych</w:t>
      </w:r>
      <w:r w:rsidR="000E74FD" w:rsidRPr="0075346A">
        <w:t xml:space="preserve"> </w:t>
      </w:r>
      <w:r w:rsidR="002669F7" w:rsidRPr="0075346A">
        <w:t xml:space="preserve">było to </w:t>
      </w:r>
      <w:r w:rsidR="000D128E" w:rsidRPr="0075346A">
        <w:t xml:space="preserve">7 proc. </w:t>
      </w:r>
      <w:r w:rsidR="00FB0184" w:rsidRPr="0075346A">
        <w:t>(n</w:t>
      </w:r>
      <w:r w:rsidR="002669F7" w:rsidRPr="0075346A">
        <w:t>ajgorzej wypadli</w:t>
      </w:r>
      <w:r w:rsidR="0075346A" w:rsidRPr="0075346A">
        <w:t xml:space="preserve"> </w:t>
      </w:r>
      <w:r w:rsidR="00E32444" w:rsidRPr="0075346A">
        <w:t>45-54 latkowie</w:t>
      </w:r>
      <w:r w:rsidR="002669F7" w:rsidRPr="0075346A">
        <w:t>)</w:t>
      </w:r>
      <w:r w:rsidR="00090FC5" w:rsidRPr="0075346A">
        <w:t>. N</w:t>
      </w:r>
      <w:r w:rsidR="006062F1" w:rsidRPr="0075346A">
        <w:t xml:space="preserve">iespłacone zobowiązania ma </w:t>
      </w:r>
      <w:r w:rsidR="007F3BFB" w:rsidRPr="0075346A">
        <w:t xml:space="preserve">około </w:t>
      </w:r>
      <w:r w:rsidR="006062F1" w:rsidRPr="0075346A">
        <w:t>150 tys. osób</w:t>
      </w:r>
      <w:r w:rsidR="00B16509" w:rsidRPr="0075346A">
        <w:t xml:space="preserve"> </w:t>
      </w:r>
      <w:r w:rsidR="00090FC5" w:rsidRPr="0075346A">
        <w:t>z 3,1 mln w wieku 18-</w:t>
      </w:r>
      <w:r w:rsidR="00B16509" w:rsidRPr="0075346A">
        <w:t xml:space="preserve">24 </w:t>
      </w:r>
      <w:r w:rsidR="00090FC5" w:rsidRPr="0075346A">
        <w:t>lat.</w:t>
      </w:r>
      <w:r w:rsidR="006062F1" w:rsidRPr="0075346A">
        <w:t xml:space="preserve"> </w:t>
      </w:r>
    </w:p>
    <w:p w14:paraId="119973E5" w14:textId="77777777" w:rsidR="002235F3" w:rsidRPr="0075346A" w:rsidRDefault="002235F3" w:rsidP="00F70F61">
      <w:pPr>
        <w:jc w:val="both"/>
      </w:pPr>
    </w:p>
    <w:p w14:paraId="545B0C59" w14:textId="290882F5" w:rsidR="006062F1" w:rsidRPr="0075346A" w:rsidRDefault="006062F1" w:rsidP="00F70F61">
      <w:pPr>
        <w:jc w:val="both"/>
        <w:rPr>
          <w:b/>
        </w:rPr>
      </w:pPr>
      <w:r w:rsidRPr="0075346A">
        <w:t>-</w:t>
      </w:r>
      <w:r w:rsidR="0075346A" w:rsidRPr="0075346A">
        <w:t xml:space="preserve"> </w:t>
      </w:r>
      <w:r w:rsidRPr="0075346A">
        <w:rPr>
          <w:i/>
        </w:rPr>
        <w:t>Z</w:t>
      </w:r>
      <w:r w:rsidR="00FB0184" w:rsidRPr="0075346A">
        <w:rPr>
          <w:i/>
        </w:rPr>
        <w:t xml:space="preserve">a </w:t>
      </w:r>
      <w:r w:rsidR="000E74FD" w:rsidRPr="0075346A">
        <w:rPr>
          <w:i/>
        </w:rPr>
        <w:t xml:space="preserve">umiejętność unikania finansowych kłopotów </w:t>
      </w:r>
      <w:r w:rsidR="002669F7" w:rsidRPr="0075346A">
        <w:rPr>
          <w:i/>
        </w:rPr>
        <w:t>można postawić w</w:t>
      </w:r>
      <w:r w:rsidR="00B16509" w:rsidRPr="0075346A">
        <w:rPr>
          <w:i/>
        </w:rPr>
        <w:t>kraczającym</w:t>
      </w:r>
      <w:r w:rsidR="002669F7" w:rsidRPr="0075346A">
        <w:rPr>
          <w:i/>
        </w:rPr>
        <w:t xml:space="preserve"> w dorosłość </w:t>
      </w:r>
      <w:r w:rsidR="000E74FD" w:rsidRPr="0075346A">
        <w:rPr>
          <w:i/>
        </w:rPr>
        <w:t>mocną czwórkę.</w:t>
      </w:r>
      <w:r w:rsidR="009551B1" w:rsidRPr="0075346A">
        <w:rPr>
          <w:i/>
        </w:rPr>
        <w:t xml:space="preserve"> Wyższa ocen</w:t>
      </w:r>
      <w:r w:rsidRPr="0075346A">
        <w:rPr>
          <w:i/>
        </w:rPr>
        <w:t>a</w:t>
      </w:r>
      <w:r w:rsidR="00E5187D" w:rsidRPr="0075346A">
        <w:rPr>
          <w:i/>
        </w:rPr>
        <w:t xml:space="preserve"> nie wchodzi w grę, bo </w:t>
      </w:r>
      <w:r w:rsidR="009551B1" w:rsidRPr="0075346A">
        <w:rPr>
          <w:i/>
        </w:rPr>
        <w:t xml:space="preserve">problemy ma </w:t>
      </w:r>
      <w:r w:rsidRPr="0075346A">
        <w:rPr>
          <w:i/>
        </w:rPr>
        <w:t xml:space="preserve">już </w:t>
      </w:r>
      <w:r w:rsidR="00E5187D" w:rsidRPr="0075346A">
        <w:rPr>
          <w:i/>
        </w:rPr>
        <w:t xml:space="preserve">jednak </w:t>
      </w:r>
      <w:r w:rsidR="009551B1" w:rsidRPr="0075346A">
        <w:rPr>
          <w:i/>
        </w:rPr>
        <w:t xml:space="preserve">co dwudziesty 18-24 latek, </w:t>
      </w:r>
      <w:r w:rsidRPr="0075346A">
        <w:rPr>
          <w:i/>
        </w:rPr>
        <w:t xml:space="preserve">podczas gdy </w:t>
      </w:r>
      <w:r w:rsidR="009551B1" w:rsidRPr="0075346A">
        <w:rPr>
          <w:i/>
        </w:rPr>
        <w:t>przed trzema laty był to co 25. Do tego trzeba</w:t>
      </w:r>
      <w:r w:rsidRPr="0075346A">
        <w:rPr>
          <w:i/>
        </w:rPr>
        <w:t xml:space="preserve"> niestety </w:t>
      </w:r>
      <w:r w:rsidR="009551B1" w:rsidRPr="0075346A">
        <w:rPr>
          <w:i/>
        </w:rPr>
        <w:t>dodać</w:t>
      </w:r>
      <w:r w:rsidRPr="0075346A">
        <w:rPr>
          <w:i/>
        </w:rPr>
        <w:t xml:space="preserve"> fakt</w:t>
      </w:r>
      <w:r w:rsidR="009551B1" w:rsidRPr="0075346A">
        <w:rPr>
          <w:i/>
        </w:rPr>
        <w:t>, że m</w:t>
      </w:r>
      <w:r w:rsidR="000E74FD" w:rsidRPr="0075346A">
        <w:rPr>
          <w:i/>
        </w:rPr>
        <w:t>łodzi,</w:t>
      </w:r>
      <w:r w:rsidR="00FB0184" w:rsidRPr="0075346A">
        <w:rPr>
          <w:i/>
        </w:rPr>
        <w:t xml:space="preserve"> </w:t>
      </w:r>
      <w:r w:rsidR="002669F7" w:rsidRPr="0075346A">
        <w:rPr>
          <w:i/>
        </w:rPr>
        <w:t>któr</w:t>
      </w:r>
      <w:r w:rsidR="000E74FD" w:rsidRPr="0075346A">
        <w:rPr>
          <w:i/>
        </w:rPr>
        <w:t xml:space="preserve">zy </w:t>
      </w:r>
      <w:r w:rsidR="002669F7" w:rsidRPr="0075346A">
        <w:rPr>
          <w:i/>
        </w:rPr>
        <w:t>wpad</w:t>
      </w:r>
      <w:r w:rsidR="000E74FD" w:rsidRPr="0075346A">
        <w:rPr>
          <w:i/>
        </w:rPr>
        <w:t xml:space="preserve">ną </w:t>
      </w:r>
      <w:r w:rsidR="002669F7" w:rsidRPr="0075346A">
        <w:rPr>
          <w:i/>
        </w:rPr>
        <w:t xml:space="preserve">w kłopoty, albo już je mają </w:t>
      </w:r>
      <w:r w:rsidR="00FB0184" w:rsidRPr="0075346A">
        <w:rPr>
          <w:i/>
        </w:rPr>
        <w:t xml:space="preserve">powiększają swoje zaległości w znacznie szybszym tempie niż starsze pokolenia. </w:t>
      </w:r>
      <w:r w:rsidRPr="0075346A">
        <w:rPr>
          <w:i/>
        </w:rPr>
        <w:t>I za to niestety musimy wystawić 1</w:t>
      </w:r>
      <w:r w:rsidRPr="0075346A">
        <w:t xml:space="preserve"> – mówi </w:t>
      </w:r>
      <w:r w:rsidRPr="0075346A">
        <w:rPr>
          <w:b/>
        </w:rPr>
        <w:t xml:space="preserve">Sławomir Grzelczak, prezes BIG InfoMonitor. </w:t>
      </w:r>
    </w:p>
    <w:p w14:paraId="24BB84C9" w14:textId="77777777" w:rsidR="00814D3D" w:rsidRPr="0075346A" w:rsidRDefault="00814D3D" w:rsidP="00F70F61">
      <w:pPr>
        <w:jc w:val="both"/>
      </w:pPr>
    </w:p>
    <w:p w14:paraId="4239F438" w14:textId="65D5C820" w:rsidR="00814D3D" w:rsidRPr="0075346A" w:rsidRDefault="003017D0" w:rsidP="00F70F61">
      <w:pPr>
        <w:jc w:val="both"/>
        <w:rPr>
          <w:b/>
        </w:rPr>
      </w:pPr>
      <w:r w:rsidRPr="0075346A">
        <w:rPr>
          <w:b/>
        </w:rPr>
        <w:t xml:space="preserve">Rosną kwoty rekordowych zaległości  </w:t>
      </w:r>
    </w:p>
    <w:p w14:paraId="527F9FC2" w14:textId="77777777" w:rsidR="003017D0" w:rsidRPr="0075346A" w:rsidRDefault="003017D0" w:rsidP="00F70F61">
      <w:pPr>
        <w:jc w:val="both"/>
      </w:pPr>
    </w:p>
    <w:p w14:paraId="1D7B5A5E" w14:textId="51DD3424" w:rsidR="008645B2" w:rsidRPr="0075346A" w:rsidRDefault="009551B1" w:rsidP="00F70F61">
      <w:pPr>
        <w:jc w:val="both"/>
      </w:pPr>
      <w:r w:rsidRPr="0075346A">
        <w:t xml:space="preserve">W trzy lata </w:t>
      </w:r>
      <w:r w:rsidR="006062F1" w:rsidRPr="0075346A">
        <w:t>zaległości 18-24 latków wzrosły o połowę</w:t>
      </w:r>
      <w:r w:rsidRPr="0075346A">
        <w:t xml:space="preserve">. </w:t>
      </w:r>
      <w:r w:rsidR="006062F1" w:rsidRPr="0075346A">
        <w:t>Po czerwcu</w:t>
      </w:r>
      <w:r w:rsidRPr="0075346A">
        <w:t xml:space="preserve"> 2016 r. </w:t>
      </w:r>
      <w:r w:rsidR="006062F1" w:rsidRPr="0075346A">
        <w:t xml:space="preserve">ich </w:t>
      </w:r>
      <w:r w:rsidRPr="0075346A">
        <w:t>śr</w:t>
      </w:r>
      <w:r w:rsidR="00EB09D7" w:rsidRPr="0075346A">
        <w:t xml:space="preserve">ednie przeterminowane zobowiązanie </w:t>
      </w:r>
      <w:r w:rsidR="000E74FD" w:rsidRPr="0075346A">
        <w:t>wynosił</w:t>
      </w:r>
      <w:r w:rsidR="00EB09D7" w:rsidRPr="0075346A">
        <w:t>o</w:t>
      </w:r>
      <w:r w:rsidR="000E74FD" w:rsidRPr="0075346A">
        <w:t xml:space="preserve"> 4,9 tys. zł</w:t>
      </w:r>
      <w:r w:rsidR="00EB09D7" w:rsidRPr="0075346A">
        <w:t>, a</w:t>
      </w:r>
      <w:r w:rsidR="00090FC5" w:rsidRPr="0075346A">
        <w:t xml:space="preserve"> teraz </w:t>
      </w:r>
      <w:r w:rsidR="000E74FD" w:rsidRPr="0075346A">
        <w:t xml:space="preserve">dochodzi do 7,1 tys. zł (podobnie źle </w:t>
      </w:r>
      <w:r w:rsidR="00090FC5" w:rsidRPr="0075346A">
        <w:t>sytuacja przedstawia się wśród</w:t>
      </w:r>
      <w:r w:rsidR="0075346A" w:rsidRPr="0075346A">
        <w:t xml:space="preserve"> </w:t>
      </w:r>
      <w:r w:rsidR="000E74FD" w:rsidRPr="0075346A">
        <w:t>senior</w:t>
      </w:r>
      <w:r w:rsidR="00090FC5" w:rsidRPr="0075346A">
        <w:t>ów</w:t>
      </w:r>
      <w:r w:rsidR="000E74FD" w:rsidRPr="0075346A">
        <w:t xml:space="preserve">). </w:t>
      </w:r>
      <w:r w:rsidR="00B16509" w:rsidRPr="0075346A">
        <w:t>Dla porównania</w:t>
      </w:r>
      <w:r w:rsidR="00E5187D" w:rsidRPr="0075346A">
        <w:t>,</w:t>
      </w:r>
      <w:r w:rsidR="00B16509" w:rsidRPr="0075346A">
        <w:t xml:space="preserve"> </w:t>
      </w:r>
      <w:r w:rsidR="000E74FD" w:rsidRPr="0075346A">
        <w:t>zaległości w</w:t>
      </w:r>
      <w:r w:rsidR="006062F1" w:rsidRPr="0075346A">
        <w:t xml:space="preserve">szystkich niesolidnych dłużników </w:t>
      </w:r>
      <w:r w:rsidR="00B16509" w:rsidRPr="0075346A">
        <w:t xml:space="preserve">przez trzy lata powiększyły się </w:t>
      </w:r>
      <w:r w:rsidR="00EB09D7" w:rsidRPr="0075346A">
        <w:t xml:space="preserve">o </w:t>
      </w:r>
      <w:r w:rsidR="00B16509" w:rsidRPr="0075346A">
        <w:t>jedną trzecią</w:t>
      </w:r>
      <w:r w:rsidR="000E74FD" w:rsidRPr="0075346A">
        <w:t>.</w:t>
      </w:r>
      <w:r w:rsidR="004675AA" w:rsidRPr="0075346A">
        <w:t xml:space="preserve"> </w:t>
      </w:r>
      <w:r w:rsidR="008645B2" w:rsidRPr="0075346A">
        <w:t>Jak zmieniła</w:t>
      </w:r>
      <w:r w:rsidR="004675AA" w:rsidRPr="0075346A">
        <w:t xml:space="preserve"> się </w:t>
      </w:r>
      <w:r w:rsidR="008645B2" w:rsidRPr="0075346A">
        <w:t>skala długów młodych osób najlepiej widać po tym</w:t>
      </w:r>
      <w:r w:rsidR="00E84625" w:rsidRPr="0075346A">
        <w:t>,</w:t>
      </w:r>
      <w:r w:rsidR="008645B2" w:rsidRPr="0075346A">
        <w:t xml:space="preserve"> jak zmieniły się problemy rekordzistów. Gdy </w:t>
      </w:r>
      <w:r w:rsidR="00EB09D7" w:rsidRPr="0075346A">
        <w:t>rok temu największy dłużnik</w:t>
      </w:r>
      <w:r w:rsidR="0075346A" w:rsidRPr="0075346A">
        <w:t xml:space="preserve"> </w:t>
      </w:r>
      <w:r w:rsidR="00EB09D7" w:rsidRPr="0075346A">
        <w:t>22-</w:t>
      </w:r>
      <w:r w:rsidR="008645B2" w:rsidRPr="0075346A">
        <w:t>latek</w:t>
      </w:r>
      <w:r w:rsidR="0058635A" w:rsidRPr="0075346A">
        <w:t xml:space="preserve"> m</w:t>
      </w:r>
      <w:r w:rsidR="008645B2" w:rsidRPr="0075346A">
        <w:t xml:space="preserve">iał niecałe </w:t>
      </w:r>
      <w:r w:rsidR="004C67FE" w:rsidRPr="0075346A">
        <w:t>1,9</w:t>
      </w:r>
      <w:r w:rsidR="008645B2" w:rsidRPr="0075346A">
        <w:t xml:space="preserve"> mln zł zaległości w tym roku </w:t>
      </w:r>
      <w:r w:rsidR="006062F1" w:rsidRPr="0075346A">
        <w:t xml:space="preserve">rekordzista </w:t>
      </w:r>
      <w:r w:rsidR="00EB09D7" w:rsidRPr="0075346A">
        <w:t>23-</w:t>
      </w:r>
      <w:r w:rsidR="004C67FE" w:rsidRPr="0075346A">
        <w:t>latek ma</w:t>
      </w:r>
      <w:r w:rsidR="008645B2" w:rsidRPr="0075346A">
        <w:t xml:space="preserve"> </w:t>
      </w:r>
      <w:r w:rsidR="006062F1" w:rsidRPr="0075346A">
        <w:t xml:space="preserve">na minusie </w:t>
      </w:r>
      <w:r w:rsidR="0058635A" w:rsidRPr="0075346A">
        <w:t xml:space="preserve">niemal </w:t>
      </w:r>
      <w:r w:rsidR="008645B2" w:rsidRPr="0075346A">
        <w:t>3,5 mln zł.</w:t>
      </w:r>
      <w:r w:rsidR="00E5187D" w:rsidRPr="0075346A">
        <w:t xml:space="preserve"> Co ciekawe w </w:t>
      </w:r>
      <w:r w:rsidR="000E74FD" w:rsidRPr="0075346A">
        <w:t>dziesiątce</w:t>
      </w:r>
      <w:r w:rsidR="0058635A" w:rsidRPr="0075346A">
        <w:t xml:space="preserve"> </w:t>
      </w:r>
      <w:r w:rsidR="00B16509" w:rsidRPr="0075346A">
        <w:t xml:space="preserve">obecnych </w:t>
      </w:r>
      <w:r w:rsidR="0058635A" w:rsidRPr="0075346A">
        <w:t xml:space="preserve">rekordzistów </w:t>
      </w:r>
      <w:r w:rsidR="000E74FD" w:rsidRPr="0075346A">
        <w:t xml:space="preserve">pojawiły się też </w:t>
      </w:r>
      <w:r w:rsidR="0058635A" w:rsidRPr="0075346A">
        <w:t xml:space="preserve">aż cztery </w:t>
      </w:r>
      <w:r w:rsidR="000E74FD" w:rsidRPr="0075346A">
        <w:t xml:space="preserve">kobiety, </w:t>
      </w:r>
      <w:r w:rsidR="00EB09D7" w:rsidRPr="0075346A">
        <w:t xml:space="preserve">podczas gdy </w:t>
      </w:r>
      <w:r w:rsidR="00B16509" w:rsidRPr="0075346A">
        <w:t xml:space="preserve">przed </w:t>
      </w:r>
      <w:r w:rsidR="000E74FD" w:rsidRPr="0075346A">
        <w:t>rok</w:t>
      </w:r>
      <w:r w:rsidR="00B16509" w:rsidRPr="0075346A">
        <w:t>iem</w:t>
      </w:r>
      <w:r w:rsidR="000E74FD" w:rsidRPr="0075346A">
        <w:t xml:space="preserve"> była jedna. </w:t>
      </w:r>
    </w:p>
    <w:p w14:paraId="46FFC0A7" w14:textId="77777777" w:rsidR="002235F3" w:rsidRPr="0075346A" w:rsidRDefault="002235F3" w:rsidP="00F70F61">
      <w:pPr>
        <w:jc w:val="both"/>
      </w:pPr>
    </w:p>
    <w:p w14:paraId="6ECE1E56" w14:textId="66D6D600" w:rsidR="00776725" w:rsidRPr="0075346A" w:rsidRDefault="00776725" w:rsidP="00F70F61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75346A">
        <w:fldChar w:fldCharType="begin"/>
      </w:r>
      <w:r w:rsidRPr="0075346A">
        <w:instrText xml:space="preserve"> LINK </w:instrText>
      </w:r>
      <w:r w:rsidR="00960AC8">
        <w:instrText xml:space="preserve">Excel.Sheet.12 "C:\\Users\\halina.kochalska\\Documents\\Młodzi 09.2019.xlsx" Arkusz1!W112K10:W122K13 </w:instrText>
      </w:r>
      <w:r w:rsidRPr="0075346A">
        <w:instrText xml:space="preserve">\a \f 4 \h </w:instrText>
      </w:r>
      <w:r w:rsidR="0075346A">
        <w:instrText xml:space="preserve"> \* MERGEFORMAT </w:instrText>
      </w:r>
      <w:r w:rsidRPr="0075346A">
        <w:fldChar w:fldCharType="separate"/>
      </w:r>
    </w:p>
    <w:p w14:paraId="11587DAA" w14:textId="77777777" w:rsidR="0095470C" w:rsidRPr="0075346A" w:rsidRDefault="00776725" w:rsidP="00F70F61">
      <w:pPr>
        <w:jc w:val="both"/>
      </w:pPr>
      <w:r w:rsidRPr="0075346A">
        <w:fldChar w:fldCharType="end"/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18"/>
        <w:gridCol w:w="610"/>
        <w:gridCol w:w="1783"/>
      </w:tblGrid>
      <w:tr w:rsidR="0095470C" w:rsidRPr="0095470C" w14:paraId="56C48038" w14:textId="77777777" w:rsidTr="0095470C">
        <w:trPr>
          <w:trHeight w:val="30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AD98B5F" w14:textId="77777777" w:rsidR="0095470C" w:rsidRPr="0095470C" w:rsidRDefault="0095470C" w:rsidP="009547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5470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Rekordowe zaległości młodych osób</w:t>
            </w:r>
          </w:p>
        </w:tc>
      </w:tr>
      <w:tr w:rsidR="0095470C" w:rsidRPr="0095470C" w14:paraId="2B8E9DB6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4B77D3D6" w14:textId="77777777" w:rsidR="0095470C" w:rsidRPr="0095470C" w:rsidRDefault="0095470C" w:rsidP="0095470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5470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Województwo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4F069D5F" w14:textId="77777777" w:rsidR="0095470C" w:rsidRPr="0095470C" w:rsidRDefault="0095470C" w:rsidP="0095470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5470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Płeć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4BD01D2D" w14:textId="77777777" w:rsidR="0095470C" w:rsidRPr="0095470C" w:rsidRDefault="0095470C" w:rsidP="0095470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5470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Wiek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09FC351F" w14:textId="77777777" w:rsidR="0095470C" w:rsidRPr="0095470C" w:rsidRDefault="0095470C" w:rsidP="0095470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5470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Kwota zaległości</w:t>
            </w:r>
          </w:p>
        </w:tc>
      </w:tr>
      <w:tr w:rsidR="0095470C" w:rsidRPr="0095470C" w14:paraId="61E8EF04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27B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LUBELSKIE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77A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F09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38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3 425 712</w:t>
            </w:r>
          </w:p>
        </w:tc>
      </w:tr>
      <w:tr w:rsidR="0095470C" w:rsidRPr="0095470C" w14:paraId="16E82DAF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2663E4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MAZOWIECKIE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BD2E9D6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617F94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67F329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1 582 826</w:t>
            </w:r>
          </w:p>
        </w:tc>
      </w:tr>
      <w:tr w:rsidR="0095470C" w:rsidRPr="0095470C" w14:paraId="7F28AF15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87B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MAZOWIECKIE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295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72F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3BC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1 493 354</w:t>
            </w:r>
          </w:p>
        </w:tc>
      </w:tr>
      <w:tr w:rsidR="0095470C" w:rsidRPr="0095470C" w14:paraId="6056BDF9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6D1A606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MAŁOPOLSKIE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DB1583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D51A8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689CDD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993 692</w:t>
            </w:r>
          </w:p>
        </w:tc>
      </w:tr>
      <w:tr w:rsidR="0095470C" w:rsidRPr="0095470C" w14:paraId="6DA99159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4AD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PODLASKIE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E48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62F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B21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624 891</w:t>
            </w:r>
          </w:p>
        </w:tc>
      </w:tr>
      <w:tr w:rsidR="0095470C" w:rsidRPr="0095470C" w14:paraId="4529EF15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3A04A9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D18E80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354ACCC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760851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622 354</w:t>
            </w:r>
          </w:p>
        </w:tc>
      </w:tr>
      <w:tr w:rsidR="0095470C" w:rsidRPr="0095470C" w14:paraId="4E0F61B3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26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WARMIŃSKO-MAZURSKIE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2F1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07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C8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564 050</w:t>
            </w:r>
          </w:p>
        </w:tc>
      </w:tr>
      <w:tr w:rsidR="0095470C" w:rsidRPr="0095470C" w14:paraId="43B45A8E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24001F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KUJAWSKO-POMORSKIE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325805F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BAB7EB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2E926F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547 836</w:t>
            </w:r>
          </w:p>
        </w:tc>
      </w:tr>
      <w:tr w:rsidR="0095470C" w:rsidRPr="0095470C" w14:paraId="4E5C301A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632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KUJAWSKO-POMORSKIE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97B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47C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C2D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543 346</w:t>
            </w:r>
          </w:p>
        </w:tc>
      </w:tr>
      <w:tr w:rsidR="0095470C" w:rsidRPr="0095470C" w14:paraId="53604391" w14:textId="77777777" w:rsidTr="0095470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AE228C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702B2D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3540C6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02ED8E" w14:textId="77777777" w:rsidR="0095470C" w:rsidRPr="0095470C" w:rsidRDefault="0095470C" w:rsidP="00954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70C">
              <w:rPr>
                <w:rFonts w:ascii="Calibri" w:hAnsi="Calibri"/>
                <w:color w:val="000000"/>
                <w:sz w:val="22"/>
                <w:szCs w:val="22"/>
              </w:rPr>
              <w:t>458 999</w:t>
            </w:r>
          </w:p>
        </w:tc>
      </w:tr>
    </w:tbl>
    <w:p w14:paraId="035BF003" w14:textId="1E291994" w:rsidR="002235F3" w:rsidRPr="0075346A" w:rsidRDefault="002235F3" w:rsidP="00F70F61">
      <w:pPr>
        <w:jc w:val="both"/>
        <w:rPr>
          <w:i/>
          <w:sz w:val="18"/>
          <w:szCs w:val="18"/>
        </w:rPr>
      </w:pPr>
      <w:r w:rsidRPr="0075346A">
        <w:rPr>
          <w:i/>
          <w:sz w:val="18"/>
          <w:szCs w:val="18"/>
        </w:rPr>
        <w:t>Źródło: BIG InfoMonitor i BIK</w:t>
      </w:r>
    </w:p>
    <w:p w14:paraId="1EA361E4" w14:textId="77777777" w:rsidR="00776725" w:rsidRPr="0075346A" w:rsidRDefault="00776725" w:rsidP="00F70F61">
      <w:pPr>
        <w:jc w:val="both"/>
      </w:pPr>
    </w:p>
    <w:p w14:paraId="154F2CD1" w14:textId="4691F8E2" w:rsidR="00B915FC" w:rsidRPr="0075346A" w:rsidRDefault="006062F1" w:rsidP="00B915FC">
      <w:pPr>
        <w:jc w:val="both"/>
      </w:pPr>
      <w:r w:rsidRPr="0075346A">
        <w:t xml:space="preserve">Razem </w:t>
      </w:r>
      <w:r w:rsidR="00B16509" w:rsidRPr="0075346A">
        <w:t xml:space="preserve">wszyscy </w:t>
      </w:r>
      <w:r w:rsidRPr="0075346A">
        <w:t xml:space="preserve">młodzi </w:t>
      </w:r>
      <w:r w:rsidR="00B16509" w:rsidRPr="0075346A">
        <w:t xml:space="preserve">mają </w:t>
      </w:r>
      <w:r w:rsidRPr="0075346A">
        <w:t xml:space="preserve">już ponad 1 miliard zaległości, wynika z danych </w:t>
      </w:r>
      <w:r w:rsidR="00E54B74" w:rsidRPr="0075346A">
        <w:t xml:space="preserve">Rejestru Dłużników </w:t>
      </w:r>
      <w:r w:rsidR="00B915FC" w:rsidRPr="0075346A">
        <w:t xml:space="preserve">BIG InfoMonitor </w:t>
      </w:r>
      <w:r w:rsidRPr="0075346A">
        <w:t xml:space="preserve">oraz z bazy </w:t>
      </w:r>
      <w:r w:rsidR="00EB09D7" w:rsidRPr="0075346A">
        <w:t>BIK. Prawie 526</w:t>
      </w:r>
      <w:r w:rsidR="00B915FC" w:rsidRPr="0075346A">
        <w:t xml:space="preserve"> mln zł </w:t>
      </w:r>
      <w:r w:rsidRPr="0075346A">
        <w:t xml:space="preserve">stanowią </w:t>
      </w:r>
      <w:r w:rsidR="00B915FC" w:rsidRPr="0075346A">
        <w:t xml:space="preserve">zaległości </w:t>
      </w:r>
      <w:proofErr w:type="spellStart"/>
      <w:r w:rsidR="00B915FC" w:rsidRPr="0075346A">
        <w:t>pozakredytowe</w:t>
      </w:r>
      <w:proofErr w:type="spellEnd"/>
      <w:r w:rsidR="00B915FC" w:rsidRPr="0075346A">
        <w:t xml:space="preserve">, a </w:t>
      </w:r>
      <w:r w:rsidR="00EB09D7" w:rsidRPr="0075346A">
        <w:t xml:space="preserve">ponad </w:t>
      </w:r>
      <w:r w:rsidR="00685032" w:rsidRPr="0075346A">
        <w:t xml:space="preserve">535 </w:t>
      </w:r>
      <w:r w:rsidR="00B915FC" w:rsidRPr="0075346A">
        <w:t>mln zł</w:t>
      </w:r>
      <w:r w:rsidR="00404556" w:rsidRPr="0075346A">
        <w:t xml:space="preserve"> </w:t>
      </w:r>
      <w:r w:rsidR="00E54B74" w:rsidRPr="0075346A">
        <w:t xml:space="preserve">zobowiązania kredytowe. </w:t>
      </w:r>
    </w:p>
    <w:p w14:paraId="664B720D" w14:textId="77777777" w:rsidR="002235F3" w:rsidRPr="0075346A" w:rsidRDefault="002235F3" w:rsidP="00B915FC">
      <w:pPr>
        <w:jc w:val="both"/>
      </w:pPr>
    </w:p>
    <w:p w14:paraId="197700BB" w14:textId="1C7366A7" w:rsidR="00B915FC" w:rsidRPr="0075346A" w:rsidRDefault="00B915FC" w:rsidP="00B915FC">
      <w:pPr>
        <w:jc w:val="both"/>
        <w:rPr>
          <w:i/>
        </w:rPr>
      </w:pPr>
      <w:r w:rsidRPr="0075346A">
        <w:t xml:space="preserve">– </w:t>
      </w:r>
      <w:r w:rsidRPr="0075346A">
        <w:rPr>
          <w:i/>
        </w:rPr>
        <w:t xml:space="preserve">Zadłużenie młodych </w:t>
      </w:r>
      <w:r w:rsidR="00947B5A" w:rsidRPr="0075346A">
        <w:rPr>
          <w:i/>
        </w:rPr>
        <w:t>ludzi</w:t>
      </w:r>
      <w:r w:rsidRPr="0075346A">
        <w:rPr>
          <w:i/>
        </w:rPr>
        <w:t xml:space="preserve"> to złożony problem. Po pierwsze</w:t>
      </w:r>
      <w:r w:rsidR="00947B5A" w:rsidRPr="0075346A">
        <w:rPr>
          <w:i/>
        </w:rPr>
        <w:t>,</w:t>
      </w:r>
      <w:r w:rsidRPr="0075346A">
        <w:rPr>
          <w:i/>
        </w:rPr>
        <w:t xml:space="preserve"> </w:t>
      </w:r>
      <w:r w:rsidR="00145FE2" w:rsidRPr="0075346A">
        <w:rPr>
          <w:i/>
        </w:rPr>
        <w:t>nie mają jeszcze</w:t>
      </w:r>
      <w:r w:rsidRPr="0075346A">
        <w:rPr>
          <w:i/>
        </w:rPr>
        <w:t xml:space="preserve"> oszczędności i</w:t>
      </w:r>
      <w:r w:rsidR="0075346A" w:rsidRPr="0075346A">
        <w:rPr>
          <w:i/>
        </w:rPr>
        <w:t xml:space="preserve"> </w:t>
      </w:r>
      <w:r w:rsidRPr="0075346A">
        <w:rPr>
          <w:i/>
        </w:rPr>
        <w:t xml:space="preserve">większe wydatki </w:t>
      </w:r>
      <w:r w:rsidR="00DA3553" w:rsidRPr="0075346A">
        <w:rPr>
          <w:i/>
        </w:rPr>
        <w:t>z</w:t>
      </w:r>
      <w:r w:rsidRPr="0075346A">
        <w:rPr>
          <w:i/>
        </w:rPr>
        <w:t>musz</w:t>
      </w:r>
      <w:r w:rsidR="00DA3553" w:rsidRPr="0075346A">
        <w:rPr>
          <w:i/>
        </w:rPr>
        <w:t>eni s</w:t>
      </w:r>
      <w:r w:rsidRPr="0075346A">
        <w:rPr>
          <w:i/>
        </w:rPr>
        <w:t>ą finansować pożyczony</w:t>
      </w:r>
      <w:r w:rsidR="008E4361" w:rsidRPr="0075346A">
        <w:rPr>
          <w:i/>
        </w:rPr>
        <w:t xml:space="preserve">mi </w:t>
      </w:r>
      <w:r w:rsidRPr="0075346A">
        <w:rPr>
          <w:i/>
        </w:rPr>
        <w:t>pieniędz</w:t>
      </w:r>
      <w:r w:rsidR="008E4361" w:rsidRPr="0075346A">
        <w:rPr>
          <w:i/>
        </w:rPr>
        <w:t>mi</w:t>
      </w:r>
      <w:r w:rsidRPr="0075346A">
        <w:rPr>
          <w:i/>
        </w:rPr>
        <w:t xml:space="preserve">. </w:t>
      </w:r>
      <w:r w:rsidR="00947B5A" w:rsidRPr="0075346A">
        <w:rPr>
          <w:i/>
        </w:rPr>
        <w:t>Dodatkowo,</w:t>
      </w:r>
      <w:r w:rsidRPr="0075346A">
        <w:rPr>
          <w:i/>
        </w:rPr>
        <w:t xml:space="preserve"> brakuje im często odpowiedniej edukacji finansowej. Połowa </w:t>
      </w:r>
      <w:r w:rsidR="00E54B74" w:rsidRPr="0075346A">
        <w:rPr>
          <w:i/>
        </w:rPr>
        <w:t xml:space="preserve">18-24 latków </w:t>
      </w:r>
      <w:r w:rsidR="008E4361" w:rsidRPr="0075346A">
        <w:rPr>
          <w:i/>
        </w:rPr>
        <w:t xml:space="preserve">przyznaje, że </w:t>
      </w:r>
      <w:r w:rsidR="003545E2" w:rsidRPr="0075346A">
        <w:rPr>
          <w:i/>
        </w:rPr>
        <w:t xml:space="preserve">ma niewielką </w:t>
      </w:r>
      <w:r w:rsidRPr="0075346A">
        <w:rPr>
          <w:i/>
        </w:rPr>
        <w:t xml:space="preserve">lub wręcz bardzo słabą wiedzę o finansach osobistych. </w:t>
      </w:r>
      <w:r w:rsidR="00F43F0D" w:rsidRPr="0075346A">
        <w:rPr>
          <w:i/>
        </w:rPr>
        <w:t xml:space="preserve">To powoduje popełnianie błędów, które mogą </w:t>
      </w:r>
      <w:r w:rsidR="006062F1" w:rsidRPr="0075346A">
        <w:rPr>
          <w:i/>
        </w:rPr>
        <w:t>potem</w:t>
      </w:r>
      <w:r w:rsidR="0075346A" w:rsidRPr="0075346A">
        <w:rPr>
          <w:i/>
        </w:rPr>
        <w:t xml:space="preserve"> </w:t>
      </w:r>
      <w:r w:rsidR="00F43F0D" w:rsidRPr="0075346A">
        <w:rPr>
          <w:i/>
        </w:rPr>
        <w:t>rzutować na całe dorosłe życie. W konsekwencji błędów młodości s</w:t>
      </w:r>
      <w:r w:rsidR="007C1BE9" w:rsidRPr="0075346A">
        <w:rPr>
          <w:i/>
        </w:rPr>
        <w:t xml:space="preserve">zczególnie dotkliwa </w:t>
      </w:r>
      <w:r w:rsidR="000C4DF4" w:rsidRPr="0075346A">
        <w:rPr>
          <w:i/>
        </w:rPr>
        <w:t xml:space="preserve">może </w:t>
      </w:r>
      <w:r w:rsidR="007C1BE9" w:rsidRPr="0075346A">
        <w:rPr>
          <w:i/>
        </w:rPr>
        <w:t xml:space="preserve">okazać się </w:t>
      </w:r>
      <w:r w:rsidR="003545E2" w:rsidRPr="0075346A">
        <w:rPr>
          <w:i/>
        </w:rPr>
        <w:t xml:space="preserve">np. </w:t>
      </w:r>
      <w:r w:rsidR="007C1BE9" w:rsidRPr="0075346A">
        <w:rPr>
          <w:i/>
        </w:rPr>
        <w:t>odmowa udzielenia kredytu</w:t>
      </w:r>
      <w:r w:rsidR="006062F1" w:rsidRPr="0075346A">
        <w:rPr>
          <w:i/>
        </w:rPr>
        <w:t xml:space="preserve"> i to w momencie</w:t>
      </w:r>
      <w:r w:rsidR="002235F3" w:rsidRPr="0075346A">
        <w:rPr>
          <w:i/>
        </w:rPr>
        <w:t>,</w:t>
      </w:r>
      <w:r w:rsidR="006062F1" w:rsidRPr="0075346A">
        <w:rPr>
          <w:i/>
        </w:rPr>
        <w:t xml:space="preserve"> gdy komuś będzie na tym najbardziej zależało. Ze względu</w:t>
      </w:r>
      <w:r w:rsidR="003545E2" w:rsidRPr="0075346A">
        <w:rPr>
          <w:i/>
        </w:rPr>
        <w:t xml:space="preserve"> </w:t>
      </w:r>
      <w:r w:rsidR="002235F3" w:rsidRPr="0075346A">
        <w:rPr>
          <w:i/>
        </w:rPr>
        <w:t xml:space="preserve">na </w:t>
      </w:r>
      <w:r w:rsidR="007C1BE9" w:rsidRPr="0075346A">
        <w:rPr>
          <w:i/>
        </w:rPr>
        <w:t>dług</w:t>
      </w:r>
      <w:r w:rsidR="003545E2" w:rsidRPr="0075346A">
        <w:rPr>
          <w:i/>
        </w:rPr>
        <w:t xml:space="preserve">i </w:t>
      </w:r>
      <w:r w:rsidR="007C1BE9" w:rsidRPr="0075346A">
        <w:rPr>
          <w:i/>
        </w:rPr>
        <w:t xml:space="preserve">w rejestrze BIG </w:t>
      </w:r>
      <w:r w:rsidR="003545E2" w:rsidRPr="0075346A">
        <w:rPr>
          <w:i/>
        </w:rPr>
        <w:t>lub</w:t>
      </w:r>
      <w:r w:rsidR="007C1BE9" w:rsidRPr="0075346A">
        <w:rPr>
          <w:i/>
        </w:rPr>
        <w:t xml:space="preserve"> </w:t>
      </w:r>
      <w:r w:rsidR="003545E2" w:rsidRPr="0075346A">
        <w:rPr>
          <w:i/>
        </w:rPr>
        <w:t xml:space="preserve">z powodu </w:t>
      </w:r>
      <w:r w:rsidR="007C1BE9" w:rsidRPr="0075346A">
        <w:rPr>
          <w:i/>
        </w:rPr>
        <w:t>złej historii kredytowej</w:t>
      </w:r>
      <w:r w:rsidR="006062F1" w:rsidRPr="0075346A">
        <w:rPr>
          <w:i/>
        </w:rPr>
        <w:t xml:space="preserve"> w BIK</w:t>
      </w:r>
      <w:r w:rsidR="002235F3" w:rsidRPr="0075346A">
        <w:rPr>
          <w:i/>
        </w:rPr>
        <w:t>,</w:t>
      </w:r>
      <w:r w:rsidR="006062F1" w:rsidRPr="0075346A">
        <w:rPr>
          <w:i/>
        </w:rPr>
        <w:t xml:space="preserve"> zainteresowany nie pożyczy pieniędzy np. na </w:t>
      </w:r>
      <w:r w:rsidR="00EB09D7" w:rsidRPr="0075346A">
        <w:rPr>
          <w:i/>
        </w:rPr>
        <w:t xml:space="preserve">uruchomienie </w:t>
      </w:r>
      <w:r w:rsidR="006062F1" w:rsidRPr="0075346A">
        <w:rPr>
          <w:i/>
        </w:rPr>
        <w:t>czy rozw</w:t>
      </w:r>
      <w:r w:rsidR="00EB09D7" w:rsidRPr="0075346A">
        <w:rPr>
          <w:i/>
        </w:rPr>
        <w:t xml:space="preserve">ój </w:t>
      </w:r>
      <w:r w:rsidR="006062F1" w:rsidRPr="0075346A">
        <w:rPr>
          <w:i/>
        </w:rPr>
        <w:t>biznesu lub zakup mieszkania</w:t>
      </w:r>
      <w:r w:rsidR="007C1BE9" w:rsidRPr="0075346A">
        <w:rPr>
          <w:i/>
        </w:rPr>
        <w:t xml:space="preserve"> </w:t>
      </w:r>
      <w:r w:rsidRPr="0075346A">
        <w:t xml:space="preserve">– mówi </w:t>
      </w:r>
      <w:r w:rsidRPr="0075346A">
        <w:rPr>
          <w:b/>
        </w:rPr>
        <w:t>Sławomir Grzelczak, prezes BIG InfoMonitor</w:t>
      </w:r>
      <w:r w:rsidR="00E85E01" w:rsidRPr="0075346A">
        <w:rPr>
          <w:b/>
        </w:rPr>
        <w:t xml:space="preserve">. </w:t>
      </w:r>
    </w:p>
    <w:p w14:paraId="2CCEE8CA" w14:textId="77777777" w:rsidR="00B915FC" w:rsidRPr="0075346A" w:rsidRDefault="00B915FC" w:rsidP="00B915FC">
      <w:pPr>
        <w:jc w:val="both"/>
      </w:pPr>
    </w:p>
    <w:p w14:paraId="18C55278" w14:textId="7E7E7DC5" w:rsidR="00B915FC" w:rsidRPr="0075346A" w:rsidRDefault="005D1454" w:rsidP="00B915FC">
      <w:pPr>
        <w:jc w:val="both"/>
        <w:rPr>
          <w:b/>
        </w:rPr>
      </w:pPr>
      <w:r w:rsidRPr="0075346A">
        <w:rPr>
          <w:b/>
        </w:rPr>
        <w:t>Naj</w:t>
      </w:r>
      <w:r w:rsidR="00BB2913">
        <w:rPr>
          <w:b/>
        </w:rPr>
        <w:t xml:space="preserve">gorzej radzą sobie </w:t>
      </w:r>
      <w:r w:rsidRPr="0075346A">
        <w:rPr>
          <w:b/>
        </w:rPr>
        <w:t>na Dolnym Śląsku</w:t>
      </w:r>
    </w:p>
    <w:p w14:paraId="62E5B4A5" w14:textId="64F27A81" w:rsidR="00A35045" w:rsidRPr="0075346A" w:rsidRDefault="00A35045" w:rsidP="00B915FC">
      <w:pPr>
        <w:jc w:val="both"/>
        <w:rPr>
          <w:b/>
        </w:rPr>
      </w:pPr>
    </w:p>
    <w:p w14:paraId="755BA515" w14:textId="37D29C81" w:rsidR="005D1454" w:rsidRPr="0075346A" w:rsidRDefault="00B915FC" w:rsidP="00B915FC">
      <w:pPr>
        <w:jc w:val="both"/>
      </w:pPr>
      <w:r w:rsidRPr="0075346A">
        <w:t>W podziale na województwa widać, że</w:t>
      </w:r>
      <w:r w:rsidR="00A35045" w:rsidRPr="0075346A">
        <w:t xml:space="preserve"> podobnie jak ogół Polaków również młodzi mieszkający w zachodniej</w:t>
      </w:r>
      <w:r w:rsidR="00CF7C4B" w:rsidRPr="0075346A">
        <w:t xml:space="preserve"> i </w:t>
      </w:r>
      <w:r w:rsidR="00B1197C" w:rsidRPr="0075346A">
        <w:t xml:space="preserve">północnej części kraju </w:t>
      </w:r>
      <w:r w:rsidR="00CF7C4B" w:rsidRPr="0075346A">
        <w:t xml:space="preserve">oraz na Górnym Śląsku </w:t>
      </w:r>
      <w:r w:rsidR="00B1197C" w:rsidRPr="0075346A">
        <w:t>n</w:t>
      </w:r>
      <w:r w:rsidR="00A35045" w:rsidRPr="0075346A">
        <w:t>ajczęściej mają problemy ze spłatą zobowiązań</w:t>
      </w:r>
      <w:r w:rsidR="00B1197C" w:rsidRPr="0075346A">
        <w:t xml:space="preserve">. </w:t>
      </w:r>
      <w:r w:rsidR="00EB09D7" w:rsidRPr="0075346A">
        <w:t xml:space="preserve">– </w:t>
      </w:r>
      <w:r w:rsidR="00EB09D7" w:rsidRPr="0075346A">
        <w:rPr>
          <w:i/>
        </w:rPr>
        <w:t xml:space="preserve">Pokazuje to wpływ rodziców </w:t>
      </w:r>
      <w:r w:rsidR="00E5187D" w:rsidRPr="0075346A">
        <w:rPr>
          <w:i/>
        </w:rPr>
        <w:t>na</w:t>
      </w:r>
      <w:r w:rsidR="005D1454" w:rsidRPr="0075346A">
        <w:rPr>
          <w:i/>
        </w:rPr>
        <w:t xml:space="preserve"> umiejętności gospodarowania </w:t>
      </w:r>
      <w:r w:rsidR="00E5187D" w:rsidRPr="0075346A">
        <w:rPr>
          <w:i/>
        </w:rPr>
        <w:t xml:space="preserve">pieniędzmi i podejmowania </w:t>
      </w:r>
      <w:r w:rsidR="00EB09D7" w:rsidRPr="0075346A">
        <w:rPr>
          <w:i/>
        </w:rPr>
        <w:t>finans</w:t>
      </w:r>
      <w:r w:rsidR="00E5187D" w:rsidRPr="0075346A">
        <w:rPr>
          <w:i/>
        </w:rPr>
        <w:t>owych decyzji</w:t>
      </w:r>
      <w:r w:rsidR="002235F3" w:rsidRPr="0075346A">
        <w:rPr>
          <w:i/>
        </w:rPr>
        <w:t xml:space="preserve"> przez dzieci</w:t>
      </w:r>
      <w:r w:rsidR="00E5187D" w:rsidRPr="0075346A">
        <w:rPr>
          <w:i/>
        </w:rPr>
        <w:t xml:space="preserve">. </w:t>
      </w:r>
      <w:r w:rsidR="002235F3" w:rsidRPr="0075346A">
        <w:rPr>
          <w:i/>
        </w:rPr>
        <w:t>Nawyki i edukacja jakie wynosi się</w:t>
      </w:r>
      <w:r w:rsidR="00EB09D7" w:rsidRPr="0075346A">
        <w:rPr>
          <w:i/>
        </w:rPr>
        <w:t xml:space="preserve"> z domu procentują</w:t>
      </w:r>
      <w:r w:rsidR="00E5187D" w:rsidRPr="0075346A">
        <w:rPr>
          <w:i/>
        </w:rPr>
        <w:t>,</w:t>
      </w:r>
      <w:r w:rsidR="00EB09D7" w:rsidRPr="0075346A">
        <w:rPr>
          <w:i/>
        </w:rPr>
        <w:t xml:space="preserve"> niestet</w:t>
      </w:r>
      <w:r w:rsidR="002235F3" w:rsidRPr="0075346A">
        <w:rPr>
          <w:i/>
        </w:rPr>
        <w:t>y nie zawsze pozytywnie</w:t>
      </w:r>
      <w:r w:rsidR="00EB09D7" w:rsidRPr="0075346A">
        <w:t xml:space="preserve"> – zwraca uwagę Sławomir Grzelczak.</w:t>
      </w:r>
      <w:r w:rsidR="0075346A" w:rsidRPr="0075346A">
        <w:t xml:space="preserve"> </w:t>
      </w:r>
      <w:r w:rsidR="00EB09D7" w:rsidRPr="0075346A">
        <w:t xml:space="preserve"> </w:t>
      </w:r>
    </w:p>
    <w:p w14:paraId="3B125578" w14:textId="73B06BFD" w:rsidR="00B1197C" w:rsidRPr="0075346A" w:rsidRDefault="00B1197C" w:rsidP="00B915FC">
      <w:pPr>
        <w:jc w:val="both"/>
      </w:pPr>
      <w:r w:rsidRPr="0075346A">
        <w:t xml:space="preserve">Najwięcej 18-24 latków w swojej grupie wiekowej ma problemy </w:t>
      </w:r>
      <w:r w:rsidR="00CF7C4B" w:rsidRPr="0075346A">
        <w:t xml:space="preserve">finansowe </w:t>
      </w:r>
      <w:r w:rsidRPr="0075346A">
        <w:t>na Dolnym Śląsku, podczas gdy przy</w:t>
      </w:r>
      <w:r w:rsidR="00EB09D7" w:rsidRPr="0075346A">
        <w:t xml:space="preserve"> uwzględnieniu wszystkich</w:t>
      </w:r>
      <w:r w:rsidR="005D1454" w:rsidRPr="0075346A">
        <w:t>,</w:t>
      </w:r>
      <w:r w:rsidR="00EB09D7" w:rsidRPr="0075346A">
        <w:t xml:space="preserve"> od 18-</w:t>
      </w:r>
      <w:r w:rsidRPr="0075346A">
        <w:t xml:space="preserve">latka do seniora, najgorszym województwem </w:t>
      </w:r>
      <w:r w:rsidR="00CF7C4B" w:rsidRPr="0075346A">
        <w:t xml:space="preserve">w kraju jest obecnie </w:t>
      </w:r>
      <w:r w:rsidRPr="0075346A">
        <w:t xml:space="preserve">woj. lubuskie. </w:t>
      </w:r>
      <w:r w:rsidR="00CF7C4B" w:rsidRPr="0075346A">
        <w:t>„</w:t>
      </w:r>
      <w:r w:rsidRPr="0075346A">
        <w:t>Strata</w:t>
      </w:r>
      <w:r w:rsidR="00CF7C4B" w:rsidRPr="0075346A">
        <w:t xml:space="preserve">” </w:t>
      </w:r>
      <w:r w:rsidRPr="0075346A">
        <w:t>Ziemi</w:t>
      </w:r>
      <w:r w:rsidR="00CF7C4B" w:rsidRPr="0075346A">
        <w:t xml:space="preserve"> L</w:t>
      </w:r>
      <w:r w:rsidRPr="0075346A">
        <w:t>ubusk</w:t>
      </w:r>
      <w:r w:rsidR="00CF7C4B" w:rsidRPr="0075346A">
        <w:t>iej i Pomorza</w:t>
      </w:r>
      <w:r w:rsidRPr="0075346A">
        <w:t xml:space="preserve"> Zachodnie</w:t>
      </w:r>
      <w:r w:rsidR="00CF7C4B" w:rsidRPr="0075346A">
        <w:t>go jest jednak</w:t>
      </w:r>
      <w:r w:rsidR="00BC3AA1" w:rsidRPr="0075346A">
        <w:t xml:space="preserve"> w tym zestawieniu</w:t>
      </w:r>
      <w:r w:rsidR="00CF7C4B" w:rsidRPr="0075346A">
        <w:t xml:space="preserve"> niewielka, bo znalazły się</w:t>
      </w:r>
      <w:r w:rsidRPr="0075346A">
        <w:t xml:space="preserve"> </w:t>
      </w:r>
      <w:r w:rsidR="00CF7C4B" w:rsidRPr="0075346A">
        <w:t>one</w:t>
      </w:r>
      <w:r w:rsidRPr="0075346A">
        <w:t xml:space="preserve"> na</w:t>
      </w:r>
      <w:r w:rsidR="00BC3AA1" w:rsidRPr="0075346A">
        <w:t xml:space="preserve"> kolejnych miejscach rankingu</w:t>
      </w:r>
      <w:r w:rsidRPr="0075346A">
        <w:t xml:space="preserve"> regionów</w:t>
      </w:r>
      <w:r w:rsidR="00EB09D7" w:rsidRPr="0075346A">
        <w:t>,</w:t>
      </w:r>
      <w:r w:rsidRPr="0075346A">
        <w:t xml:space="preserve"> w których przypada najwięcej niesolidnych </w:t>
      </w:r>
      <w:r w:rsidR="00EB09D7" w:rsidRPr="0075346A">
        <w:t xml:space="preserve">młodych </w:t>
      </w:r>
      <w:r w:rsidRPr="0075346A">
        <w:t>dłużników na 1000 mieszkańców. Młodzi nieco mniej rzetelnie niż inne grupy wiekowe spłacają również zobowiązania na Pomorzu</w:t>
      </w:r>
      <w:r w:rsidR="00CF7C4B" w:rsidRPr="0075346A">
        <w:t xml:space="preserve"> i</w:t>
      </w:r>
      <w:r w:rsidR="0075346A" w:rsidRPr="0075346A">
        <w:t xml:space="preserve"> </w:t>
      </w:r>
      <w:r w:rsidRPr="0075346A">
        <w:t>Mazowszu</w:t>
      </w:r>
      <w:r w:rsidR="00BC3AA1" w:rsidRPr="0075346A">
        <w:t xml:space="preserve">, ale za to </w:t>
      </w:r>
      <w:r w:rsidR="00CF7C4B" w:rsidRPr="0075346A">
        <w:t xml:space="preserve">lepiej w Łódzkiem i na </w:t>
      </w:r>
      <w:r w:rsidRPr="0075346A">
        <w:t xml:space="preserve">Opolszczyźnie. </w:t>
      </w:r>
    </w:p>
    <w:p w14:paraId="14486D2C" w14:textId="77777777" w:rsidR="00CF7C4B" w:rsidRPr="0075346A" w:rsidRDefault="00CF7C4B" w:rsidP="00B915FC">
      <w:pPr>
        <w:jc w:val="both"/>
      </w:pPr>
    </w:p>
    <w:p w14:paraId="6D205A5A" w14:textId="0D2C2D7A" w:rsidR="00CF7C4B" w:rsidRPr="0075346A" w:rsidRDefault="00CF7C4B" w:rsidP="00B915FC">
      <w:pPr>
        <w:jc w:val="both"/>
      </w:pPr>
      <w:r w:rsidRPr="0075346A">
        <w:t xml:space="preserve">Liczba mieszkańców </w:t>
      </w:r>
      <w:r w:rsidR="00BC3AA1" w:rsidRPr="0075346A">
        <w:t xml:space="preserve">poszczególnych województw </w:t>
      </w:r>
      <w:r w:rsidRPr="0075346A">
        <w:t>sprawia, że</w:t>
      </w:r>
      <w:r w:rsidR="0075346A" w:rsidRPr="0075346A">
        <w:t xml:space="preserve"> </w:t>
      </w:r>
      <w:r w:rsidR="00B915FC" w:rsidRPr="0075346A">
        <w:t xml:space="preserve">skala zaległych zobowiązań osób </w:t>
      </w:r>
      <w:r w:rsidRPr="0075346A">
        <w:t xml:space="preserve">między </w:t>
      </w:r>
      <w:r w:rsidR="00B915FC" w:rsidRPr="0075346A">
        <w:t>18</w:t>
      </w:r>
      <w:r w:rsidRPr="0075346A">
        <w:t xml:space="preserve"> a </w:t>
      </w:r>
      <w:r w:rsidR="00B915FC" w:rsidRPr="0075346A">
        <w:t xml:space="preserve">24 </w:t>
      </w:r>
      <w:r w:rsidRPr="0075346A">
        <w:t>rokiem życia</w:t>
      </w:r>
      <w:r w:rsidR="0075346A" w:rsidRPr="0075346A">
        <w:t xml:space="preserve"> </w:t>
      </w:r>
      <w:r w:rsidRPr="0075346A">
        <w:t xml:space="preserve">jest </w:t>
      </w:r>
      <w:r w:rsidR="00E85E01" w:rsidRPr="0075346A">
        <w:t>naj</w:t>
      </w:r>
      <w:r w:rsidR="00B915FC" w:rsidRPr="0075346A">
        <w:t xml:space="preserve">wyższa </w:t>
      </w:r>
      <w:r w:rsidR="00E85E01" w:rsidRPr="0075346A">
        <w:t>na Ś</w:t>
      </w:r>
      <w:r w:rsidR="00AF385A" w:rsidRPr="0075346A">
        <w:t>ląsk</w:t>
      </w:r>
      <w:r w:rsidR="00E85E01" w:rsidRPr="0075346A">
        <w:t>u</w:t>
      </w:r>
      <w:r w:rsidR="00383B01" w:rsidRPr="0075346A">
        <w:t xml:space="preserve"> -</w:t>
      </w:r>
      <w:r w:rsidR="00AF385A" w:rsidRPr="0075346A">
        <w:t xml:space="preserve"> aż 140 mln zł</w:t>
      </w:r>
      <w:r w:rsidRPr="0075346A">
        <w:t xml:space="preserve"> i na </w:t>
      </w:r>
      <w:r w:rsidR="00AF385A" w:rsidRPr="0075346A">
        <w:t>Mazowszu – 135 mln zł. Również zaległości w woj.</w:t>
      </w:r>
      <w:r w:rsidR="00B915FC" w:rsidRPr="0075346A">
        <w:t xml:space="preserve"> wie</w:t>
      </w:r>
      <w:r w:rsidR="00AF385A" w:rsidRPr="0075346A">
        <w:t>lkopolski</w:t>
      </w:r>
      <w:r w:rsidR="00145FE2" w:rsidRPr="0075346A">
        <w:t>m</w:t>
      </w:r>
      <w:r w:rsidR="00AF385A" w:rsidRPr="0075346A">
        <w:t xml:space="preserve"> i dolnośląski</w:t>
      </w:r>
      <w:r w:rsidR="00145FE2" w:rsidRPr="0075346A">
        <w:t>m</w:t>
      </w:r>
      <w:r w:rsidR="00AF385A" w:rsidRPr="0075346A">
        <w:t xml:space="preserve"> przekraczają 100 mln zł.</w:t>
      </w:r>
      <w:r w:rsidR="0075346A" w:rsidRPr="0075346A">
        <w:t xml:space="preserve"> </w:t>
      </w:r>
      <w:r w:rsidR="00E85E01" w:rsidRPr="0075346A">
        <w:t>S</w:t>
      </w:r>
      <w:r w:rsidR="00B915FC" w:rsidRPr="0075346A">
        <w:t xml:space="preserve">pore </w:t>
      </w:r>
      <w:r w:rsidR="00BC3AA1" w:rsidRPr="0075346A">
        <w:t xml:space="preserve">przeterminowane zobowiązania </w:t>
      </w:r>
      <w:r w:rsidRPr="0075346A">
        <w:t>mają t</w:t>
      </w:r>
      <w:r w:rsidR="00E85E01" w:rsidRPr="0075346A">
        <w:t xml:space="preserve">eż młodzi </w:t>
      </w:r>
      <w:r w:rsidR="005D1454" w:rsidRPr="0075346A">
        <w:t>z</w:t>
      </w:r>
      <w:r w:rsidR="00E85E01" w:rsidRPr="0075346A">
        <w:t xml:space="preserve"> </w:t>
      </w:r>
      <w:r w:rsidRPr="0075346A">
        <w:t>woj. m</w:t>
      </w:r>
      <w:r w:rsidR="00E85E01" w:rsidRPr="0075346A">
        <w:t>ałopolski</w:t>
      </w:r>
      <w:r w:rsidRPr="0075346A">
        <w:t>ego,</w:t>
      </w:r>
      <w:r w:rsidR="00E85E01" w:rsidRPr="0075346A">
        <w:t xml:space="preserve"> kujawsko-pomorskiego, łódzkiego </w:t>
      </w:r>
      <w:r w:rsidRPr="0075346A">
        <w:t xml:space="preserve">i </w:t>
      </w:r>
      <w:r w:rsidR="00E85E01" w:rsidRPr="0075346A">
        <w:t>regionów nadbałtyckich</w:t>
      </w:r>
      <w:r w:rsidR="00B915FC" w:rsidRPr="0075346A">
        <w:t>. Na tym tle dobrze wygląda</w:t>
      </w:r>
      <w:r w:rsidRPr="0075346A">
        <w:t>ją</w:t>
      </w:r>
      <w:r w:rsidR="00B915FC" w:rsidRPr="0075346A">
        <w:t xml:space="preserve"> woj. </w:t>
      </w:r>
      <w:r w:rsidRPr="0075346A">
        <w:t xml:space="preserve">świętokrzyskie, podkarpackie, podlaskie oraz opolskie, gdzie </w:t>
      </w:r>
      <w:r w:rsidR="00C0215E" w:rsidRPr="0075346A">
        <w:t>w grę wchodzi ok. 2</w:t>
      </w:r>
      <w:r w:rsidR="008838C4" w:rsidRPr="0075346A">
        <w:t xml:space="preserve">0-25 mln </w:t>
      </w:r>
      <w:r w:rsidR="005D1454" w:rsidRPr="0075346A">
        <w:t>zł łącznych zaległości. Region Ś</w:t>
      </w:r>
      <w:r w:rsidR="008838C4" w:rsidRPr="0075346A">
        <w:t xml:space="preserve">więtokrzyski pokazuje jednak, że niskie zaległości nie oznaczają wcale, że </w:t>
      </w:r>
      <w:r w:rsidR="00BC3AA1" w:rsidRPr="0075346A">
        <w:t>problem nie jest rozpowszechniony. D</w:t>
      </w:r>
      <w:r w:rsidR="008838C4" w:rsidRPr="0075346A">
        <w:t>łużników jest sporo, ale mają ni</w:t>
      </w:r>
      <w:r w:rsidR="005D1454" w:rsidRPr="0075346A">
        <w:t xml:space="preserve">ski średni przeterminowany dług - </w:t>
      </w:r>
      <w:r w:rsidR="008838C4" w:rsidRPr="0075346A">
        <w:t xml:space="preserve">974 zł. </w:t>
      </w:r>
      <w:r w:rsidR="005D1454" w:rsidRPr="0075346A">
        <w:t xml:space="preserve">Jak niska jest to kwota najlepiej widać w zestawieniu z </w:t>
      </w:r>
      <w:r w:rsidR="008838C4" w:rsidRPr="0075346A">
        <w:t>zaległoś</w:t>
      </w:r>
      <w:r w:rsidR="005D1454" w:rsidRPr="0075346A">
        <w:t xml:space="preserve">cią </w:t>
      </w:r>
      <w:r w:rsidR="00067818" w:rsidRPr="0075346A">
        <w:t>młod</w:t>
      </w:r>
      <w:r w:rsidR="005D1454" w:rsidRPr="0075346A">
        <w:t xml:space="preserve">ych mieszkańców </w:t>
      </w:r>
      <w:r w:rsidR="00067818" w:rsidRPr="0075346A">
        <w:t>Mazowsza</w:t>
      </w:r>
      <w:r w:rsidR="005D1454" w:rsidRPr="0075346A">
        <w:t xml:space="preserve">, gdzie jest to najwyższa suma w kraju - </w:t>
      </w:r>
      <w:r w:rsidR="00067818" w:rsidRPr="0075346A">
        <w:t>38 334 zł</w:t>
      </w:r>
      <w:r w:rsidR="005D1454" w:rsidRPr="0075346A">
        <w:t>. Na drugim miejscu jest pod tym względem</w:t>
      </w:r>
      <w:r w:rsidR="0075346A" w:rsidRPr="0075346A">
        <w:t xml:space="preserve"> </w:t>
      </w:r>
      <w:r w:rsidR="00067818" w:rsidRPr="0075346A">
        <w:t>Wielkopolsk</w:t>
      </w:r>
      <w:r w:rsidR="005D1454" w:rsidRPr="0075346A">
        <w:t>a</w:t>
      </w:r>
      <w:r w:rsidR="00067818" w:rsidRPr="0075346A">
        <w:t xml:space="preserve"> </w:t>
      </w:r>
      <w:r w:rsidR="00BC3AA1" w:rsidRPr="0075346A">
        <w:t xml:space="preserve">- </w:t>
      </w:r>
      <w:r w:rsidR="00067818" w:rsidRPr="0075346A">
        <w:t xml:space="preserve">22 307 zł, a na trzecim miejscu ex </w:t>
      </w:r>
      <w:proofErr w:type="spellStart"/>
      <w:r w:rsidR="00067818" w:rsidRPr="0075346A">
        <w:t>equo</w:t>
      </w:r>
      <w:proofErr w:type="spellEnd"/>
      <w:r w:rsidR="00067818" w:rsidRPr="0075346A">
        <w:t xml:space="preserve"> </w:t>
      </w:r>
      <w:r w:rsidR="00BC3AA1" w:rsidRPr="0075346A">
        <w:t xml:space="preserve">są </w:t>
      </w:r>
      <w:r w:rsidR="00067818" w:rsidRPr="0075346A">
        <w:t>pomorskie i lubelskie</w:t>
      </w:r>
      <w:r w:rsidR="002235F3" w:rsidRPr="0075346A">
        <w:t>,</w:t>
      </w:r>
      <w:r w:rsidR="00067818" w:rsidRPr="0075346A">
        <w:t xml:space="preserve"> gdzie na osobę wypada ponad 10 000 zł. </w:t>
      </w:r>
    </w:p>
    <w:p w14:paraId="17C46E1A" w14:textId="77777777" w:rsidR="00CF7C4B" w:rsidRDefault="00CF7C4B" w:rsidP="00B915FC">
      <w:pPr>
        <w:jc w:val="both"/>
      </w:pPr>
    </w:p>
    <w:p w14:paraId="2A3E4438" w14:textId="675D62F0" w:rsidR="00173F81" w:rsidRPr="0075346A" w:rsidRDefault="00173F81" w:rsidP="00B915FC">
      <w:pPr>
        <w:jc w:val="both"/>
      </w:pPr>
      <w:r w:rsidRPr="00173F81">
        <w:rPr>
          <w:noProof/>
        </w:rPr>
        <w:drawing>
          <wp:inline distT="0" distB="0" distL="0" distR="0" wp14:anchorId="04A390CD" wp14:editId="1DBC999A">
            <wp:extent cx="4905375" cy="4933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EACE" w14:textId="6C0E25D4" w:rsidR="00B915FC" w:rsidRPr="0075346A" w:rsidRDefault="00B915FC" w:rsidP="00B915FC">
      <w:pPr>
        <w:rPr>
          <w:i/>
          <w:sz w:val="18"/>
          <w:szCs w:val="18"/>
        </w:rPr>
      </w:pPr>
      <w:r w:rsidRPr="0075346A">
        <w:rPr>
          <w:i/>
          <w:sz w:val="18"/>
          <w:szCs w:val="18"/>
        </w:rPr>
        <w:t>Źródło: BIG InfoMonitor</w:t>
      </w:r>
      <w:r w:rsidR="002235F3" w:rsidRPr="0075346A">
        <w:rPr>
          <w:i/>
          <w:sz w:val="18"/>
          <w:szCs w:val="18"/>
        </w:rPr>
        <w:t xml:space="preserve"> i</w:t>
      </w:r>
      <w:r w:rsidR="007331AF" w:rsidRPr="0075346A">
        <w:rPr>
          <w:i/>
          <w:sz w:val="18"/>
          <w:szCs w:val="18"/>
        </w:rPr>
        <w:t xml:space="preserve"> BIK</w:t>
      </w:r>
    </w:p>
    <w:p w14:paraId="2AC79645" w14:textId="77777777" w:rsidR="00BC3AA1" w:rsidRPr="0075346A" w:rsidRDefault="00BC3AA1" w:rsidP="00B915FC">
      <w:pPr>
        <w:rPr>
          <w:sz w:val="16"/>
        </w:rPr>
      </w:pPr>
    </w:p>
    <w:p w14:paraId="57DA51DB" w14:textId="77777777" w:rsidR="004043D3" w:rsidRDefault="004043D3" w:rsidP="00B915FC">
      <w:pPr>
        <w:jc w:val="both"/>
        <w:rPr>
          <w:b/>
        </w:rPr>
      </w:pPr>
    </w:p>
    <w:p w14:paraId="06FE7B3B" w14:textId="4DFEAEDB" w:rsidR="00BA5492" w:rsidRDefault="00BB2913" w:rsidP="00B915FC">
      <w:pPr>
        <w:jc w:val="both"/>
        <w:rPr>
          <w:b/>
        </w:rPr>
      </w:pPr>
      <w:r>
        <w:rPr>
          <w:b/>
        </w:rPr>
        <w:t>Finansowa sytuacja</w:t>
      </w:r>
      <w:r w:rsidR="00962337" w:rsidRPr="00BA5492">
        <w:rPr>
          <w:b/>
        </w:rPr>
        <w:t xml:space="preserve"> byłaby lepsza</w:t>
      </w:r>
      <w:r w:rsidR="0075346A" w:rsidRPr="00BA5492">
        <w:rPr>
          <w:b/>
        </w:rPr>
        <w:t>,</w:t>
      </w:r>
      <w:r w:rsidR="00BA5492">
        <w:rPr>
          <w:b/>
        </w:rPr>
        <w:t xml:space="preserve"> gdyby nie rozrzutność</w:t>
      </w:r>
      <w:r w:rsidR="00140C35">
        <w:rPr>
          <w:b/>
        </w:rPr>
        <w:t xml:space="preserve"> i życie</w:t>
      </w:r>
      <w:r w:rsidR="00BA5492" w:rsidRPr="00BA5492">
        <w:rPr>
          <w:b/>
        </w:rPr>
        <w:t xml:space="preserve"> ponad stan</w:t>
      </w:r>
      <w:r w:rsidR="00962337" w:rsidRPr="00BA5492">
        <w:rPr>
          <w:b/>
        </w:rPr>
        <w:t xml:space="preserve"> </w:t>
      </w:r>
    </w:p>
    <w:p w14:paraId="7CEA6B1F" w14:textId="77777777" w:rsidR="00BA5492" w:rsidRPr="00BA5492" w:rsidRDefault="00BA5492" w:rsidP="00B915FC">
      <w:pPr>
        <w:jc w:val="both"/>
        <w:rPr>
          <w:b/>
        </w:rPr>
      </w:pPr>
    </w:p>
    <w:p w14:paraId="388E6639" w14:textId="3D9167C9" w:rsidR="009327C3" w:rsidRDefault="005D1454" w:rsidP="00B915FC">
      <w:pPr>
        <w:jc w:val="both"/>
      </w:pPr>
      <w:r w:rsidRPr="0075346A">
        <w:t>J</w:t>
      </w:r>
      <w:r w:rsidR="00960AC8">
        <w:t xml:space="preserve">ak wynika z badania </w:t>
      </w:r>
      <w:proofErr w:type="spellStart"/>
      <w:r w:rsidR="00960AC8">
        <w:t>Quality</w:t>
      </w:r>
      <w:proofErr w:type="spellEnd"/>
      <w:r w:rsidR="00960AC8">
        <w:t xml:space="preserve"> Watch wykonanego na zlecenie BIG InfoMonitor, j</w:t>
      </w:r>
      <w:r w:rsidRPr="0075346A">
        <w:t xml:space="preserve">edynie 12 proc. osób do 24 roku życia </w:t>
      </w:r>
      <w:r w:rsidR="0075346A" w:rsidRPr="0075346A">
        <w:t>w ogól</w:t>
      </w:r>
      <w:r w:rsidRPr="0075346A">
        <w:t>e nie traci pieniędzy na zbyt drogie zakupy. Jedna czwarta płaci za różne rzeczy za dużo</w:t>
      </w:r>
      <w:r w:rsidR="0075346A" w:rsidRPr="0075346A">
        <w:t>,</w:t>
      </w:r>
      <w:r w:rsidRPr="0075346A">
        <w:t xml:space="preserve"> tracąc w ten sposób miesięcznie co najmniej jedną dziesiątą swojego budżetu.</w:t>
      </w:r>
    </w:p>
    <w:p w14:paraId="4B3237C3" w14:textId="77777777" w:rsidR="00BA5492" w:rsidRDefault="00BA5492" w:rsidP="00B915FC">
      <w:pPr>
        <w:jc w:val="both"/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960"/>
        <w:gridCol w:w="960"/>
        <w:gridCol w:w="960"/>
        <w:gridCol w:w="960"/>
      </w:tblGrid>
      <w:tr w:rsidR="00140C35" w:rsidRPr="00140C35" w14:paraId="2597AEB7" w14:textId="77777777" w:rsidTr="00140C35">
        <w:trPr>
          <w:trHeight w:val="615"/>
        </w:trPr>
        <w:tc>
          <w:tcPr>
            <w:tcW w:w="7080" w:type="dxa"/>
            <w:gridSpan w:val="7"/>
            <w:tcBorders>
              <w:top w:val="single" w:sz="12" w:space="0" w:color="74B847"/>
              <w:left w:val="nil"/>
              <w:bottom w:val="single" w:sz="12" w:space="0" w:color="74B847"/>
              <w:right w:val="nil"/>
            </w:tcBorders>
            <w:shd w:val="clear" w:color="000000" w:fill="385822"/>
            <w:vAlign w:val="center"/>
            <w:hideMark/>
          </w:tcPr>
          <w:p w14:paraId="6FD6FC3D" w14:textId="77777777" w:rsidR="00140C35" w:rsidRPr="00140C35" w:rsidRDefault="00140C35" w:rsidP="006D3F7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40C3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Jaką część miesięcznych dochodów tracisz kupując zbyt drogie rzeczy?</w:t>
            </w:r>
          </w:p>
        </w:tc>
      </w:tr>
      <w:tr w:rsidR="00140C35" w:rsidRPr="00140C35" w14:paraId="55A81448" w14:textId="77777777" w:rsidTr="00140C35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47167461" w14:textId="77777777" w:rsidR="00140C35" w:rsidRPr="00140C35" w:rsidRDefault="00140C35" w:rsidP="0014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C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437B752B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18-24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724ADAD8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25-34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3CBA83B6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35-44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5A5B9E87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45-54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07DD90D7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55-64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000000" w:fill="70AD47"/>
            <w:vAlign w:val="center"/>
            <w:hideMark/>
          </w:tcPr>
          <w:p w14:paraId="5A0A3BE1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FFFFFF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FFFFFF" w:themeColor="background1"/>
                <w:szCs w:val="23"/>
              </w:rPr>
              <w:t>65-74 lat</w:t>
            </w:r>
          </w:p>
        </w:tc>
      </w:tr>
      <w:tr w:rsidR="00140C35" w:rsidRPr="00140C35" w14:paraId="34141655" w14:textId="77777777" w:rsidTr="00140C35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2C1EFD6D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3BED0E52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104B43D2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32759593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63F7EA6A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38E8BF52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54008C52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36%</w:t>
            </w:r>
          </w:p>
        </w:tc>
      </w:tr>
      <w:tr w:rsidR="00140C35" w:rsidRPr="00140C35" w14:paraId="385C14E1" w14:textId="77777777" w:rsidTr="00140C3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8DFA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do 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7427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EF30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BC68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D5EC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870B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6F56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17%</w:t>
            </w:r>
          </w:p>
        </w:tc>
      </w:tr>
      <w:tr w:rsidR="00140C35" w:rsidRPr="00140C35" w14:paraId="4A5573E6" w14:textId="77777777" w:rsidTr="00140C3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3F99BF06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do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0842275E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6CED00FC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5B4BBA75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033CFE8A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55FD940D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7C259F19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14%</w:t>
            </w:r>
          </w:p>
        </w:tc>
      </w:tr>
      <w:tr w:rsidR="00140C35" w:rsidRPr="00140C35" w14:paraId="7B83A012" w14:textId="77777777" w:rsidTr="00140C3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1519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5-10%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320E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11FC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D4A8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D7EB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36A0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7350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19%</w:t>
            </w:r>
          </w:p>
        </w:tc>
      </w:tr>
      <w:tr w:rsidR="00140C35" w:rsidRPr="00140C35" w14:paraId="36887D16" w14:textId="77777777" w:rsidTr="00140C3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03A0D4D8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10-20%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4C121126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6C28BEDC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722EF8E0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0F0EAC6E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40F99F99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CF3E9"/>
            <w:vAlign w:val="center"/>
            <w:hideMark/>
          </w:tcPr>
          <w:p w14:paraId="436C8DCB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10%</w:t>
            </w:r>
          </w:p>
        </w:tc>
      </w:tr>
      <w:tr w:rsidR="00140C35" w:rsidRPr="00140C35" w14:paraId="2994FCCE" w14:textId="77777777" w:rsidTr="00140C35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2D3394C1" w14:textId="77777777" w:rsidR="00140C35" w:rsidRPr="00140C35" w:rsidRDefault="00140C35" w:rsidP="00140C35">
            <w:pPr>
              <w:jc w:val="both"/>
              <w:rPr>
                <w:rFonts w:ascii="Calibri" w:hAnsi="Calibri"/>
                <w:b/>
                <w:bCs/>
                <w:color w:val="000000"/>
                <w:szCs w:val="23"/>
              </w:rPr>
            </w:pPr>
            <w:r w:rsidRPr="00140C35">
              <w:rPr>
                <w:rFonts w:ascii="Calibri" w:hAnsi="Calibri"/>
                <w:b/>
                <w:bCs/>
                <w:color w:val="000000"/>
                <w:szCs w:val="23"/>
              </w:rPr>
              <w:t>Ponad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2EDE68D6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2568A07A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39E12DC8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0EA613BF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145041CF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4B847"/>
              <w:right w:val="nil"/>
            </w:tcBorders>
            <w:shd w:val="clear" w:color="auto" w:fill="auto"/>
            <w:vAlign w:val="center"/>
            <w:hideMark/>
          </w:tcPr>
          <w:p w14:paraId="65F9573F" w14:textId="77777777" w:rsidR="00140C35" w:rsidRPr="00140C35" w:rsidRDefault="00140C35" w:rsidP="00140C35">
            <w:pPr>
              <w:jc w:val="both"/>
              <w:rPr>
                <w:rFonts w:ascii="Calibri" w:hAnsi="Calibri"/>
                <w:color w:val="000000"/>
                <w:szCs w:val="23"/>
              </w:rPr>
            </w:pPr>
            <w:r w:rsidRPr="00140C35">
              <w:rPr>
                <w:rFonts w:ascii="Calibri" w:hAnsi="Calibri"/>
                <w:color w:val="000000"/>
                <w:szCs w:val="23"/>
              </w:rPr>
              <w:t>5%</w:t>
            </w:r>
          </w:p>
        </w:tc>
      </w:tr>
    </w:tbl>
    <w:p w14:paraId="452B319E" w14:textId="77777777" w:rsidR="00090FC5" w:rsidRPr="0075346A" w:rsidRDefault="00090FC5" w:rsidP="00090FC5">
      <w:pPr>
        <w:jc w:val="both"/>
        <w:rPr>
          <w:i/>
          <w:sz w:val="18"/>
          <w:szCs w:val="18"/>
          <w:lang w:val="en-US"/>
        </w:rPr>
      </w:pPr>
      <w:proofErr w:type="spellStart"/>
      <w:r w:rsidRPr="0075346A">
        <w:rPr>
          <w:i/>
          <w:sz w:val="18"/>
          <w:szCs w:val="18"/>
          <w:lang w:val="en-US"/>
        </w:rPr>
        <w:t>Źródło</w:t>
      </w:r>
      <w:proofErr w:type="spellEnd"/>
      <w:r w:rsidRPr="0075346A">
        <w:rPr>
          <w:i/>
          <w:sz w:val="18"/>
          <w:szCs w:val="18"/>
          <w:lang w:val="en-US"/>
        </w:rPr>
        <w:t xml:space="preserve">: Quality Watch </w:t>
      </w:r>
      <w:proofErr w:type="spellStart"/>
      <w:r w:rsidRPr="0075346A">
        <w:rPr>
          <w:i/>
          <w:sz w:val="18"/>
          <w:szCs w:val="18"/>
          <w:lang w:val="en-US"/>
        </w:rPr>
        <w:t>dla</w:t>
      </w:r>
      <w:proofErr w:type="spellEnd"/>
      <w:r w:rsidRPr="0075346A">
        <w:rPr>
          <w:i/>
          <w:sz w:val="18"/>
          <w:szCs w:val="18"/>
          <w:lang w:val="en-US"/>
        </w:rPr>
        <w:t xml:space="preserve"> BIG InfoMonitor</w:t>
      </w:r>
    </w:p>
    <w:p w14:paraId="23114A21" w14:textId="77777777" w:rsidR="00090FC5" w:rsidRPr="0075346A" w:rsidRDefault="00090FC5" w:rsidP="00B915FC">
      <w:pPr>
        <w:jc w:val="both"/>
      </w:pPr>
    </w:p>
    <w:p w14:paraId="2ACBD427" w14:textId="77777777" w:rsidR="00BA5492" w:rsidRPr="0075346A" w:rsidRDefault="00BA5492" w:rsidP="00BA5492">
      <w:pPr>
        <w:rPr>
          <w:b/>
          <w:bCs/>
        </w:rPr>
      </w:pPr>
      <w:r w:rsidRPr="0075346A">
        <w:rPr>
          <w:b/>
          <w:bCs/>
        </w:rPr>
        <w:t>Przedmioty zbyt drogich zakupów osób w wieku 18-24 lata</w:t>
      </w:r>
    </w:p>
    <w:p w14:paraId="3E5DAD3D" w14:textId="77777777" w:rsidR="00BA5492" w:rsidRDefault="00BA5492" w:rsidP="00B915FC">
      <w:pPr>
        <w:jc w:val="both"/>
      </w:pPr>
    </w:p>
    <w:p w14:paraId="432C1D3F" w14:textId="1A205F0C" w:rsidR="0004129C" w:rsidRPr="0075346A" w:rsidRDefault="001D7768" w:rsidP="00B915FC">
      <w:pPr>
        <w:jc w:val="both"/>
      </w:pPr>
      <w:r w:rsidRPr="0075346A">
        <w:t>Problemem jest p</w:t>
      </w:r>
      <w:r w:rsidR="00F02173" w:rsidRPr="0075346A">
        <w:t xml:space="preserve">rzede wszystkim </w:t>
      </w:r>
      <w:r w:rsidR="003210DF" w:rsidRPr="0075346A">
        <w:t>sprzęt RTV i AGD</w:t>
      </w:r>
      <w:r w:rsidR="005D1454" w:rsidRPr="0075346A">
        <w:t xml:space="preserve"> – 32 proc. wskazań</w:t>
      </w:r>
      <w:r w:rsidRPr="0075346A">
        <w:t xml:space="preserve">. Kolejną </w:t>
      </w:r>
      <w:r w:rsidR="00D6710E" w:rsidRPr="0075346A">
        <w:t xml:space="preserve">z głównych kategorii, na które młodzi ludzie wydają </w:t>
      </w:r>
      <w:r w:rsidR="00A63C2C" w:rsidRPr="0075346A">
        <w:t>więcej</w:t>
      </w:r>
      <w:r w:rsidR="005D1454" w:rsidRPr="0075346A">
        <w:t>,</w:t>
      </w:r>
      <w:r w:rsidR="00A63C2C" w:rsidRPr="0075346A">
        <w:t xml:space="preserve"> niż w swoim </w:t>
      </w:r>
      <w:r w:rsidR="005D1454" w:rsidRPr="0075346A">
        <w:t xml:space="preserve">przekonaniu </w:t>
      </w:r>
      <w:r w:rsidR="00A63C2C" w:rsidRPr="0075346A">
        <w:t>powinni</w:t>
      </w:r>
      <w:r w:rsidR="005D1454" w:rsidRPr="0075346A">
        <w:t>,</w:t>
      </w:r>
      <w:r w:rsidR="00825643" w:rsidRPr="0075346A">
        <w:t xml:space="preserve"> jest elektroni</w:t>
      </w:r>
      <w:r w:rsidR="00A63C2C" w:rsidRPr="0075346A">
        <w:t>ka</w:t>
      </w:r>
      <w:r w:rsidRPr="0075346A">
        <w:t>.</w:t>
      </w:r>
      <w:r w:rsidR="00A63C2C" w:rsidRPr="0075346A">
        <w:t xml:space="preserve"> Blisko jedna czwarta </w:t>
      </w:r>
      <w:r w:rsidR="005D1454" w:rsidRPr="0075346A">
        <w:t>ma po</w:t>
      </w:r>
      <w:r w:rsidR="00A63C2C" w:rsidRPr="0075346A">
        <w:t>czucie, że przeznacza zbyt duże kwoty na komputery, tablety czy telefony, podczas gdy tego typu wydatki, d</w:t>
      </w:r>
      <w:r w:rsidRPr="0075346A">
        <w:t>la ogółu przyznających się do rozrzutności Polaków</w:t>
      </w:r>
      <w:r w:rsidR="00A63C2C" w:rsidRPr="0075346A">
        <w:t>,</w:t>
      </w:r>
      <w:r w:rsidR="005D1454" w:rsidRPr="0075346A">
        <w:t xml:space="preserve"> znajdują</w:t>
      </w:r>
      <w:r w:rsidRPr="0075346A">
        <w:t xml:space="preserve"> się dopiero na czwartym miejscu</w:t>
      </w:r>
      <w:r w:rsidR="00A63C2C" w:rsidRPr="0075346A">
        <w:t xml:space="preserve"> powodów na</w:t>
      </w:r>
      <w:r w:rsidR="005D1454" w:rsidRPr="0075346A">
        <w:t>dwyrężania</w:t>
      </w:r>
      <w:r w:rsidR="00A63C2C" w:rsidRPr="0075346A">
        <w:t xml:space="preserve"> budżetów. </w:t>
      </w:r>
      <w:r w:rsidR="005D1454" w:rsidRPr="0075346A">
        <w:t xml:space="preserve">Dalej </w:t>
      </w:r>
      <w:r w:rsidR="00A63C2C" w:rsidRPr="0075346A">
        <w:t xml:space="preserve">młodzi </w:t>
      </w:r>
      <w:r w:rsidRPr="0075346A">
        <w:t>badani wymieniają wakacyjne wyjazdy i dopi</w:t>
      </w:r>
      <w:r w:rsidR="005D1454" w:rsidRPr="0075346A">
        <w:t>ero na czwartym miejscu</w:t>
      </w:r>
      <w:r w:rsidRPr="0075346A">
        <w:t xml:space="preserve"> samochód, który dla wszystkich respondentów, bez względu na wiek znajduje się na wysokiej drugiej pozycji.</w:t>
      </w:r>
      <w:r w:rsidR="00A63C2C" w:rsidRPr="0075346A">
        <w:t xml:space="preserve"> Co nietypowe dla starszych respondentów s</w:t>
      </w:r>
      <w:r w:rsidR="0004129C" w:rsidRPr="0075346A">
        <w:t xml:space="preserve">poro osób </w:t>
      </w:r>
      <w:r w:rsidR="00A63C2C" w:rsidRPr="0075346A">
        <w:t xml:space="preserve">wśród 18-24 latków </w:t>
      </w:r>
      <w:r w:rsidR="0004129C" w:rsidRPr="0075346A">
        <w:t>nie oszczędza także na prezentach – szczególnie tych dla partnera</w:t>
      </w:r>
      <w:r w:rsidR="00A63C2C" w:rsidRPr="0075346A">
        <w:t xml:space="preserve"> i rodziny</w:t>
      </w:r>
      <w:r w:rsidR="0004129C" w:rsidRPr="0075346A">
        <w:t>.</w:t>
      </w:r>
      <w:r w:rsidR="0075346A" w:rsidRPr="0075346A">
        <w:t xml:space="preserve"> </w:t>
      </w:r>
    </w:p>
    <w:p w14:paraId="1B5325B8" w14:textId="2137EA60" w:rsidR="0075346A" w:rsidRPr="0075346A" w:rsidRDefault="00960AC8" w:rsidP="00B915FC">
      <w:r>
        <w:rPr>
          <w:noProof/>
        </w:rPr>
        <w:drawing>
          <wp:inline distT="0" distB="0" distL="0" distR="0" wp14:anchorId="79273173" wp14:editId="6618C45D">
            <wp:extent cx="4572000" cy="5224463"/>
            <wp:effectExtent l="0" t="0" r="19050" b="146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4620A" w14:textId="06B6D6C6" w:rsidR="00B915FC" w:rsidRPr="0075346A" w:rsidRDefault="00B915FC" w:rsidP="00B915FC">
      <w:pPr>
        <w:rPr>
          <w:i/>
          <w:sz w:val="18"/>
          <w:szCs w:val="18"/>
          <w:lang w:val="en-US"/>
        </w:rPr>
      </w:pPr>
      <w:proofErr w:type="spellStart"/>
      <w:r w:rsidRPr="0075346A">
        <w:rPr>
          <w:i/>
          <w:sz w:val="18"/>
          <w:szCs w:val="18"/>
          <w:lang w:val="en-US"/>
        </w:rPr>
        <w:t>Źródło</w:t>
      </w:r>
      <w:proofErr w:type="spellEnd"/>
      <w:r w:rsidRPr="0075346A">
        <w:rPr>
          <w:i/>
          <w:sz w:val="18"/>
          <w:szCs w:val="18"/>
          <w:lang w:val="en-US"/>
        </w:rPr>
        <w:t xml:space="preserve">: </w:t>
      </w:r>
      <w:r w:rsidR="009D0D0D" w:rsidRPr="0075346A">
        <w:rPr>
          <w:i/>
          <w:sz w:val="18"/>
          <w:szCs w:val="18"/>
          <w:lang w:val="en-US"/>
        </w:rPr>
        <w:t xml:space="preserve">Quality Watch </w:t>
      </w:r>
      <w:proofErr w:type="spellStart"/>
      <w:r w:rsidR="009D0D0D" w:rsidRPr="0075346A">
        <w:rPr>
          <w:i/>
          <w:sz w:val="18"/>
          <w:szCs w:val="18"/>
          <w:lang w:val="en-US"/>
        </w:rPr>
        <w:t>dla</w:t>
      </w:r>
      <w:proofErr w:type="spellEnd"/>
      <w:r w:rsidR="009D0D0D" w:rsidRPr="0075346A">
        <w:rPr>
          <w:i/>
          <w:sz w:val="18"/>
          <w:szCs w:val="18"/>
          <w:lang w:val="en-US"/>
        </w:rPr>
        <w:t xml:space="preserve"> </w:t>
      </w:r>
      <w:r w:rsidRPr="0075346A">
        <w:rPr>
          <w:i/>
          <w:sz w:val="18"/>
          <w:szCs w:val="18"/>
          <w:lang w:val="en-US"/>
        </w:rPr>
        <w:t>BIG InfoMonitor</w:t>
      </w:r>
    </w:p>
    <w:p w14:paraId="34E1FF63" w14:textId="77777777" w:rsidR="00B915FC" w:rsidRDefault="00B915FC" w:rsidP="00B915FC">
      <w:pPr>
        <w:rPr>
          <w:lang w:val="en-US"/>
        </w:rPr>
      </w:pPr>
    </w:p>
    <w:p w14:paraId="13A8ECBA" w14:textId="5AAC7341" w:rsidR="0075346A" w:rsidRDefault="004043D3" w:rsidP="00B915FC">
      <w:pPr>
        <w:rPr>
          <w:lang w:val="en-US"/>
        </w:rPr>
      </w:pPr>
      <w:r w:rsidRPr="00BB2913">
        <w:rPr>
          <w:lang w:val="en-US"/>
        </w:rPr>
        <w:t xml:space="preserve">A co z </w:t>
      </w:r>
      <w:proofErr w:type="spellStart"/>
      <w:r w:rsidRPr="00BB2913">
        <w:rPr>
          <w:lang w:val="en-US"/>
        </w:rPr>
        <w:t>ż</w:t>
      </w:r>
      <w:r w:rsidR="00BA5492" w:rsidRPr="00BB2913">
        <w:rPr>
          <w:lang w:val="en-US"/>
        </w:rPr>
        <w:t>ycie</w:t>
      </w:r>
      <w:r w:rsidRPr="00BB2913">
        <w:rPr>
          <w:lang w:val="en-US"/>
        </w:rPr>
        <w:t>m</w:t>
      </w:r>
      <w:proofErr w:type="spellEnd"/>
      <w:r w:rsidR="00BA5492" w:rsidRPr="00BB2913">
        <w:rPr>
          <w:lang w:val="en-US"/>
        </w:rPr>
        <w:t xml:space="preserve"> </w:t>
      </w:r>
      <w:proofErr w:type="spellStart"/>
      <w:r w:rsidR="00BA5492" w:rsidRPr="00BB2913">
        <w:rPr>
          <w:lang w:val="en-US"/>
        </w:rPr>
        <w:t>ponad</w:t>
      </w:r>
      <w:proofErr w:type="spellEnd"/>
      <w:r w:rsidR="00BA5492" w:rsidRPr="00BB2913">
        <w:rPr>
          <w:lang w:val="en-US"/>
        </w:rPr>
        <w:t xml:space="preserve"> </w:t>
      </w:r>
      <w:proofErr w:type="spellStart"/>
      <w:r w:rsidR="00BA5492" w:rsidRPr="00BB2913">
        <w:rPr>
          <w:lang w:val="en-US"/>
        </w:rPr>
        <w:t>stan</w:t>
      </w:r>
      <w:proofErr w:type="spellEnd"/>
      <w:r w:rsidR="00BA5492" w:rsidRPr="00BB2913">
        <w:rPr>
          <w:lang w:val="en-US"/>
        </w:rPr>
        <w:t xml:space="preserve">? </w:t>
      </w:r>
      <w:proofErr w:type="spellStart"/>
      <w:r w:rsidR="00BA5492" w:rsidRPr="00BA5492">
        <w:rPr>
          <w:lang w:val="en-US"/>
        </w:rPr>
        <w:t>Przyznaje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się</w:t>
      </w:r>
      <w:proofErr w:type="spellEnd"/>
      <w:r w:rsidR="00BA5492" w:rsidRPr="00BA5492">
        <w:rPr>
          <w:lang w:val="en-US"/>
        </w:rPr>
        <w:t xml:space="preserve"> do </w:t>
      </w:r>
      <w:proofErr w:type="spellStart"/>
      <w:r w:rsidR="00BA5492" w:rsidRPr="00BA5492">
        <w:rPr>
          <w:lang w:val="en-US"/>
        </w:rPr>
        <w:t>niego</w:t>
      </w:r>
      <w:proofErr w:type="spellEnd"/>
      <w:r w:rsidR="00BA5492" w:rsidRPr="00BA5492">
        <w:rPr>
          <w:lang w:val="en-US"/>
        </w:rPr>
        <w:t xml:space="preserve"> co </w:t>
      </w:r>
      <w:proofErr w:type="spellStart"/>
      <w:r w:rsidR="00BA5492" w:rsidRPr="00BA5492">
        <w:rPr>
          <w:lang w:val="en-US"/>
        </w:rPr>
        <w:t>czwarty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wchodzący</w:t>
      </w:r>
      <w:proofErr w:type="spellEnd"/>
      <w:r w:rsidR="00BA5492" w:rsidRPr="00BA5492">
        <w:rPr>
          <w:lang w:val="en-US"/>
        </w:rPr>
        <w:t xml:space="preserve"> w </w:t>
      </w:r>
      <w:proofErr w:type="spellStart"/>
      <w:r w:rsidR="00BA5492" w:rsidRPr="00BA5492">
        <w:rPr>
          <w:lang w:val="en-US"/>
        </w:rPr>
        <w:t>dorosłość</w:t>
      </w:r>
      <w:proofErr w:type="spellEnd"/>
      <w:r w:rsidR="00BA5492" w:rsidRPr="00BA5492">
        <w:rPr>
          <w:lang w:val="en-US"/>
        </w:rPr>
        <w:t xml:space="preserve">. Z </w:t>
      </w:r>
      <w:proofErr w:type="spellStart"/>
      <w:r w:rsidR="00BA5492" w:rsidRPr="00BA5492">
        <w:rPr>
          <w:lang w:val="en-US"/>
        </w:rPr>
        <w:t>jednej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strony</w:t>
      </w:r>
      <w:proofErr w:type="spellEnd"/>
      <w:r w:rsidR="00BA5492" w:rsidRPr="00BA5492">
        <w:rPr>
          <w:lang w:val="en-US"/>
        </w:rPr>
        <w:t xml:space="preserve"> to </w:t>
      </w:r>
      <w:proofErr w:type="spellStart"/>
      <w:r w:rsidR="00BA5492" w:rsidRPr="00BA5492">
        <w:rPr>
          <w:lang w:val="en-US"/>
        </w:rPr>
        <w:t>dużo</w:t>
      </w:r>
      <w:proofErr w:type="spellEnd"/>
      <w:r w:rsidR="00BA5492" w:rsidRPr="00BA5492">
        <w:rPr>
          <w:lang w:val="en-US"/>
        </w:rPr>
        <w:t xml:space="preserve">, </w:t>
      </w:r>
      <w:proofErr w:type="spellStart"/>
      <w:r w:rsidR="00BA5492" w:rsidRPr="00BA5492">
        <w:rPr>
          <w:lang w:val="en-US"/>
        </w:rPr>
        <w:t>jednak</w:t>
      </w:r>
      <w:proofErr w:type="spellEnd"/>
      <w:r w:rsidR="00BA5492" w:rsidRPr="00BA5492">
        <w:rPr>
          <w:lang w:val="en-US"/>
        </w:rPr>
        <w:t xml:space="preserve"> w </w:t>
      </w:r>
      <w:proofErr w:type="spellStart"/>
      <w:r w:rsidR="00BA5492" w:rsidRPr="00BA5492">
        <w:rPr>
          <w:lang w:val="en-US"/>
        </w:rPr>
        <w:t>kolejnym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pokoleniu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takie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skłonności</w:t>
      </w:r>
      <w:proofErr w:type="spellEnd"/>
      <w:r w:rsidR="00BA5492" w:rsidRPr="00BA5492">
        <w:rPr>
          <w:lang w:val="en-US"/>
        </w:rPr>
        <w:t xml:space="preserve"> ma co </w:t>
      </w:r>
      <w:proofErr w:type="spellStart"/>
      <w:r w:rsidR="00BA5492" w:rsidRPr="00BA5492">
        <w:rPr>
          <w:lang w:val="en-US"/>
        </w:rPr>
        <w:t>trzeci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Polak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i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może</w:t>
      </w:r>
      <w:proofErr w:type="spellEnd"/>
      <w:r w:rsidR="00BA5492" w:rsidRPr="00BA5492">
        <w:rPr>
          <w:lang w:val="en-US"/>
        </w:rPr>
        <w:t xml:space="preserve"> to </w:t>
      </w:r>
      <w:proofErr w:type="spellStart"/>
      <w:r w:rsidR="00BA5492" w:rsidRPr="00BA5492">
        <w:rPr>
          <w:lang w:val="en-US"/>
        </w:rPr>
        <w:t>nieco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wyjaśnia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dlaczego</w:t>
      </w:r>
      <w:proofErr w:type="spellEnd"/>
      <w:r w:rsidR="00BA5492" w:rsidRPr="00BA5492">
        <w:rPr>
          <w:lang w:val="en-US"/>
        </w:rPr>
        <w:t xml:space="preserve"> z </w:t>
      </w:r>
      <w:proofErr w:type="spellStart"/>
      <w:r w:rsidR="00BA5492" w:rsidRPr="00BA5492">
        <w:rPr>
          <w:lang w:val="en-US"/>
        </w:rPr>
        <w:t>wiekiem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przybywa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więcej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niesolidnych</w:t>
      </w:r>
      <w:proofErr w:type="spellEnd"/>
      <w:r w:rsidR="00BA5492" w:rsidRPr="00BA5492">
        <w:rPr>
          <w:lang w:val="en-US"/>
        </w:rPr>
        <w:t xml:space="preserve"> </w:t>
      </w:r>
      <w:proofErr w:type="spellStart"/>
      <w:r w:rsidR="00BA5492" w:rsidRPr="00BA5492">
        <w:rPr>
          <w:lang w:val="en-US"/>
        </w:rPr>
        <w:t>dłużników</w:t>
      </w:r>
      <w:proofErr w:type="spellEnd"/>
      <w:r w:rsidR="00BA5492" w:rsidRPr="00BA5492">
        <w:rPr>
          <w:lang w:val="en-US"/>
        </w:rPr>
        <w:t>.</w:t>
      </w:r>
    </w:p>
    <w:p w14:paraId="6D83159F" w14:textId="77777777" w:rsidR="004043D3" w:rsidRPr="0075346A" w:rsidRDefault="004043D3" w:rsidP="00B915FC">
      <w:pPr>
        <w:rPr>
          <w:lang w:val="en-US"/>
        </w:rPr>
      </w:pPr>
    </w:p>
    <w:p w14:paraId="76773F18" w14:textId="0B91B145" w:rsidR="00776725" w:rsidRPr="0075346A" w:rsidRDefault="00776725" w:rsidP="00B915FC">
      <w:pPr>
        <w:rPr>
          <w:lang w:val="en-US"/>
        </w:rPr>
      </w:pPr>
      <w:r w:rsidRPr="0075346A">
        <w:rPr>
          <w:noProof/>
        </w:rPr>
        <w:drawing>
          <wp:inline distT="0" distB="0" distL="0" distR="0" wp14:anchorId="6F4A50DF" wp14:editId="657DED31">
            <wp:extent cx="4572000" cy="1591294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6924C0" w14:textId="77777777" w:rsidR="0075346A" w:rsidRPr="0075346A" w:rsidRDefault="0075346A" w:rsidP="0075346A">
      <w:pPr>
        <w:rPr>
          <w:i/>
          <w:sz w:val="18"/>
          <w:szCs w:val="18"/>
          <w:lang w:val="en-US"/>
        </w:rPr>
      </w:pPr>
      <w:proofErr w:type="spellStart"/>
      <w:r w:rsidRPr="0075346A">
        <w:rPr>
          <w:i/>
          <w:sz w:val="18"/>
          <w:szCs w:val="18"/>
          <w:lang w:val="en-US"/>
        </w:rPr>
        <w:t>Źródło</w:t>
      </w:r>
      <w:proofErr w:type="spellEnd"/>
      <w:r w:rsidRPr="0075346A">
        <w:rPr>
          <w:i/>
          <w:sz w:val="18"/>
          <w:szCs w:val="18"/>
          <w:lang w:val="en-US"/>
        </w:rPr>
        <w:t xml:space="preserve">: Quality Watch </w:t>
      </w:r>
      <w:proofErr w:type="spellStart"/>
      <w:r w:rsidRPr="0075346A">
        <w:rPr>
          <w:i/>
          <w:sz w:val="18"/>
          <w:szCs w:val="18"/>
          <w:lang w:val="en-US"/>
        </w:rPr>
        <w:t>dla</w:t>
      </w:r>
      <w:proofErr w:type="spellEnd"/>
      <w:r w:rsidRPr="0075346A">
        <w:rPr>
          <w:i/>
          <w:sz w:val="18"/>
          <w:szCs w:val="18"/>
          <w:lang w:val="en-US"/>
        </w:rPr>
        <w:t xml:space="preserve"> BIG InfoMonitor</w:t>
      </w:r>
    </w:p>
    <w:p w14:paraId="637A4D9A" w14:textId="4CCDF511" w:rsidR="0075346A" w:rsidRDefault="0075346A" w:rsidP="00776725">
      <w:pPr>
        <w:rPr>
          <w:lang w:val="en-US"/>
        </w:rPr>
      </w:pPr>
    </w:p>
    <w:p w14:paraId="0D48D5D0" w14:textId="1D92DF4B" w:rsidR="004043D3" w:rsidRPr="004043D3" w:rsidRDefault="004043D3" w:rsidP="004043D3">
      <w:pPr>
        <w:spacing w:before="120"/>
        <w:jc w:val="both"/>
        <w:rPr>
          <w:rFonts w:ascii="Calibri" w:hAnsi="Calibri"/>
          <w:bCs/>
          <w:color w:val="595959"/>
          <w:sz w:val="17"/>
          <w:szCs w:val="17"/>
        </w:rPr>
      </w:pPr>
      <w:r w:rsidRPr="004043D3">
        <w:rPr>
          <w:rFonts w:ascii="Calibri" w:hAnsi="Calibri"/>
          <w:bCs/>
          <w:color w:val="595959"/>
          <w:sz w:val="17"/>
          <w:szCs w:val="17"/>
        </w:rPr>
        <w:t xml:space="preserve">*Badanie zrealizowane na zlecenie BIG InfoMonitor przez </w:t>
      </w:r>
      <w:proofErr w:type="spellStart"/>
      <w:r w:rsidRPr="004043D3">
        <w:rPr>
          <w:rFonts w:ascii="Calibri" w:hAnsi="Calibri"/>
          <w:bCs/>
          <w:color w:val="595959"/>
          <w:sz w:val="17"/>
          <w:szCs w:val="17"/>
        </w:rPr>
        <w:t>Quality</w:t>
      </w:r>
      <w:proofErr w:type="spellEnd"/>
      <w:r w:rsidRPr="004043D3">
        <w:rPr>
          <w:rFonts w:ascii="Calibri" w:hAnsi="Calibri"/>
          <w:bCs/>
          <w:color w:val="595959"/>
          <w:sz w:val="17"/>
          <w:szCs w:val="17"/>
        </w:rPr>
        <w:t xml:space="preserve"> Watch, techniką komputerowo wspomaganych wywiadów internetowych (CAWI) na reprezentatywnej próbie 1296 dorosłych mieszkańców Polski, listopad 2018 r.</w:t>
      </w:r>
    </w:p>
    <w:p w14:paraId="3E3F39E5" w14:textId="77777777" w:rsidR="004043D3" w:rsidRDefault="004043D3" w:rsidP="004043D3">
      <w:pPr>
        <w:spacing w:before="120"/>
        <w:jc w:val="both"/>
        <w:rPr>
          <w:rFonts w:ascii="Calibri" w:hAnsi="Calibri"/>
          <w:b/>
          <w:bCs/>
          <w:color w:val="595959"/>
          <w:sz w:val="17"/>
          <w:szCs w:val="17"/>
        </w:rPr>
      </w:pPr>
    </w:p>
    <w:p w14:paraId="655617AC" w14:textId="77777777" w:rsidR="004043D3" w:rsidRPr="004043D3" w:rsidRDefault="004043D3" w:rsidP="004043D3">
      <w:pPr>
        <w:spacing w:before="120"/>
        <w:jc w:val="both"/>
        <w:rPr>
          <w:rFonts w:ascii="Calibri" w:hAnsi="Calibri"/>
          <w:bCs/>
          <w:color w:val="595959"/>
          <w:sz w:val="17"/>
          <w:szCs w:val="17"/>
        </w:rPr>
      </w:pPr>
      <w:r w:rsidRPr="004043D3">
        <w:rPr>
          <w:rFonts w:ascii="Calibri" w:hAnsi="Calibri"/>
          <w:b/>
          <w:bCs/>
          <w:color w:val="595959"/>
          <w:sz w:val="17"/>
          <w:szCs w:val="17"/>
        </w:rPr>
        <w:t xml:space="preserve">Biuro Informacji Gospodarczej InfoMonitor </w:t>
      </w:r>
      <w:r w:rsidRPr="004043D3">
        <w:rPr>
          <w:rFonts w:ascii="Calibri" w:hAnsi="Calibri"/>
          <w:bCs/>
          <w:color w:val="595959"/>
          <w:sz w:val="17"/>
          <w:szCs w:val="17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32D6FBC6" w14:textId="77777777" w:rsidR="004043D3" w:rsidRPr="004043D3" w:rsidRDefault="004043D3" w:rsidP="004043D3">
      <w:pPr>
        <w:spacing w:after="120"/>
        <w:contextualSpacing/>
        <w:jc w:val="both"/>
        <w:rPr>
          <w:rFonts w:ascii="Calibri" w:hAnsi="Calibri"/>
          <w:sz w:val="17"/>
          <w:szCs w:val="17"/>
        </w:rPr>
      </w:pPr>
    </w:p>
    <w:p w14:paraId="7C85B00B" w14:textId="77777777" w:rsidR="004043D3" w:rsidRPr="004043D3" w:rsidRDefault="004043D3" w:rsidP="004043D3">
      <w:pPr>
        <w:spacing w:after="60"/>
        <w:jc w:val="both"/>
        <w:rPr>
          <w:rFonts w:ascii="Calibri" w:hAnsi="Calibri" w:cs="Arial"/>
          <w:b/>
          <w:color w:val="595959"/>
          <w:sz w:val="17"/>
          <w:szCs w:val="17"/>
        </w:rPr>
      </w:pPr>
      <w:r w:rsidRPr="004043D3">
        <w:rPr>
          <w:rFonts w:ascii="Calibri" w:hAnsi="Calibri" w:cs="Arial"/>
          <w:b/>
          <w:color w:val="595959"/>
          <w:sz w:val="17"/>
          <w:szCs w:val="17"/>
        </w:rPr>
        <w:t>Kontakt dla prasy: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3D3" w:rsidRPr="004043D3" w14:paraId="0EDC23AF" w14:textId="77777777" w:rsidTr="004043D3">
        <w:tc>
          <w:tcPr>
            <w:tcW w:w="4606" w:type="dxa"/>
            <w:hideMark/>
          </w:tcPr>
          <w:p w14:paraId="2FBFA363" w14:textId="77777777" w:rsidR="004043D3" w:rsidRPr="004043D3" w:rsidRDefault="004043D3" w:rsidP="004043D3">
            <w:pPr>
              <w:spacing w:line="254" w:lineRule="auto"/>
              <w:ind w:left="-108"/>
              <w:jc w:val="both"/>
              <w:rPr>
                <w:rFonts w:ascii="Calibri" w:hAnsi="Calibri" w:cs="Arial"/>
                <w:b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b/>
                <w:color w:val="595959"/>
                <w:sz w:val="17"/>
                <w:szCs w:val="17"/>
                <w:lang w:eastAsia="en-US"/>
              </w:rPr>
              <w:t>Halina Kochalska</w:t>
            </w:r>
          </w:p>
          <w:p w14:paraId="65EBDD83" w14:textId="77777777" w:rsidR="004043D3" w:rsidRPr="004043D3" w:rsidRDefault="004043D3" w:rsidP="004043D3">
            <w:pPr>
              <w:spacing w:line="254" w:lineRule="auto"/>
              <w:ind w:left="-108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Rzecznik Prasowy</w:t>
            </w:r>
          </w:p>
          <w:p w14:paraId="249DCE8C" w14:textId="77777777" w:rsidR="004043D3" w:rsidRPr="004043D3" w:rsidRDefault="004043D3" w:rsidP="004043D3">
            <w:pPr>
              <w:spacing w:line="254" w:lineRule="auto"/>
              <w:ind w:left="-108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tel.: +48 22 486 56 16</w:t>
            </w:r>
          </w:p>
          <w:p w14:paraId="5509902C" w14:textId="77777777" w:rsidR="004043D3" w:rsidRPr="004043D3" w:rsidRDefault="004043D3" w:rsidP="004043D3">
            <w:pPr>
              <w:spacing w:line="254" w:lineRule="auto"/>
              <w:ind w:left="-108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kom.: + 48 602 601 010</w:t>
            </w:r>
          </w:p>
          <w:p w14:paraId="6AECD47A" w14:textId="77777777" w:rsidR="004043D3" w:rsidRPr="004043D3" w:rsidRDefault="00C63C7C" w:rsidP="004043D3">
            <w:pPr>
              <w:spacing w:line="254" w:lineRule="auto"/>
              <w:ind w:left="-108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hyperlink r:id="rId11" w:history="1">
              <w:r w:rsidR="004043D3" w:rsidRPr="004043D3">
                <w:rPr>
                  <w:rFonts w:ascii="Calibri" w:hAnsi="Calibri"/>
                  <w:color w:val="595959"/>
                  <w:sz w:val="17"/>
                  <w:szCs w:val="17"/>
                  <w:u w:val="single"/>
                  <w:lang w:eastAsia="en-US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14:paraId="1AA04D20" w14:textId="77777777" w:rsidR="004043D3" w:rsidRPr="004043D3" w:rsidRDefault="004043D3" w:rsidP="004043D3">
            <w:pPr>
              <w:spacing w:line="254" w:lineRule="auto"/>
              <w:jc w:val="both"/>
              <w:rPr>
                <w:rFonts w:ascii="Calibri" w:hAnsi="Calibri" w:cs="Arial"/>
                <w:b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b/>
                <w:color w:val="595959"/>
                <w:sz w:val="17"/>
                <w:szCs w:val="17"/>
                <w:lang w:eastAsia="en-US"/>
              </w:rPr>
              <w:t>Diana Borowiecka</w:t>
            </w:r>
          </w:p>
          <w:p w14:paraId="12BB8165" w14:textId="77777777" w:rsidR="004043D3" w:rsidRPr="004043D3" w:rsidRDefault="004043D3" w:rsidP="004043D3">
            <w:pPr>
              <w:spacing w:line="254" w:lineRule="auto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Biuro PR i Komunikacji</w:t>
            </w:r>
          </w:p>
          <w:p w14:paraId="3E5FBF15" w14:textId="77777777" w:rsidR="004043D3" w:rsidRPr="004043D3" w:rsidRDefault="004043D3" w:rsidP="004043D3">
            <w:pPr>
              <w:spacing w:line="254" w:lineRule="auto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tel.: +48 22 486 56 46</w:t>
            </w:r>
          </w:p>
          <w:p w14:paraId="7A3255BA" w14:textId="77777777" w:rsidR="004043D3" w:rsidRPr="004043D3" w:rsidRDefault="004043D3" w:rsidP="004043D3">
            <w:pPr>
              <w:spacing w:line="254" w:lineRule="auto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r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>kom.: + 48 607 146 583</w:t>
            </w:r>
          </w:p>
          <w:p w14:paraId="780FBD3F" w14:textId="77777777" w:rsidR="004043D3" w:rsidRPr="004043D3" w:rsidRDefault="00C63C7C" w:rsidP="004043D3">
            <w:pPr>
              <w:spacing w:line="254" w:lineRule="auto"/>
              <w:jc w:val="both"/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</w:pPr>
            <w:hyperlink r:id="rId12" w:history="1">
              <w:r w:rsidR="004043D3" w:rsidRPr="004043D3">
                <w:rPr>
                  <w:rFonts w:ascii="Calibri" w:hAnsi="Calibri"/>
                  <w:color w:val="595959"/>
                  <w:sz w:val="17"/>
                  <w:szCs w:val="17"/>
                  <w:u w:val="single"/>
                  <w:lang w:eastAsia="en-US"/>
                </w:rPr>
                <w:t>Diana.Borowiecka@big.pl</w:t>
              </w:r>
            </w:hyperlink>
            <w:r w:rsidR="004043D3" w:rsidRPr="004043D3">
              <w:rPr>
                <w:rFonts w:ascii="Calibri" w:hAnsi="Calibri" w:cs="Arial"/>
                <w:color w:val="595959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2E51A58D" w14:textId="77777777" w:rsidR="004043D3" w:rsidRPr="004043D3" w:rsidRDefault="004043D3" w:rsidP="004043D3">
      <w:pPr>
        <w:jc w:val="both"/>
        <w:rPr>
          <w:rFonts w:ascii="Calibri" w:hAnsi="Calibri"/>
          <w:i/>
        </w:rPr>
      </w:pPr>
    </w:p>
    <w:p w14:paraId="38D3A071" w14:textId="77777777" w:rsidR="004043D3" w:rsidRPr="0075346A" w:rsidRDefault="004043D3" w:rsidP="00776725">
      <w:pPr>
        <w:rPr>
          <w:lang w:val="en-US"/>
        </w:rPr>
      </w:pPr>
    </w:p>
    <w:sectPr w:rsidR="004043D3" w:rsidRPr="0075346A" w:rsidSect="00192155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C570" w14:textId="77777777" w:rsidR="00C63C7C" w:rsidRDefault="00C63C7C" w:rsidP="00523A7F">
      <w:r>
        <w:separator/>
      </w:r>
    </w:p>
  </w:endnote>
  <w:endnote w:type="continuationSeparator" w:id="0">
    <w:p w14:paraId="3F8AD731" w14:textId="77777777" w:rsidR="00C63C7C" w:rsidRDefault="00C63C7C" w:rsidP="005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C4C8" w14:textId="77777777" w:rsidR="00192155" w:rsidRDefault="00192155" w:rsidP="00192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124C3" w14:textId="77777777" w:rsidR="00192155" w:rsidRDefault="00192155" w:rsidP="001921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655D" w14:textId="77777777" w:rsidR="00192155" w:rsidRDefault="00192155" w:rsidP="00192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8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AA6FC2" w14:textId="77777777" w:rsidR="00192155" w:rsidRPr="00D94BC7" w:rsidRDefault="0019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423B" w14:textId="77777777" w:rsidR="00C63C7C" w:rsidRDefault="00C63C7C" w:rsidP="00523A7F">
      <w:r>
        <w:separator/>
      </w:r>
    </w:p>
  </w:footnote>
  <w:footnote w:type="continuationSeparator" w:id="0">
    <w:p w14:paraId="59ADBECD" w14:textId="77777777" w:rsidR="00C63C7C" w:rsidRDefault="00C63C7C" w:rsidP="0052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31D5" w14:textId="77777777" w:rsidR="00192155" w:rsidRDefault="0019215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2AE9F3" wp14:editId="265DD50A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FA6E" w14:textId="77777777" w:rsidR="00192155" w:rsidRDefault="00192155">
    <w:pPr>
      <w:pStyle w:val="Nagwek"/>
    </w:pPr>
  </w:p>
  <w:p w14:paraId="58F81332" w14:textId="77777777" w:rsidR="00192155" w:rsidRDefault="0019215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2983A" wp14:editId="5C56E0BB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538B6" w14:textId="77777777" w:rsidR="00192155" w:rsidRDefault="00192155">
    <w:pPr>
      <w:pStyle w:val="Nagwek"/>
    </w:pPr>
  </w:p>
  <w:p w14:paraId="235D65E7" w14:textId="77777777" w:rsidR="00192155" w:rsidRDefault="00192155">
    <w:pPr>
      <w:pStyle w:val="Nagwek"/>
    </w:pPr>
  </w:p>
  <w:p w14:paraId="511B02D8" w14:textId="77777777" w:rsidR="00192155" w:rsidRPr="00695EB6" w:rsidRDefault="00192155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0"/>
    <w:rsid w:val="00013CB4"/>
    <w:rsid w:val="00024B08"/>
    <w:rsid w:val="000352AC"/>
    <w:rsid w:val="0004129C"/>
    <w:rsid w:val="000455AB"/>
    <w:rsid w:val="00067818"/>
    <w:rsid w:val="00086F4D"/>
    <w:rsid w:val="00090FC5"/>
    <w:rsid w:val="00096578"/>
    <w:rsid w:val="000A39EB"/>
    <w:rsid w:val="000C4DF4"/>
    <w:rsid w:val="000D128E"/>
    <w:rsid w:val="000E70A3"/>
    <w:rsid w:val="000E74FD"/>
    <w:rsid w:val="000F6571"/>
    <w:rsid w:val="00101B30"/>
    <w:rsid w:val="00140C35"/>
    <w:rsid w:val="00145FE2"/>
    <w:rsid w:val="00173F81"/>
    <w:rsid w:val="00175B34"/>
    <w:rsid w:val="001860FA"/>
    <w:rsid w:val="00192155"/>
    <w:rsid w:val="00192780"/>
    <w:rsid w:val="001C2A41"/>
    <w:rsid w:val="001D7768"/>
    <w:rsid w:val="001F2C27"/>
    <w:rsid w:val="0020698E"/>
    <w:rsid w:val="002235F3"/>
    <w:rsid w:val="00223E6D"/>
    <w:rsid w:val="002361ED"/>
    <w:rsid w:val="00237B42"/>
    <w:rsid w:val="00240540"/>
    <w:rsid w:val="0026188A"/>
    <w:rsid w:val="002669F7"/>
    <w:rsid w:val="00281AC3"/>
    <w:rsid w:val="002E1A46"/>
    <w:rsid w:val="002E32EE"/>
    <w:rsid w:val="003017D0"/>
    <w:rsid w:val="00312508"/>
    <w:rsid w:val="00314882"/>
    <w:rsid w:val="003210DF"/>
    <w:rsid w:val="0034232A"/>
    <w:rsid w:val="003534EA"/>
    <w:rsid w:val="003545E2"/>
    <w:rsid w:val="00362F46"/>
    <w:rsid w:val="0037373D"/>
    <w:rsid w:val="00383B01"/>
    <w:rsid w:val="003B33FF"/>
    <w:rsid w:val="003C1265"/>
    <w:rsid w:val="003C3A7C"/>
    <w:rsid w:val="003E09C5"/>
    <w:rsid w:val="003E7097"/>
    <w:rsid w:val="004043D3"/>
    <w:rsid w:val="00404556"/>
    <w:rsid w:val="00421503"/>
    <w:rsid w:val="00421798"/>
    <w:rsid w:val="00445EEB"/>
    <w:rsid w:val="004675AA"/>
    <w:rsid w:val="00481085"/>
    <w:rsid w:val="00494B02"/>
    <w:rsid w:val="00495A13"/>
    <w:rsid w:val="004A7B59"/>
    <w:rsid w:val="004B4254"/>
    <w:rsid w:val="004B438E"/>
    <w:rsid w:val="004C67FE"/>
    <w:rsid w:val="0050454C"/>
    <w:rsid w:val="00523A7F"/>
    <w:rsid w:val="00577F02"/>
    <w:rsid w:val="0058635A"/>
    <w:rsid w:val="005A4F24"/>
    <w:rsid w:val="005B5A01"/>
    <w:rsid w:val="005C489C"/>
    <w:rsid w:val="005D1454"/>
    <w:rsid w:val="005F5884"/>
    <w:rsid w:val="00600479"/>
    <w:rsid w:val="006062F1"/>
    <w:rsid w:val="00632150"/>
    <w:rsid w:val="006344E6"/>
    <w:rsid w:val="00652114"/>
    <w:rsid w:val="00653F7E"/>
    <w:rsid w:val="00663AB4"/>
    <w:rsid w:val="00672B2C"/>
    <w:rsid w:val="00683521"/>
    <w:rsid w:val="00685032"/>
    <w:rsid w:val="0068566A"/>
    <w:rsid w:val="006B4BDC"/>
    <w:rsid w:val="006C58AF"/>
    <w:rsid w:val="006D3C2A"/>
    <w:rsid w:val="006D3F71"/>
    <w:rsid w:val="006E2FA1"/>
    <w:rsid w:val="006E64E2"/>
    <w:rsid w:val="006E7268"/>
    <w:rsid w:val="00705BE6"/>
    <w:rsid w:val="00715881"/>
    <w:rsid w:val="0072736D"/>
    <w:rsid w:val="00732AA1"/>
    <w:rsid w:val="007331AF"/>
    <w:rsid w:val="00737806"/>
    <w:rsid w:val="0075346A"/>
    <w:rsid w:val="007716EC"/>
    <w:rsid w:val="00774F2A"/>
    <w:rsid w:val="00776725"/>
    <w:rsid w:val="007C1BE9"/>
    <w:rsid w:val="007E44FF"/>
    <w:rsid w:val="007E77B5"/>
    <w:rsid w:val="007F3BFB"/>
    <w:rsid w:val="007F7811"/>
    <w:rsid w:val="00810FFB"/>
    <w:rsid w:val="00813A8B"/>
    <w:rsid w:val="00814D3D"/>
    <w:rsid w:val="00825643"/>
    <w:rsid w:val="00827CCF"/>
    <w:rsid w:val="00856DD3"/>
    <w:rsid w:val="008645B2"/>
    <w:rsid w:val="00867C22"/>
    <w:rsid w:val="008721D1"/>
    <w:rsid w:val="008838C4"/>
    <w:rsid w:val="00893EC2"/>
    <w:rsid w:val="008A13AA"/>
    <w:rsid w:val="008A29F2"/>
    <w:rsid w:val="008E1371"/>
    <w:rsid w:val="008E4361"/>
    <w:rsid w:val="008F63E5"/>
    <w:rsid w:val="00913DC5"/>
    <w:rsid w:val="00931B77"/>
    <w:rsid w:val="009327C3"/>
    <w:rsid w:val="00947B5A"/>
    <w:rsid w:val="00953BEE"/>
    <w:rsid w:val="0095470C"/>
    <w:rsid w:val="009551B1"/>
    <w:rsid w:val="00960AC8"/>
    <w:rsid w:val="00962337"/>
    <w:rsid w:val="009932BF"/>
    <w:rsid w:val="009A2002"/>
    <w:rsid w:val="009C389C"/>
    <w:rsid w:val="009D0D0D"/>
    <w:rsid w:val="009F7074"/>
    <w:rsid w:val="00A17BD8"/>
    <w:rsid w:val="00A21250"/>
    <w:rsid w:val="00A35045"/>
    <w:rsid w:val="00A4349B"/>
    <w:rsid w:val="00A63C2C"/>
    <w:rsid w:val="00A755ED"/>
    <w:rsid w:val="00AC7E58"/>
    <w:rsid w:val="00AE5A4E"/>
    <w:rsid w:val="00AF385A"/>
    <w:rsid w:val="00AF4CB3"/>
    <w:rsid w:val="00AF610E"/>
    <w:rsid w:val="00B052CD"/>
    <w:rsid w:val="00B07C32"/>
    <w:rsid w:val="00B1197C"/>
    <w:rsid w:val="00B16509"/>
    <w:rsid w:val="00B22DE2"/>
    <w:rsid w:val="00B37176"/>
    <w:rsid w:val="00B44456"/>
    <w:rsid w:val="00B523B5"/>
    <w:rsid w:val="00B73973"/>
    <w:rsid w:val="00B7668F"/>
    <w:rsid w:val="00B915FC"/>
    <w:rsid w:val="00B93A85"/>
    <w:rsid w:val="00BA5492"/>
    <w:rsid w:val="00BB2913"/>
    <w:rsid w:val="00BC3AA1"/>
    <w:rsid w:val="00C0215E"/>
    <w:rsid w:val="00C038FD"/>
    <w:rsid w:val="00C05052"/>
    <w:rsid w:val="00C17A76"/>
    <w:rsid w:val="00C626C6"/>
    <w:rsid w:val="00C63C7C"/>
    <w:rsid w:val="00CB29EA"/>
    <w:rsid w:val="00CB4CC4"/>
    <w:rsid w:val="00CC78F1"/>
    <w:rsid w:val="00CD28C7"/>
    <w:rsid w:val="00CD752F"/>
    <w:rsid w:val="00CF7C4B"/>
    <w:rsid w:val="00D061B7"/>
    <w:rsid w:val="00D513A6"/>
    <w:rsid w:val="00D6710E"/>
    <w:rsid w:val="00D91B65"/>
    <w:rsid w:val="00D934A3"/>
    <w:rsid w:val="00DA3553"/>
    <w:rsid w:val="00DC6E99"/>
    <w:rsid w:val="00DE2BCC"/>
    <w:rsid w:val="00DE72AE"/>
    <w:rsid w:val="00E06635"/>
    <w:rsid w:val="00E32444"/>
    <w:rsid w:val="00E40F0E"/>
    <w:rsid w:val="00E5187D"/>
    <w:rsid w:val="00E54B74"/>
    <w:rsid w:val="00E64A41"/>
    <w:rsid w:val="00E84625"/>
    <w:rsid w:val="00E85E01"/>
    <w:rsid w:val="00E85FCE"/>
    <w:rsid w:val="00EA2901"/>
    <w:rsid w:val="00EB09D7"/>
    <w:rsid w:val="00EB27A0"/>
    <w:rsid w:val="00EC38C9"/>
    <w:rsid w:val="00ED1F7A"/>
    <w:rsid w:val="00ED4BEE"/>
    <w:rsid w:val="00F00103"/>
    <w:rsid w:val="00F02173"/>
    <w:rsid w:val="00F3294C"/>
    <w:rsid w:val="00F42D07"/>
    <w:rsid w:val="00F43F0D"/>
    <w:rsid w:val="00F70F61"/>
    <w:rsid w:val="00F7755A"/>
    <w:rsid w:val="00FA3094"/>
    <w:rsid w:val="00FB0184"/>
    <w:rsid w:val="00FB5D43"/>
    <w:rsid w:val="00FC787C"/>
    <w:rsid w:val="00FD7F70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A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240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240540"/>
  </w:style>
  <w:style w:type="paragraph" w:customStyle="1" w:styleId="StylStBIKsubowagwka">
    <w:name w:val="Styl StBIK służbowa główka"/>
    <w:basedOn w:val="Normalny"/>
    <w:link w:val="StylStBIKsubowagwkaZnak"/>
    <w:rsid w:val="0024054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40540"/>
    <w:rPr>
      <w:rFonts w:eastAsia="Times New Roman" w:cs="Times New Roman"/>
      <w:b/>
      <w:spacing w:val="-5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7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C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732AA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732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2AA1"/>
    <w:rPr>
      <w:rFonts w:eastAsiaTheme="minorHAnsi" w:cstheme="minorBidi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2AA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32AA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2A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2AA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styleId="Jasnecieniowanieakcent1">
    <w:name w:val="Light Shading Accent 1"/>
    <w:basedOn w:val="Standardowy"/>
    <w:uiPriority w:val="60"/>
    <w:rsid w:val="00732AA1"/>
    <w:pPr>
      <w:spacing w:after="0" w:line="240" w:lineRule="auto"/>
    </w:pPr>
    <w:rPr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C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E5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E58"/>
    <w:rPr>
      <w:rFonts w:eastAsia="Times New Roman" w:cs="Times New Roman"/>
      <w:b/>
      <w:bCs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B915F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B915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B915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240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240540"/>
  </w:style>
  <w:style w:type="paragraph" w:customStyle="1" w:styleId="StylStBIKsubowagwka">
    <w:name w:val="Styl StBIK służbowa główka"/>
    <w:basedOn w:val="Normalny"/>
    <w:link w:val="StylStBIKsubowagwkaZnak"/>
    <w:rsid w:val="0024054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40540"/>
    <w:rPr>
      <w:rFonts w:eastAsia="Times New Roman" w:cs="Times New Roman"/>
      <w:b/>
      <w:spacing w:val="-5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7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C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732AA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732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2AA1"/>
    <w:rPr>
      <w:rFonts w:eastAsiaTheme="minorHAnsi" w:cstheme="minorBidi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2AA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32AA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2A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2AA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styleId="Jasnecieniowanieakcent1">
    <w:name w:val="Light Shading Accent 1"/>
    <w:basedOn w:val="Standardowy"/>
    <w:uiPriority w:val="60"/>
    <w:rsid w:val="00732AA1"/>
    <w:pPr>
      <w:spacing w:after="0" w:line="240" w:lineRule="auto"/>
    </w:pPr>
    <w:rPr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C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E5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E58"/>
    <w:rPr>
      <w:rFonts w:eastAsia="Times New Roman" w:cs="Times New Roman"/>
      <w:b/>
      <w:bCs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B915F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B915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B915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na.Kochalska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na.kochalska\AppData\Local\Microsoft\Windows\Temporary%20Internet%20Files\Content.Outlook\2HFRLY5A\M&#322;odzi%2009.2019%20(00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na.kochalska\Documents\M&#322;odzi%2009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effectLst/>
              </a:rPr>
              <a:t>Przedmioty zbyt drogich zakupów  18-24 latków i ogółu Polaków </a:t>
            </a:r>
            <a:endParaRPr lang="pl-PL" sz="10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'[Młodzi 09.2019 (002).xlsx]Arkusz1'!$B$10</c:f>
              <c:strCache>
                <c:ptCount val="1"/>
                <c:pt idx="0">
                  <c:v>Wszyscy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'[Młodzi 09.2019 (002).xlsx]Arkusz1'!$A$11:$A$20</c:f>
              <c:strCache>
                <c:ptCount val="10"/>
                <c:pt idx="0">
                  <c:v>kuracje odchudzające, diety</c:v>
                </c:pt>
                <c:pt idx="1">
                  <c:v>edukacja, kursy, szkolenia własne</c:v>
                </c:pt>
                <c:pt idx="2">
                  <c:v>mieszkanie/dom</c:v>
                </c:pt>
                <c:pt idx="3">
                  <c:v>prezent na uroczystość rodzinną </c:v>
                </c:pt>
                <c:pt idx="4">
                  <c:v>prezent dla partnera</c:v>
                </c:pt>
                <c:pt idx="5">
                  <c:v>elementy wyposażenia mieszkania</c:v>
                </c:pt>
                <c:pt idx="6">
                  <c:v>samochód</c:v>
                </c:pt>
                <c:pt idx="7">
                  <c:v>wyjazd wakacyjny, urlop</c:v>
                </c:pt>
                <c:pt idx="8">
                  <c:v>elektronika/sprzęt komputerowy</c:v>
                </c:pt>
                <c:pt idx="9">
                  <c:v>sprzęt RTV i AGD</c:v>
                </c:pt>
              </c:strCache>
            </c:strRef>
          </c:cat>
          <c:val>
            <c:numRef>
              <c:f>'[Młodzi 09.2019 (002).xlsx]Arkusz1'!$B$11:$B$20</c:f>
              <c:numCache>
                <c:formatCode>0%</c:formatCode>
                <c:ptCount val="10"/>
                <c:pt idx="0">
                  <c:v>0.03</c:v>
                </c:pt>
                <c:pt idx="1">
                  <c:v>0.04</c:v>
                </c:pt>
                <c:pt idx="2">
                  <c:v>0.1</c:v>
                </c:pt>
                <c:pt idx="3">
                  <c:v>0.08</c:v>
                </c:pt>
                <c:pt idx="4">
                  <c:v>0.11</c:v>
                </c:pt>
                <c:pt idx="5">
                  <c:v>0.14000000000000001</c:v>
                </c:pt>
                <c:pt idx="6">
                  <c:v>0.28000000000000003</c:v>
                </c:pt>
                <c:pt idx="7">
                  <c:v>0.21</c:v>
                </c:pt>
                <c:pt idx="8">
                  <c:v>0.17</c:v>
                </c:pt>
                <c:pt idx="9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'[Młodzi 09.2019 (002).xlsx]Arkusz1'!$C$10</c:f>
              <c:strCache>
                <c:ptCount val="1"/>
                <c:pt idx="0">
                  <c:v>Młodzi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'[Młodzi 09.2019 (002).xlsx]Arkusz1'!$A$11:$A$20</c:f>
              <c:strCache>
                <c:ptCount val="10"/>
                <c:pt idx="0">
                  <c:v>kuracje odchudzające, diety</c:v>
                </c:pt>
                <c:pt idx="1">
                  <c:v>edukacja, kursy, szkolenia własne</c:v>
                </c:pt>
                <c:pt idx="2">
                  <c:v>mieszkanie/dom</c:v>
                </c:pt>
                <c:pt idx="3">
                  <c:v>prezent na uroczystość rodzinną </c:v>
                </c:pt>
                <c:pt idx="4">
                  <c:v>prezent dla partnera</c:v>
                </c:pt>
                <c:pt idx="5">
                  <c:v>elementy wyposażenia mieszkania</c:v>
                </c:pt>
                <c:pt idx="6">
                  <c:v>samochód</c:v>
                </c:pt>
                <c:pt idx="7">
                  <c:v>wyjazd wakacyjny, urlop</c:v>
                </c:pt>
                <c:pt idx="8">
                  <c:v>elektronika/sprzęt komputerowy</c:v>
                </c:pt>
                <c:pt idx="9">
                  <c:v>sprzęt RTV i AGD</c:v>
                </c:pt>
              </c:strCache>
            </c:strRef>
          </c:cat>
          <c:val>
            <c:numRef>
              <c:f>'[Młodzi 09.2019 (002).xlsx]Arkusz1'!$C$11:$C$20</c:f>
              <c:numCache>
                <c:formatCode>0%</c:formatCode>
                <c:ptCount val="10"/>
                <c:pt idx="0">
                  <c:v>0.04</c:v>
                </c:pt>
                <c:pt idx="1">
                  <c:v>7.0000000000000007E-2</c:v>
                </c:pt>
                <c:pt idx="2">
                  <c:v>0.09</c:v>
                </c:pt>
                <c:pt idx="3">
                  <c:v>0.11</c:v>
                </c:pt>
                <c:pt idx="4">
                  <c:v>0.17</c:v>
                </c:pt>
                <c:pt idx="5">
                  <c:v>0.18</c:v>
                </c:pt>
                <c:pt idx="6">
                  <c:v>0.2</c:v>
                </c:pt>
                <c:pt idx="7">
                  <c:v>0.21</c:v>
                </c:pt>
                <c:pt idx="8">
                  <c:v>0.24</c:v>
                </c:pt>
                <c:pt idx="9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430208"/>
        <c:axId val="206431744"/>
      </c:barChart>
      <c:catAx>
        <c:axId val="20643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6431744"/>
        <c:crosses val="autoZero"/>
        <c:auto val="1"/>
        <c:lblAlgn val="ctr"/>
        <c:lblOffset val="100"/>
        <c:noMultiLvlLbl val="0"/>
      </c:catAx>
      <c:valAx>
        <c:axId val="20643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643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>
                    <a:lumMod val="65000"/>
                    <a:lumOff val="35000"/>
                  </a:schemeClr>
                </a:solidFill>
              </a:rPr>
              <a:t>Żyję ponad stan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Arkusz1!$A$36:$A$41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56-75 </c:v>
                </c:pt>
              </c:strCache>
            </c:strRef>
          </c:cat>
          <c:val>
            <c:numRef>
              <c:f>Arkusz1!$B$36:$B$41</c:f>
              <c:numCache>
                <c:formatCode>0%</c:formatCode>
                <c:ptCount val="6"/>
                <c:pt idx="0">
                  <c:v>0.25</c:v>
                </c:pt>
                <c:pt idx="1">
                  <c:v>0.34</c:v>
                </c:pt>
                <c:pt idx="2">
                  <c:v>0.24</c:v>
                </c:pt>
                <c:pt idx="3">
                  <c:v>0.23</c:v>
                </c:pt>
                <c:pt idx="4">
                  <c:v>0.13</c:v>
                </c:pt>
                <c:pt idx="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198720"/>
        <c:axId val="253200256"/>
      </c:barChart>
      <c:catAx>
        <c:axId val="25319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3200256"/>
        <c:crosses val="autoZero"/>
        <c:auto val="1"/>
        <c:lblAlgn val="ctr"/>
        <c:lblOffset val="100"/>
        <c:noMultiLvlLbl val="0"/>
      </c:catAx>
      <c:valAx>
        <c:axId val="25320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319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FA53D84-B783-4B70-918D-CAFBCE9282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Kochalska Halina</dc:creator>
  <cp:lastModifiedBy>Borowiecka Diana</cp:lastModifiedBy>
  <cp:revision>4</cp:revision>
  <cp:lastPrinted>2019-09-25T20:07:00Z</cp:lastPrinted>
  <dcterms:created xsi:type="dcterms:W3CDTF">2019-09-30T13:03:00Z</dcterms:created>
  <dcterms:modified xsi:type="dcterms:W3CDTF">2019-10-01T07:51:00Z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aef7e991-e459-4c79-9e7e-0fc5568569a2</vt:lpwstr>
  </property>
  <property fmtid="{D5CDD505-2E9C-101B-9397-08002B2CF9AE}" pid="3" name="bjSaver">
    <vt:lpwstr>xORkW3ca6iDiqdk6AI3lgo0hmKRVQTR4</vt:lpwstr>
  </property>
  <property fmtid="{D5CDD505-2E9C-101B-9397-08002B2CF9AE}" pid="4" name="bjDocumentSecurityLabel">
    <vt:lpwstr>Jawne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</Properties>
</file>