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D3598" w14:textId="77777777" w:rsidR="00F42E2D" w:rsidRPr="00F303A7" w:rsidRDefault="00F42E2D" w:rsidP="00F42E2D">
      <w:pPr>
        <w:jc w:val="both"/>
        <w:rPr>
          <w:szCs w:val="23"/>
        </w:rPr>
      </w:pPr>
    </w:p>
    <w:p w14:paraId="342E0E1E" w14:textId="03BDF011" w:rsidR="00F42E2D" w:rsidRPr="00631283" w:rsidRDefault="002400EA" w:rsidP="00F42E2D">
      <w:pPr>
        <w:ind w:left="6372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F42E2D" w:rsidRPr="00631283">
        <w:rPr>
          <w:sz w:val="18"/>
          <w:szCs w:val="18"/>
        </w:rPr>
        <w:t xml:space="preserve">Warszawa, </w:t>
      </w:r>
      <w:r w:rsidR="005C1F39">
        <w:rPr>
          <w:sz w:val="18"/>
          <w:szCs w:val="18"/>
        </w:rPr>
        <w:t>2</w:t>
      </w:r>
      <w:r w:rsidR="006313E6">
        <w:rPr>
          <w:sz w:val="18"/>
          <w:szCs w:val="18"/>
        </w:rPr>
        <w:t>9</w:t>
      </w:r>
      <w:r w:rsidR="008D63C4">
        <w:rPr>
          <w:sz w:val="18"/>
          <w:szCs w:val="18"/>
        </w:rPr>
        <w:t xml:space="preserve"> </w:t>
      </w:r>
      <w:r w:rsidR="00B37B3C">
        <w:rPr>
          <w:sz w:val="18"/>
          <w:szCs w:val="18"/>
        </w:rPr>
        <w:t>listopada</w:t>
      </w:r>
      <w:r w:rsidR="00E733B3">
        <w:rPr>
          <w:sz w:val="18"/>
          <w:szCs w:val="18"/>
        </w:rPr>
        <w:t xml:space="preserve"> 2019</w:t>
      </w:r>
      <w:r w:rsidR="00F42E2D" w:rsidRPr="00631283">
        <w:rPr>
          <w:sz w:val="18"/>
          <w:szCs w:val="18"/>
        </w:rPr>
        <w:t xml:space="preserve"> r.</w:t>
      </w:r>
    </w:p>
    <w:p w14:paraId="65E05F26" w14:textId="77777777" w:rsidR="00D46943" w:rsidRDefault="00D46943" w:rsidP="00D46943">
      <w:pPr>
        <w:spacing w:after="120"/>
        <w:jc w:val="both"/>
        <w:rPr>
          <w:rFonts w:cs="Arial"/>
          <w:i/>
          <w:szCs w:val="23"/>
        </w:rPr>
      </w:pPr>
    </w:p>
    <w:p w14:paraId="3B99FF03" w14:textId="0362F054" w:rsidR="00E27CBB" w:rsidRDefault="00B52A31" w:rsidP="00BC52A2">
      <w:pPr>
        <w:pStyle w:val="NormalnyWeb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Uwaga na c</w:t>
      </w:r>
      <w:r w:rsidR="00E27CBB">
        <w:rPr>
          <w:rFonts w:asciiTheme="minorHAnsi" w:hAnsiTheme="minorHAnsi" w:cs="Arial"/>
          <w:b/>
          <w:sz w:val="28"/>
          <w:szCs w:val="28"/>
        </w:rPr>
        <w:t>zarny piątek</w:t>
      </w:r>
      <w:r>
        <w:rPr>
          <w:rFonts w:asciiTheme="minorHAnsi" w:hAnsiTheme="minorHAnsi" w:cs="Arial"/>
          <w:b/>
          <w:sz w:val="28"/>
          <w:szCs w:val="28"/>
        </w:rPr>
        <w:t>.</w:t>
      </w:r>
      <w:r w:rsidR="00E27CBB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N</w:t>
      </w:r>
      <w:r w:rsidR="00E27CBB">
        <w:rPr>
          <w:rFonts w:asciiTheme="minorHAnsi" w:hAnsiTheme="minorHAnsi" w:cs="Arial"/>
          <w:b/>
          <w:sz w:val="28"/>
          <w:szCs w:val="28"/>
        </w:rPr>
        <w:t xml:space="preserve">a </w:t>
      </w:r>
      <w:r w:rsidR="00050705">
        <w:rPr>
          <w:rFonts w:asciiTheme="minorHAnsi" w:hAnsiTheme="minorHAnsi" w:cs="Arial"/>
          <w:b/>
          <w:sz w:val="28"/>
          <w:szCs w:val="28"/>
        </w:rPr>
        <w:t xml:space="preserve">czarnej </w:t>
      </w:r>
      <w:r w:rsidR="00E27CBB">
        <w:rPr>
          <w:rFonts w:asciiTheme="minorHAnsi" w:hAnsiTheme="minorHAnsi" w:cs="Arial"/>
          <w:b/>
          <w:sz w:val="28"/>
          <w:szCs w:val="28"/>
        </w:rPr>
        <w:t>liście dłużników</w:t>
      </w:r>
      <w:r w:rsidR="002165AE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1,3</w:t>
      </w:r>
      <w:r w:rsidRPr="00B52A31">
        <w:rPr>
          <w:rFonts w:asciiTheme="minorHAnsi" w:hAnsiTheme="minorHAnsi" w:cs="Arial"/>
          <w:b/>
          <w:sz w:val="28"/>
          <w:szCs w:val="28"/>
        </w:rPr>
        <w:t xml:space="preserve"> ml</w:t>
      </w:r>
      <w:r w:rsidR="002165AE">
        <w:rPr>
          <w:rFonts w:asciiTheme="minorHAnsi" w:hAnsiTheme="minorHAnsi" w:cs="Arial"/>
          <w:b/>
          <w:sz w:val="28"/>
          <w:szCs w:val="28"/>
        </w:rPr>
        <w:t>d</w:t>
      </w:r>
      <w:r w:rsidRPr="00B52A31">
        <w:rPr>
          <w:rFonts w:asciiTheme="minorHAnsi" w:hAnsiTheme="minorHAnsi" w:cs="Arial"/>
          <w:b/>
          <w:sz w:val="28"/>
          <w:szCs w:val="28"/>
        </w:rPr>
        <w:t xml:space="preserve"> zł</w:t>
      </w:r>
      <w:r w:rsidR="002165AE">
        <w:rPr>
          <w:rFonts w:asciiTheme="minorHAnsi" w:hAnsiTheme="minorHAnsi" w:cs="Arial"/>
          <w:b/>
          <w:sz w:val="28"/>
          <w:szCs w:val="28"/>
        </w:rPr>
        <w:t xml:space="preserve"> z</w:t>
      </w:r>
      <w:r w:rsidRPr="00B52A31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zakupowego </w:t>
      </w:r>
      <w:r w:rsidR="008B4612">
        <w:rPr>
          <w:rFonts w:asciiTheme="minorHAnsi" w:hAnsiTheme="minorHAnsi" w:cs="Arial"/>
          <w:b/>
          <w:sz w:val="28"/>
          <w:szCs w:val="28"/>
        </w:rPr>
        <w:t>szaleństwa</w:t>
      </w:r>
    </w:p>
    <w:p w14:paraId="2490A51F" w14:textId="05AA72F4" w:rsidR="00D60AEF" w:rsidRDefault="00186FDA" w:rsidP="00463EAA">
      <w:pPr>
        <w:jc w:val="both"/>
        <w:rPr>
          <w:rFonts w:cs="Calibri"/>
          <w:b/>
          <w:color w:val="000000" w:themeColor="text1"/>
          <w:sz w:val="22"/>
          <w:szCs w:val="22"/>
        </w:rPr>
      </w:pPr>
      <w:r>
        <w:rPr>
          <w:rFonts w:cs="Calibri"/>
          <w:b/>
          <w:color w:val="000000" w:themeColor="text1"/>
          <w:sz w:val="22"/>
          <w:szCs w:val="22"/>
        </w:rPr>
        <w:t xml:space="preserve">Przed nami wyprzedażowe szaleństwo. </w:t>
      </w:r>
      <w:r w:rsidR="00E03BE2" w:rsidRPr="00E03BE2">
        <w:rPr>
          <w:rFonts w:cs="Calibri"/>
          <w:b/>
          <w:color w:val="000000" w:themeColor="text1"/>
          <w:sz w:val="22"/>
          <w:szCs w:val="22"/>
        </w:rPr>
        <w:t>Polacy szykują się na wielkie promocje z okazji Black Friday</w:t>
      </w:r>
      <w:r w:rsidR="0078393A">
        <w:rPr>
          <w:rFonts w:cs="Calibri"/>
          <w:b/>
          <w:color w:val="000000" w:themeColor="text1"/>
          <w:sz w:val="22"/>
          <w:szCs w:val="22"/>
        </w:rPr>
        <w:t xml:space="preserve">. Atrakcyjne oferty </w:t>
      </w:r>
      <w:r w:rsidR="001C1DE4" w:rsidRPr="00E03BE2">
        <w:rPr>
          <w:rFonts w:cs="Calibri"/>
          <w:b/>
          <w:color w:val="000000" w:themeColor="text1"/>
          <w:sz w:val="22"/>
          <w:szCs w:val="22"/>
        </w:rPr>
        <w:t>sklepów</w:t>
      </w:r>
      <w:r w:rsidR="001C1DE4">
        <w:rPr>
          <w:rFonts w:cs="Calibri"/>
          <w:b/>
          <w:color w:val="000000" w:themeColor="text1"/>
          <w:sz w:val="22"/>
          <w:szCs w:val="22"/>
        </w:rPr>
        <w:t xml:space="preserve"> i znanych marek </w:t>
      </w:r>
      <w:r w:rsidR="00BD58BC">
        <w:rPr>
          <w:rFonts w:cs="Calibri"/>
          <w:b/>
          <w:color w:val="000000" w:themeColor="text1"/>
          <w:sz w:val="22"/>
          <w:szCs w:val="22"/>
        </w:rPr>
        <w:t xml:space="preserve">będą kusić na każdym kroku. </w:t>
      </w:r>
      <w:r w:rsidR="00E03BE2" w:rsidRPr="00E03BE2">
        <w:rPr>
          <w:rFonts w:cs="Calibri"/>
          <w:b/>
          <w:color w:val="000000" w:themeColor="text1"/>
          <w:sz w:val="22"/>
          <w:szCs w:val="22"/>
        </w:rPr>
        <w:t>Należy jednak pamiętać, że pien</w:t>
      </w:r>
      <w:r w:rsidR="00310530">
        <w:rPr>
          <w:rFonts w:cs="Calibri"/>
          <w:b/>
          <w:color w:val="000000" w:themeColor="text1"/>
          <w:sz w:val="22"/>
          <w:szCs w:val="22"/>
        </w:rPr>
        <w:t xml:space="preserve">iądze </w:t>
      </w:r>
      <w:r w:rsidR="005E1F16">
        <w:rPr>
          <w:rFonts w:cs="Calibri"/>
          <w:b/>
          <w:color w:val="000000" w:themeColor="text1"/>
          <w:sz w:val="22"/>
          <w:szCs w:val="22"/>
        </w:rPr>
        <w:t xml:space="preserve">łatwo się </w:t>
      </w:r>
      <w:r w:rsidR="00310530">
        <w:rPr>
          <w:rFonts w:cs="Calibri"/>
          <w:b/>
          <w:color w:val="000000" w:themeColor="text1"/>
          <w:sz w:val="22"/>
          <w:szCs w:val="22"/>
        </w:rPr>
        <w:t xml:space="preserve">wydaje, </w:t>
      </w:r>
      <w:r w:rsidR="001412F9">
        <w:rPr>
          <w:rFonts w:cs="Calibri"/>
          <w:b/>
          <w:color w:val="000000" w:themeColor="text1"/>
          <w:sz w:val="22"/>
          <w:szCs w:val="22"/>
        </w:rPr>
        <w:t xml:space="preserve">niestety </w:t>
      </w:r>
      <w:r w:rsidR="00310530">
        <w:rPr>
          <w:rFonts w:cs="Calibri"/>
          <w:b/>
          <w:color w:val="000000" w:themeColor="text1"/>
          <w:sz w:val="22"/>
          <w:szCs w:val="22"/>
        </w:rPr>
        <w:t xml:space="preserve">nie zawsze w przemyślany sposób. </w:t>
      </w:r>
      <w:r w:rsidR="00D60AEF">
        <w:rPr>
          <w:rFonts w:cs="Calibri"/>
          <w:b/>
          <w:color w:val="000000" w:themeColor="text1"/>
          <w:sz w:val="22"/>
          <w:szCs w:val="22"/>
        </w:rPr>
        <w:t xml:space="preserve">Konsekwencje? </w:t>
      </w:r>
      <w:r w:rsidR="00E272ED">
        <w:rPr>
          <w:rFonts w:cs="Calibri"/>
          <w:b/>
          <w:color w:val="000000" w:themeColor="text1"/>
          <w:sz w:val="22"/>
          <w:szCs w:val="22"/>
        </w:rPr>
        <w:t xml:space="preserve">W sumie </w:t>
      </w:r>
      <w:r w:rsidR="00A521C5">
        <w:rPr>
          <w:rFonts w:cs="Calibri"/>
          <w:b/>
          <w:color w:val="000000" w:themeColor="text1"/>
          <w:sz w:val="22"/>
          <w:szCs w:val="22"/>
        </w:rPr>
        <w:t>Polacy n</w:t>
      </w:r>
      <w:r w:rsidR="00D1014C">
        <w:rPr>
          <w:rFonts w:cs="Calibri"/>
          <w:b/>
          <w:color w:val="000000" w:themeColor="text1"/>
          <w:sz w:val="22"/>
          <w:szCs w:val="22"/>
        </w:rPr>
        <w:t>a</w:t>
      </w:r>
      <w:r w:rsidR="008D63C4">
        <w:rPr>
          <w:rFonts w:cs="Calibri"/>
          <w:b/>
          <w:color w:val="000000" w:themeColor="text1"/>
          <w:sz w:val="22"/>
          <w:szCs w:val="22"/>
        </w:rPr>
        <w:t xml:space="preserve"> </w:t>
      </w:r>
      <w:r w:rsidR="00BD58BC">
        <w:rPr>
          <w:rFonts w:cs="Calibri"/>
          <w:b/>
          <w:color w:val="000000" w:themeColor="text1"/>
          <w:sz w:val="22"/>
          <w:szCs w:val="22"/>
        </w:rPr>
        <w:t xml:space="preserve">zakupach </w:t>
      </w:r>
      <w:r w:rsidR="00020B0A">
        <w:rPr>
          <w:rFonts w:cs="Calibri"/>
          <w:b/>
          <w:color w:val="000000" w:themeColor="text1"/>
          <w:sz w:val="22"/>
          <w:szCs w:val="22"/>
        </w:rPr>
        <w:t>zrobili ponad 1,3</w:t>
      </w:r>
      <w:r w:rsidR="00BD58BC">
        <w:rPr>
          <w:rFonts w:cs="Calibri"/>
          <w:b/>
          <w:color w:val="000000" w:themeColor="text1"/>
          <w:sz w:val="22"/>
          <w:szCs w:val="22"/>
        </w:rPr>
        <w:t xml:space="preserve"> ml</w:t>
      </w:r>
      <w:r w:rsidR="002165AE">
        <w:rPr>
          <w:rFonts w:cs="Calibri"/>
          <w:b/>
          <w:color w:val="000000" w:themeColor="text1"/>
          <w:sz w:val="22"/>
          <w:szCs w:val="22"/>
        </w:rPr>
        <w:t>d</w:t>
      </w:r>
      <w:r w:rsidR="00BD58BC">
        <w:rPr>
          <w:rFonts w:cs="Calibri"/>
          <w:b/>
          <w:color w:val="000000" w:themeColor="text1"/>
          <w:sz w:val="22"/>
          <w:szCs w:val="22"/>
        </w:rPr>
        <w:t xml:space="preserve"> zł długu – wynika z Rejestru Dłużników BIG InfoMonitor.</w:t>
      </w:r>
      <w:r w:rsidR="0023350C">
        <w:rPr>
          <w:rFonts w:cs="Calibri"/>
          <w:b/>
          <w:color w:val="000000" w:themeColor="text1"/>
          <w:sz w:val="22"/>
          <w:szCs w:val="22"/>
        </w:rPr>
        <w:t xml:space="preserve"> </w:t>
      </w:r>
      <w:r w:rsidR="0023350C" w:rsidRPr="0023350C">
        <w:rPr>
          <w:rFonts w:cs="Calibri"/>
          <w:b/>
          <w:color w:val="000000" w:themeColor="text1"/>
          <w:sz w:val="22"/>
          <w:szCs w:val="22"/>
        </w:rPr>
        <w:t xml:space="preserve">Mimo to nie przyznają się do bycia nierozważnymi w wydawaniu pieniędzy. 50 proc. uważa, że nie zdarzyło im się w sposób nieprzemyślany wydać dużej sumy. </w:t>
      </w:r>
    </w:p>
    <w:p w14:paraId="5C1B5354" w14:textId="77777777" w:rsidR="00D60AEF" w:rsidRDefault="00D60AEF" w:rsidP="00463EAA">
      <w:pPr>
        <w:jc w:val="both"/>
        <w:rPr>
          <w:rFonts w:cs="Calibri"/>
          <w:b/>
          <w:color w:val="000000" w:themeColor="text1"/>
          <w:sz w:val="22"/>
          <w:szCs w:val="22"/>
        </w:rPr>
      </w:pPr>
    </w:p>
    <w:p w14:paraId="1F5898C8" w14:textId="1F2CD14A" w:rsidR="00B31DD7" w:rsidRPr="00AE7806" w:rsidRDefault="00255D58" w:rsidP="00B37B3C">
      <w:pPr>
        <w:jc w:val="both"/>
        <w:rPr>
          <w:rFonts w:cs="Calibri"/>
          <w:color w:val="000000" w:themeColor="text1"/>
          <w:sz w:val="22"/>
          <w:szCs w:val="22"/>
        </w:rPr>
      </w:pPr>
      <w:r w:rsidRPr="00255D58">
        <w:rPr>
          <w:rFonts w:cs="Calibri"/>
          <w:color w:val="000000" w:themeColor="text1"/>
          <w:sz w:val="22"/>
          <w:szCs w:val="22"/>
        </w:rPr>
        <w:t xml:space="preserve">Wyprzedaże z okazji Black Friday </w:t>
      </w:r>
      <w:r w:rsidR="005E5D59">
        <w:rPr>
          <w:rFonts w:cs="Calibri"/>
          <w:color w:val="000000" w:themeColor="text1"/>
          <w:sz w:val="22"/>
          <w:szCs w:val="22"/>
        </w:rPr>
        <w:t xml:space="preserve">na całym świecie </w:t>
      </w:r>
      <w:r w:rsidRPr="00255D58">
        <w:rPr>
          <w:rFonts w:cs="Calibri"/>
          <w:color w:val="000000" w:themeColor="text1"/>
          <w:sz w:val="22"/>
          <w:szCs w:val="22"/>
        </w:rPr>
        <w:t xml:space="preserve">uznawane są za </w:t>
      </w:r>
      <w:r w:rsidR="00532CBF">
        <w:rPr>
          <w:rFonts w:cs="Calibri"/>
          <w:color w:val="000000" w:themeColor="text1"/>
          <w:sz w:val="22"/>
          <w:szCs w:val="22"/>
        </w:rPr>
        <w:t>dobry moment</w:t>
      </w:r>
      <w:r w:rsidR="008D63C4">
        <w:rPr>
          <w:rFonts w:cs="Calibri"/>
          <w:color w:val="000000" w:themeColor="text1"/>
          <w:sz w:val="22"/>
          <w:szCs w:val="22"/>
        </w:rPr>
        <w:t>,</w:t>
      </w:r>
      <w:r w:rsidR="005E5D59">
        <w:rPr>
          <w:rFonts w:cs="Calibri"/>
          <w:color w:val="000000" w:themeColor="text1"/>
          <w:sz w:val="22"/>
          <w:szCs w:val="22"/>
        </w:rPr>
        <w:t xml:space="preserve"> by skorzystać z </w:t>
      </w:r>
      <w:r w:rsidRPr="00255D58">
        <w:rPr>
          <w:rFonts w:cs="Calibri"/>
          <w:color w:val="000000" w:themeColor="text1"/>
          <w:sz w:val="22"/>
          <w:szCs w:val="22"/>
        </w:rPr>
        <w:t>obniżki cen</w:t>
      </w:r>
      <w:r w:rsidR="00EB673A">
        <w:rPr>
          <w:rFonts w:cs="Calibri"/>
          <w:color w:val="000000" w:themeColor="text1"/>
          <w:sz w:val="22"/>
          <w:szCs w:val="22"/>
        </w:rPr>
        <w:t xml:space="preserve"> i obkupić siebie oraz bliskich</w:t>
      </w:r>
      <w:r w:rsidRPr="00255D58">
        <w:rPr>
          <w:rFonts w:cs="Calibri"/>
          <w:color w:val="000000" w:themeColor="text1"/>
          <w:sz w:val="22"/>
          <w:szCs w:val="22"/>
        </w:rPr>
        <w:t xml:space="preserve">. </w:t>
      </w:r>
      <w:r w:rsidR="00AE7806" w:rsidRPr="00AE7806">
        <w:rPr>
          <w:rFonts w:cs="Calibri"/>
          <w:color w:val="000000" w:themeColor="text1"/>
          <w:sz w:val="22"/>
          <w:szCs w:val="22"/>
        </w:rPr>
        <w:t>Promocje obejmą modę, żywność, dom i ogród, elektronikę i komputery, sprzęt AGD, sport, turystykę, motoryzację, zdrowie i urodę, telekomunikację, rozrywkę, prezenty, finanse i wiele innych.</w:t>
      </w:r>
      <w:r w:rsidR="00AE7806">
        <w:rPr>
          <w:rFonts w:cs="Calibri"/>
          <w:color w:val="000000" w:themeColor="text1"/>
          <w:sz w:val="22"/>
          <w:szCs w:val="22"/>
        </w:rPr>
        <w:t xml:space="preserve"> </w:t>
      </w:r>
      <w:r w:rsidR="00CD4877">
        <w:rPr>
          <w:rFonts w:cs="Calibri"/>
          <w:color w:val="000000" w:themeColor="text1"/>
          <w:sz w:val="22"/>
          <w:szCs w:val="22"/>
        </w:rPr>
        <w:t>Ten amerykański zwyczaj</w:t>
      </w:r>
      <w:r w:rsidR="008D63C4">
        <w:rPr>
          <w:rFonts w:cs="Calibri"/>
          <w:color w:val="000000" w:themeColor="text1"/>
          <w:sz w:val="22"/>
          <w:szCs w:val="22"/>
        </w:rPr>
        <w:t xml:space="preserve">, </w:t>
      </w:r>
      <w:r w:rsidRPr="00255D58">
        <w:rPr>
          <w:rFonts w:cs="Calibri"/>
          <w:color w:val="000000" w:themeColor="text1"/>
          <w:sz w:val="22"/>
          <w:szCs w:val="22"/>
        </w:rPr>
        <w:t xml:space="preserve">choć nie jest jeszcze </w:t>
      </w:r>
      <w:r w:rsidR="005E5D59">
        <w:rPr>
          <w:rFonts w:cs="Calibri"/>
          <w:color w:val="000000" w:themeColor="text1"/>
          <w:sz w:val="22"/>
          <w:szCs w:val="22"/>
        </w:rPr>
        <w:t xml:space="preserve">u nas </w:t>
      </w:r>
      <w:r w:rsidRPr="00255D58">
        <w:rPr>
          <w:rFonts w:cs="Calibri"/>
          <w:color w:val="000000" w:themeColor="text1"/>
          <w:sz w:val="22"/>
          <w:szCs w:val="22"/>
        </w:rPr>
        <w:t>tak popularny</w:t>
      </w:r>
      <w:r w:rsidR="00532CBF">
        <w:rPr>
          <w:rFonts w:cs="Calibri"/>
          <w:color w:val="000000" w:themeColor="text1"/>
          <w:sz w:val="22"/>
          <w:szCs w:val="22"/>
        </w:rPr>
        <w:t xml:space="preserve"> jak za oceanem</w:t>
      </w:r>
      <w:r w:rsidRPr="00255D58">
        <w:rPr>
          <w:rFonts w:cs="Calibri"/>
          <w:color w:val="000000" w:themeColor="text1"/>
          <w:sz w:val="22"/>
          <w:szCs w:val="22"/>
        </w:rPr>
        <w:t>, z każdym r</w:t>
      </w:r>
      <w:r w:rsidR="00AB1697">
        <w:rPr>
          <w:rFonts w:cs="Calibri"/>
          <w:color w:val="000000" w:themeColor="text1"/>
          <w:sz w:val="22"/>
          <w:szCs w:val="22"/>
        </w:rPr>
        <w:t>okiem zyskuje</w:t>
      </w:r>
      <w:r w:rsidR="008D63C4">
        <w:rPr>
          <w:rFonts w:cs="Calibri"/>
          <w:color w:val="000000" w:themeColor="text1"/>
          <w:sz w:val="22"/>
          <w:szCs w:val="22"/>
        </w:rPr>
        <w:t xml:space="preserve"> </w:t>
      </w:r>
      <w:r w:rsidR="00CD4877">
        <w:rPr>
          <w:rFonts w:cs="Calibri"/>
          <w:color w:val="000000" w:themeColor="text1"/>
          <w:sz w:val="22"/>
          <w:szCs w:val="22"/>
        </w:rPr>
        <w:t>zwolenników.</w:t>
      </w:r>
      <w:r w:rsidR="0088723A">
        <w:rPr>
          <w:rFonts w:cs="Calibri"/>
          <w:color w:val="000000" w:themeColor="text1"/>
          <w:sz w:val="22"/>
          <w:szCs w:val="22"/>
        </w:rPr>
        <w:t xml:space="preserve"> </w:t>
      </w:r>
      <w:r w:rsidR="005E5D59">
        <w:rPr>
          <w:rFonts w:cs="Calibri"/>
          <w:color w:val="000000" w:themeColor="text1"/>
          <w:sz w:val="22"/>
          <w:szCs w:val="22"/>
        </w:rPr>
        <w:t>Okazuje się, że to nieformalne święto rabatów</w:t>
      </w:r>
      <w:r w:rsidR="00CD4877">
        <w:rPr>
          <w:rFonts w:cs="Calibri"/>
          <w:color w:val="000000" w:themeColor="text1"/>
          <w:sz w:val="22"/>
          <w:szCs w:val="22"/>
        </w:rPr>
        <w:t xml:space="preserve"> dobrze wpisuje się w </w:t>
      </w:r>
      <w:r w:rsidR="005E5D59">
        <w:rPr>
          <w:rFonts w:cs="Calibri"/>
          <w:color w:val="000000" w:themeColor="text1"/>
          <w:sz w:val="22"/>
          <w:szCs w:val="22"/>
        </w:rPr>
        <w:t xml:space="preserve">nasze </w:t>
      </w:r>
      <w:r w:rsidR="00D46A8C">
        <w:rPr>
          <w:rFonts w:cs="Calibri"/>
          <w:color w:val="000000" w:themeColor="text1"/>
          <w:sz w:val="22"/>
          <w:szCs w:val="22"/>
        </w:rPr>
        <w:t xml:space="preserve">upodobania </w:t>
      </w:r>
      <w:r w:rsidR="005E5D59">
        <w:rPr>
          <w:rFonts w:cs="Calibri"/>
          <w:color w:val="000000" w:themeColor="text1"/>
          <w:sz w:val="22"/>
          <w:szCs w:val="22"/>
        </w:rPr>
        <w:t>konsumenckie.</w:t>
      </w:r>
      <w:r w:rsidR="008D63C4">
        <w:rPr>
          <w:rFonts w:cs="Calibri"/>
          <w:color w:val="000000" w:themeColor="text1"/>
          <w:sz w:val="22"/>
          <w:szCs w:val="22"/>
        </w:rPr>
        <w:t xml:space="preserve"> </w:t>
      </w:r>
      <w:r w:rsidR="00B31DD7">
        <w:rPr>
          <w:rFonts w:cs="Calibri"/>
          <w:color w:val="000000" w:themeColor="text1"/>
          <w:sz w:val="22"/>
          <w:szCs w:val="22"/>
        </w:rPr>
        <w:t xml:space="preserve">Polacy kochają promocje. </w:t>
      </w:r>
      <w:r w:rsidR="00D46A8C">
        <w:rPr>
          <w:rFonts w:cs="Calibri"/>
          <w:color w:val="000000" w:themeColor="text1"/>
          <w:sz w:val="22"/>
          <w:szCs w:val="22"/>
        </w:rPr>
        <w:t>P</w:t>
      </w:r>
      <w:r w:rsidR="00B31DD7">
        <w:rPr>
          <w:rFonts w:cs="Calibri"/>
          <w:color w:val="000000" w:themeColor="text1"/>
          <w:sz w:val="22"/>
          <w:szCs w:val="22"/>
        </w:rPr>
        <w:t xml:space="preserve">onad połowa </w:t>
      </w:r>
      <w:r w:rsidR="00D46A8C">
        <w:rPr>
          <w:rFonts w:cs="Calibri"/>
          <w:color w:val="000000" w:themeColor="text1"/>
          <w:sz w:val="22"/>
          <w:szCs w:val="22"/>
        </w:rPr>
        <w:t xml:space="preserve">pytanych </w:t>
      </w:r>
      <w:r w:rsidR="00B31DD7">
        <w:rPr>
          <w:rFonts w:cs="Calibri"/>
          <w:color w:val="000000" w:themeColor="text1"/>
          <w:sz w:val="22"/>
          <w:szCs w:val="22"/>
        </w:rPr>
        <w:t>(52 proc.</w:t>
      </w:r>
      <w:r w:rsidR="00B31DD7" w:rsidRPr="00B31DD7">
        <w:rPr>
          <w:rFonts w:cs="Calibri"/>
          <w:color w:val="000000" w:themeColor="text1"/>
          <w:sz w:val="22"/>
          <w:szCs w:val="22"/>
        </w:rPr>
        <w:t>) przyznaje, że kup</w:t>
      </w:r>
      <w:r w:rsidR="00B31DD7">
        <w:rPr>
          <w:rFonts w:cs="Calibri"/>
          <w:color w:val="000000" w:themeColor="text1"/>
          <w:sz w:val="22"/>
          <w:szCs w:val="22"/>
        </w:rPr>
        <w:t>uje głównie na promocjach</w:t>
      </w:r>
      <w:r w:rsidR="00D46A8C">
        <w:rPr>
          <w:rFonts w:cs="Calibri"/>
          <w:color w:val="000000" w:themeColor="text1"/>
          <w:sz w:val="22"/>
          <w:szCs w:val="22"/>
        </w:rPr>
        <w:t>, wynika z badania zrealizowanego dla Rejestru Dłużników BIG InfoMonitor. C</w:t>
      </w:r>
      <w:r w:rsidR="00B31DD7">
        <w:rPr>
          <w:rFonts w:cs="Calibri"/>
          <w:color w:val="000000" w:themeColor="text1"/>
          <w:sz w:val="22"/>
          <w:szCs w:val="22"/>
        </w:rPr>
        <w:t xml:space="preserve">o ciekawe </w:t>
      </w:r>
      <w:r w:rsidR="00D46A8C">
        <w:rPr>
          <w:rFonts w:cs="Calibri"/>
          <w:color w:val="000000" w:themeColor="text1"/>
          <w:sz w:val="22"/>
          <w:szCs w:val="22"/>
        </w:rPr>
        <w:t xml:space="preserve">miłośnicy zniżek </w:t>
      </w:r>
      <w:r w:rsidR="00532CBF">
        <w:rPr>
          <w:rFonts w:cs="Calibri"/>
          <w:color w:val="000000" w:themeColor="text1"/>
          <w:sz w:val="22"/>
          <w:szCs w:val="22"/>
        </w:rPr>
        <w:t>przeważają we wszystkich pokoleniach</w:t>
      </w:r>
      <w:r w:rsidR="00E907EA">
        <w:rPr>
          <w:rFonts w:cs="Calibri"/>
          <w:color w:val="000000" w:themeColor="text1"/>
          <w:sz w:val="22"/>
          <w:szCs w:val="22"/>
        </w:rPr>
        <w:t xml:space="preserve">, </w:t>
      </w:r>
      <w:r w:rsidR="00B85A22">
        <w:rPr>
          <w:rFonts w:cs="Calibri"/>
          <w:color w:val="000000" w:themeColor="text1"/>
          <w:sz w:val="22"/>
          <w:szCs w:val="22"/>
        </w:rPr>
        <w:t xml:space="preserve">ale </w:t>
      </w:r>
      <w:r w:rsidR="00E907EA">
        <w:rPr>
          <w:rFonts w:cs="Calibri"/>
          <w:color w:val="000000" w:themeColor="text1"/>
          <w:sz w:val="22"/>
          <w:szCs w:val="22"/>
        </w:rPr>
        <w:t>n</w:t>
      </w:r>
      <w:r w:rsidR="00D46A8C">
        <w:rPr>
          <w:rFonts w:cs="Calibri"/>
          <w:color w:val="000000" w:themeColor="text1"/>
          <w:sz w:val="22"/>
          <w:szCs w:val="22"/>
        </w:rPr>
        <w:t>ajbardziej wśród</w:t>
      </w:r>
      <w:r w:rsidR="0088723A">
        <w:rPr>
          <w:rFonts w:cs="Calibri"/>
          <w:color w:val="000000" w:themeColor="text1"/>
          <w:sz w:val="22"/>
          <w:szCs w:val="22"/>
        </w:rPr>
        <w:t xml:space="preserve"> </w:t>
      </w:r>
      <w:r w:rsidR="001C1BBF">
        <w:rPr>
          <w:rFonts w:cs="Calibri"/>
          <w:color w:val="000000" w:themeColor="text1"/>
          <w:sz w:val="22"/>
          <w:szCs w:val="22"/>
        </w:rPr>
        <w:t>młodych, między 25 a 34 rokiem życia</w:t>
      </w:r>
      <w:r w:rsidR="00D46A8C">
        <w:rPr>
          <w:rFonts w:cs="Calibri"/>
          <w:color w:val="000000" w:themeColor="text1"/>
          <w:sz w:val="22"/>
          <w:szCs w:val="22"/>
        </w:rPr>
        <w:t xml:space="preserve"> (</w:t>
      </w:r>
      <w:r w:rsidR="001C1BBF">
        <w:rPr>
          <w:rFonts w:cs="Calibri"/>
          <w:color w:val="000000" w:themeColor="text1"/>
          <w:sz w:val="22"/>
          <w:szCs w:val="22"/>
        </w:rPr>
        <w:t>59 proc.</w:t>
      </w:r>
      <w:r w:rsidR="00D46A8C">
        <w:rPr>
          <w:rFonts w:cs="Calibri"/>
          <w:color w:val="000000" w:themeColor="text1"/>
          <w:sz w:val="22"/>
          <w:szCs w:val="22"/>
        </w:rPr>
        <w:t>).</w:t>
      </w:r>
    </w:p>
    <w:p w14:paraId="24E9ED46" w14:textId="77777777" w:rsidR="00255D58" w:rsidRDefault="00255D58" w:rsidP="00B37B3C">
      <w:pPr>
        <w:jc w:val="both"/>
        <w:rPr>
          <w:rFonts w:cs="Calibri"/>
          <w:color w:val="000000" w:themeColor="text1"/>
          <w:sz w:val="22"/>
          <w:szCs w:val="22"/>
        </w:rPr>
      </w:pPr>
    </w:p>
    <w:p w14:paraId="3D406E3F" w14:textId="77777777" w:rsidR="00356326" w:rsidRDefault="00AB1697" w:rsidP="00463EAA">
      <w:pPr>
        <w:jc w:val="both"/>
        <w:rPr>
          <w:rFonts w:cs="Calibri"/>
          <w:b/>
          <w:color w:val="000000" w:themeColor="text1"/>
          <w:sz w:val="22"/>
          <w:szCs w:val="22"/>
        </w:rPr>
      </w:pPr>
      <w:r w:rsidRPr="00AB1697">
        <w:rPr>
          <w:rFonts w:cs="Calibri"/>
          <w:b/>
          <w:color w:val="000000" w:themeColor="text1"/>
          <w:sz w:val="22"/>
          <w:szCs w:val="22"/>
        </w:rPr>
        <w:t>Na wyprzedażach wydajemy dużo więcej</w:t>
      </w:r>
    </w:p>
    <w:p w14:paraId="6BD23C3A" w14:textId="77777777" w:rsidR="008911FE" w:rsidRPr="00AB1697" w:rsidRDefault="008911FE" w:rsidP="00463EAA">
      <w:pPr>
        <w:jc w:val="both"/>
        <w:rPr>
          <w:rFonts w:cs="Calibri"/>
          <w:b/>
          <w:color w:val="000000" w:themeColor="text1"/>
          <w:sz w:val="22"/>
          <w:szCs w:val="22"/>
        </w:rPr>
      </w:pPr>
    </w:p>
    <w:p w14:paraId="7B5D7900" w14:textId="56BF3DD4" w:rsidR="007C623E" w:rsidRPr="00372B07" w:rsidRDefault="0082130F" w:rsidP="00183ADF">
      <w:p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Badanie</w:t>
      </w:r>
      <w:r w:rsidR="00197B7F" w:rsidRPr="00197B7F">
        <w:rPr>
          <w:rFonts w:cs="Calibri"/>
          <w:color w:val="000000" w:themeColor="text1"/>
          <w:sz w:val="22"/>
          <w:szCs w:val="22"/>
        </w:rPr>
        <w:t xml:space="preserve"> zrealizowan</w:t>
      </w:r>
      <w:r>
        <w:rPr>
          <w:rFonts w:cs="Calibri"/>
          <w:color w:val="000000" w:themeColor="text1"/>
          <w:sz w:val="22"/>
          <w:szCs w:val="22"/>
        </w:rPr>
        <w:t>e</w:t>
      </w:r>
      <w:r w:rsidR="00857A67">
        <w:rPr>
          <w:rFonts w:cs="Calibri"/>
          <w:color w:val="000000" w:themeColor="text1"/>
          <w:sz w:val="22"/>
          <w:szCs w:val="22"/>
        </w:rPr>
        <w:t xml:space="preserve"> na zlecenie BIG InfoMonitor</w:t>
      </w:r>
      <w:r w:rsidR="009618C8">
        <w:rPr>
          <w:rFonts w:cs="Calibri"/>
          <w:color w:val="000000" w:themeColor="text1"/>
          <w:sz w:val="22"/>
          <w:szCs w:val="22"/>
        </w:rPr>
        <w:t>*</w:t>
      </w:r>
      <w:r w:rsidR="00A005DC">
        <w:rPr>
          <w:rFonts w:cs="Calibri"/>
          <w:color w:val="000000" w:themeColor="text1"/>
          <w:sz w:val="22"/>
          <w:szCs w:val="22"/>
        </w:rPr>
        <w:t xml:space="preserve"> </w:t>
      </w:r>
      <w:r>
        <w:rPr>
          <w:rFonts w:cs="Calibri"/>
          <w:color w:val="000000" w:themeColor="text1"/>
          <w:sz w:val="22"/>
          <w:szCs w:val="22"/>
        </w:rPr>
        <w:t>pokazuje, że</w:t>
      </w:r>
      <w:r w:rsidR="00857A67">
        <w:rPr>
          <w:rFonts w:cs="Calibri"/>
          <w:color w:val="000000" w:themeColor="text1"/>
          <w:sz w:val="22"/>
          <w:szCs w:val="22"/>
        </w:rPr>
        <w:t xml:space="preserve"> </w:t>
      </w:r>
      <w:r w:rsidR="00197B7F" w:rsidRPr="00197B7F">
        <w:rPr>
          <w:rFonts w:cs="Calibri"/>
          <w:color w:val="000000" w:themeColor="text1"/>
          <w:sz w:val="22"/>
          <w:szCs w:val="22"/>
        </w:rPr>
        <w:t>u</w:t>
      </w:r>
      <w:r w:rsidR="004E508C">
        <w:rPr>
          <w:rFonts w:cs="Calibri"/>
          <w:color w:val="000000" w:themeColor="text1"/>
          <w:sz w:val="22"/>
          <w:szCs w:val="22"/>
        </w:rPr>
        <w:t>zależnienie</w:t>
      </w:r>
      <w:r w:rsidR="00637095">
        <w:rPr>
          <w:rFonts w:cs="Calibri"/>
          <w:color w:val="000000" w:themeColor="text1"/>
          <w:sz w:val="22"/>
          <w:szCs w:val="22"/>
        </w:rPr>
        <w:t xml:space="preserve"> od z</w:t>
      </w:r>
      <w:r w:rsidR="00283000">
        <w:rPr>
          <w:rFonts w:cs="Calibri"/>
          <w:color w:val="000000" w:themeColor="text1"/>
          <w:sz w:val="22"/>
          <w:szCs w:val="22"/>
        </w:rPr>
        <w:t>akup</w:t>
      </w:r>
      <w:r w:rsidR="00637095">
        <w:rPr>
          <w:rFonts w:cs="Calibri"/>
          <w:color w:val="000000" w:themeColor="text1"/>
          <w:sz w:val="22"/>
          <w:szCs w:val="22"/>
        </w:rPr>
        <w:t xml:space="preserve">ów </w:t>
      </w:r>
      <w:r w:rsidR="004E508C">
        <w:rPr>
          <w:rFonts w:cs="Calibri"/>
          <w:color w:val="000000" w:themeColor="text1"/>
          <w:sz w:val="22"/>
          <w:szCs w:val="22"/>
        </w:rPr>
        <w:t xml:space="preserve">jest </w:t>
      </w:r>
      <w:r w:rsidR="00D169AB">
        <w:rPr>
          <w:rFonts w:cs="Calibri"/>
          <w:color w:val="000000" w:themeColor="text1"/>
          <w:sz w:val="22"/>
          <w:szCs w:val="22"/>
        </w:rPr>
        <w:t>przez Polaków</w:t>
      </w:r>
      <w:r w:rsidR="00B84CCD">
        <w:rPr>
          <w:rFonts w:cs="Calibri"/>
          <w:color w:val="000000" w:themeColor="text1"/>
          <w:sz w:val="22"/>
          <w:szCs w:val="22"/>
        </w:rPr>
        <w:t xml:space="preserve"> </w:t>
      </w:r>
      <w:r w:rsidR="00AE54EF" w:rsidRPr="00197B7F">
        <w:rPr>
          <w:rFonts w:cs="Calibri"/>
          <w:color w:val="000000" w:themeColor="text1"/>
          <w:sz w:val="22"/>
          <w:szCs w:val="22"/>
        </w:rPr>
        <w:t>marginalizowane, jedynie nieliczni wspominają o tym,</w:t>
      </w:r>
      <w:r w:rsidR="00D50DB2">
        <w:rPr>
          <w:rFonts w:cs="Calibri"/>
          <w:color w:val="000000" w:themeColor="text1"/>
          <w:sz w:val="22"/>
          <w:szCs w:val="22"/>
        </w:rPr>
        <w:t xml:space="preserve"> </w:t>
      </w:r>
      <w:r w:rsidR="00AE54EF" w:rsidRPr="00197B7F">
        <w:rPr>
          <w:rFonts w:cs="Calibri"/>
          <w:color w:val="000000" w:themeColor="text1"/>
          <w:sz w:val="22"/>
          <w:szCs w:val="22"/>
        </w:rPr>
        <w:t>że chcieliby rob</w:t>
      </w:r>
      <w:r w:rsidR="00283000">
        <w:rPr>
          <w:rFonts w:cs="Calibri"/>
          <w:color w:val="000000" w:themeColor="text1"/>
          <w:sz w:val="22"/>
          <w:szCs w:val="22"/>
        </w:rPr>
        <w:t xml:space="preserve">ić zakupy bardziej rozważnie. </w:t>
      </w:r>
      <w:r w:rsidR="00637095">
        <w:rPr>
          <w:rFonts w:cs="Calibri"/>
          <w:color w:val="000000" w:themeColor="text1"/>
          <w:sz w:val="22"/>
          <w:szCs w:val="22"/>
        </w:rPr>
        <w:t xml:space="preserve">Co czwarty </w:t>
      </w:r>
      <w:r w:rsidR="00AE54EF" w:rsidRPr="00197B7F">
        <w:rPr>
          <w:rFonts w:cs="Calibri"/>
          <w:color w:val="000000" w:themeColor="text1"/>
          <w:sz w:val="22"/>
          <w:szCs w:val="22"/>
        </w:rPr>
        <w:t>badany</w:t>
      </w:r>
      <w:r w:rsidR="00637095">
        <w:rPr>
          <w:rFonts w:cs="Calibri"/>
          <w:color w:val="000000" w:themeColor="text1"/>
          <w:sz w:val="22"/>
          <w:szCs w:val="22"/>
        </w:rPr>
        <w:t xml:space="preserve"> przyznaje, że zdarzyło </w:t>
      </w:r>
      <w:r w:rsidR="00AE54EF" w:rsidRPr="00197B7F">
        <w:rPr>
          <w:rFonts w:cs="Calibri"/>
          <w:color w:val="000000" w:themeColor="text1"/>
          <w:sz w:val="22"/>
          <w:szCs w:val="22"/>
        </w:rPr>
        <w:t>m</w:t>
      </w:r>
      <w:r w:rsidR="00637095">
        <w:rPr>
          <w:rFonts w:cs="Calibri"/>
          <w:color w:val="000000" w:themeColor="text1"/>
          <w:sz w:val="22"/>
          <w:szCs w:val="22"/>
        </w:rPr>
        <w:t>u</w:t>
      </w:r>
      <w:r w:rsidR="00AE54EF" w:rsidRPr="00197B7F">
        <w:rPr>
          <w:rFonts w:cs="Calibri"/>
          <w:color w:val="000000" w:themeColor="text1"/>
          <w:sz w:val="22"/>
          <w:szCs w:val="22"/>
        </w:rPr>
        <w:t xml:space="preserve"> się wydać w sposób nieprzemyślany dużą sumę pieniędzy, a 42 proc.</w:t>
      </w:r>
      <w:r w:rsidR="00637095">
        <w:rPr>
          <w:rFonts w:cs="Calibri"/>
          <w:color w:val="000000" w:themeColor="text1"/>
          <w:sz w:val="22"/>
          <w:szCs w:val="22"/>
        </w:rPr>
        <w:t xml:space="preserve"> osób przypomina sobie, że </w:t>
      </w:r>
      <w:r w:rsidR="00AE54EF" w:rsidRPr="00197B7F">
        <w:rPr>
          <w:rFonts w:cs="Calibri"/>
          <w:color w:val="000000" w:themeColor="text1"/>
          <w:sz w:val="22"/>
          <w:szCs w:val="22"/>
        </w:rPr>
        <w:t>kupiło coś, na co nie było ich stać.</w:t>
      </w:r>
      <w:r w:rsidR="00D169AB">
        <w:rPr>
          <w:rFonts w:cs="Calibri"/>
          <w:color w:val="000000" w:themeColor="text1"/>
          <w:sz w:val="22"/>
          <w:szCs w:val="22"/>
        </w:rPr>
        <w:t xml:space="preserve"> </w:t>
      </w:r>
      <w:r w:rsidR="00EF5A87" w:rsidRPr="00EF5A87">
        <w:rPr>
          <w:rFonts w:cs="Calibri"/>
          <w:color w:val="000000" w:themeColor="text1"/>
          <w:sz w:val="22"/>
          <w:szCs w:val="22"/>
        </w:rPr>
        <w:t xml:space="preserve">Co dwudziesta czwarta osoba przyznaje wprost: jestem zakupoholikiem. </w:t>
      </w:r>
      <w:r w:rsidR="00EF5A87">
        <w:rPr>
          <w:rFonts w:cs="Calibri"/>
          <w:color w:val="000000" w:themeColor="text1"/>
          <w:sz w:val="22"/>
          <w:szCs w:val="22"/>
        </w:rPr>
        <w:t>Z kolei raport</w:t>
      </w:r>
      <w:r w:rsidR="008D63C4">
        <w:rPr>
          <w:rFonts w:cs="Calibri"/>
          <w:color w:val="000000" w:themeColor="text1"/>
          <w:sz w:val="22"/>
          <w:szCs w:val="22"/>
        </w:rPr>
        <w:t xml:space="preserve"> </w:t>
      </w:r>
      <w:r w:rsidR="00EF5A87">
        <w:rPr>
          <w:rFonts w:cs="Calibri"/>
          <w:color w:val="000000" w:themeColor="text1"/>
          <w:sz w:val="22"/>
          <w:szCs w:val="22"/>
        </w:rPr>
        <w:t>KPMG wskazuje, że</w:t>
      </w:r>
      <w:r w:rsidR="005E1F16" w:rsidRPr="005E1F16">
        <w:rPr>
          <w:rFonts w:cs="Calibri"/>
          <w:color w:val="000000" w:themeColor="text1"/>
          <w:sz w:val="22"/>
          <w:szCs w:val="22"/>
        </w:rPr>
        <w:t>, połowa Polaków (50 proc.) podczas robienia zakupów kup</w:t>
      </w:r>
      <w:r w:rsidR="00D46A8C">
        <w:rPr>
          <w:rFonts w:cs="Calibri"/>
          <w:color w:val="000000" w:themeColor="text1"/>
          <w:sz w:val="22"/>
          <w:szCs w:val="22"/>
        </w:rPr>
        <w:t>uje</w:t>
      </w:r>
      <w:r w:rsidR="005E1F16" w:rsidRPr="005E1F16">
        <w:rPr>
          <w:rFonts w:cs="Calibri"/>
          <w:color w:val="000000" w:themeColor="text1"/>
          <w:sz w:val="22"/>
          <w:szCs w:val="22"/>
        </w:rPr>
        <w:t xml:space="preserve"> dodatkową</w:t>
      </w:r>
      <w:r w:rsidR="005E1F16">
        <w:rPr>
          <w:rFonts w:cs="Calibri"/>
          <w:color w:val="000000" w:themeColor="text1"/>
          <w:sz w:val="22"/>
          <w:szCs w:val="22"/>
        </w:rPr>
        <w:t>, wcześniej nieplanowaną rzecz</w:t>
      </w:r>
      <w:r w:rsidR="000977A6">
        <w:rPr>
          <w:rFonts w:cs="Calibri"/>
          <w:color w:val="000000" w:themeColor="text1"/>
          <w:sz w:val="22"/>
          <w:szCs w:val="22"/>
        </w:rPr>
        <w:t>,</w:t>
      </w:r>
      <w:r w:rsidR="008D63C4">
        <w:rPr>
          <w:rFonts w:cs="Calibri"/>
          <w:color w:val="000000" w:themeColor="text1"/>
          <w:sz w:val="22"/>
          <w:szCs w:val="22"/>
        </w:rPr>
        <w:t xml:space="preserve"> </w:t>
      </w:r>
      <w:r w:rsidR="005E1F16">
        <w:rPr>
          <w:rFonts w:cs="Calibri"/>
          <w:color w:val="000000" w:themeColor="text1"/>
          <w:sz w:val="22"/>
          <w:szCs w:val="22"/>
        </w:rPr>
        <w:t>przeciętnie</w:t>
      </w:r>
      <w:r w:rsidR="00D46A8C">
        <w:rPr>
          <w:rFonts w:cs="Calibri"/>
          <w:color w:val="000000" w:themeColor="text1"/>
          <w:sz w:val="22"/>
          <w:szCs w:val="22"/>
        </w:rPr>
        <w:t xml:space="preserve"> są </w:t>
      </w:r>
      <w:r w:rsidR="005E1F16">
        <w:rPr>
          <w:rFonts w:cs="Calibri"/>
          <w:color w:val="000000" w:themeColor="text1"/>
          <w:sz w:val="22"/>
          <w:szCs w:val="22"/>
        </w:rPr>
        <w:t>to</w:t>
      </w:r>
      <w:r w:rsidR="008D63C4">
        <w:rPr>
          <w:rFonts w:cs="Calibri"/>
          <w:color w:val="000000" w:themeColor="text1"/>
          <w:sz w:val="22"/>
          <w:szCs w:val="22"/>
        </w:rPr>
        <w:t xml:space="preserve"> </w:t>
      </w:r>
      <w:r w:rsidR="005E1F16" w:rsidRPr="005E1F16">
        <w:rPr>
          <w:rFonts w:cs="Calibri"/>
          <w:color w:val="000000" w:themeColor="text1"/>
          <w:sz w:val="22"/>
          <w:szCs w:val="22"/>
        </w:rPr>
        <w:t>dwa produkty.</w:t>
      </w:r>
      <w:r w:rsidR="000F3654">
        <w:rPr>
          <w:rFonts w:cs="Calibri"/>
          <w:color w:val="000000" w:themeColor="text1"/>
          <w:sz w:val="22"/>
          <w:szCs w:val="22"/>
        </w:rPr>
        <w:t xml:space="preserve"> </w:t>
      </w:r>
    </w:p>
    <w:p w14:paraId="4BF7DF9F" w14:textId="77777777" w:rsidR="007C623E" w:rsidRDefault="007C623E" w:rsidP="00183ADF">
      <w:pPr>
        <w:jc w:val="both"/>
        <w:rPr>
          <w:rFonts w:cs="Calibri"/>
          <w:color w:val="000000" w:themeColor="text1"/>
          <w:sz w:val="22"/>
          <w:szCs w:val="22"/>
        </w:rPr>
      </w:pPr>
    </w:p>
    <w:p w14:paraId="7F4AC2E1" w14:textId="28FB41B1" w:rsidR="005E1F16" w:rsidRPr="005E1F16" w:rsidRDefault="005E1F16" w:rsidP="00183ADF">
      <w:pPr>
        <w:jc w:val="both"/>
        <w:rPr>
          <w:rFonts w:cs="Calibri"/>
          <w:color w:val="000000" w:themeColor="text1"/>
          <w:sz w:val="22"/>
          <w:szCs w:val="22"/>
        </w:rPr>
      </w:pPr>
      <w:r w:rsidRPr="005E1F16">
        <w:rPr>
          <w:rFonts w:cs="Calibri"/>
          <w:color w:val="000000" w:themeColor="text1"/>
          <w:sz w:val="22"/>
          <w:szCs w:val="22"/>
        </w:rPr>
        <w:t xml:space="preserve">Okazje zakupowe, takie </w:t>
      </w:r>
      <w:r w:rsidR="00372B07">
        <w:rPr>
          <w:rFonts w:cs="Calibri"/>
          <w:color w:val="000000" w:themeColor="text1"/>
          <w:sz w:val="22"/>
          <w:szCs w:val="22"/>
        </w:rPr>
        <w:t>jak Czarny Piątek</w:t>
      </w:r>
      <w:r w:rsidRPr="005E1F16">
        <w:rPr>
          <w:rFonts w:cs="Calibri"/>
          <w:color w:val="000000" w:themeColor="text1"/>
          <w:sz w:val="22"/>
          <w:szCs w:val="22"/>
        </w:rPr>
        <w:t>, spowodow</w:t>
      </w:r>
      <w:r w:rsidR="00372B07">
        <w:rPr>
          <w:rFonts w:cs="Calibri"/>
          <w:color w:val="000000" w:themeColor="text1"/>
          <w:sz w:val="22"/>
          <w:szCs w:val="22"/>
        </w:rPr>
        <w:t xml:space="preserve">ały </w:t>
      </w:r>
      <w:r w:rsidR="00D2133B">
        <w:rPr>
          <w:rFonts w:cs="Calibri"/>
          <w:color w:val="000000" w:themeColor="text1"/>
          <w:sz w:val="22"/>
          <w:szCs w:val="22"/>
        </w:rPr>
        <w:t xml:space="preserve">również </w:t>
      </w:r>
      <w:r w:rsidR="00372B07">
        <w:rPr>
          <w:rFonts w:cs="Calibri"/>
          <w:color w:val="000000" w:themeColor="text1"/>
          <w:sz w:val="22"/>
          <w:szCs w:val="22"/>
        </w:rPr>
        <w:t>zmianę t</w:t>
      </w:r>
      <w:r w:rsidR="006261A3">
        <w:rPr>
          <w:rFonts w:cs="Calibri"/>
          <w:color w:val="000000" w:themeColor="text1"/>
          <w:sz w:val="22"/>
          <w:szCs w:val="22"/>
        </w:rPr>
        <w:t xml:space="preserve">rendów </w:t>
      </w:r>
      <w:r w:rsidR="00372B07">
        <w:rPr>
          <w:rFonts w:cs="Calibri"/>
          <w:color w:val="000000" w:themeColor="text1"/>
          <w:sz w:val="22"/>
          <w:szCs w:val="22"/>
        </w:rPr>
        <w:t xml:space="preserve">w handlu. </w:t>
      </w:r>
      <w:r w:rsidR="00FA14D7">
        <w:rPr>
          <w:rFonts w:cs="Calibri"/>
          <w:color w:val="000000" w:themeColor="text1"/>
          <w:sz w:val="22"/>
          <w:szCs w:val="22"/>
        </w:rPr>
        <w:t>L</w:t>
      </w:r>
      <w:r w:rsidRPr="005E1F16">
        <w:rPr>
          <w:rFonts w:cs="Calibri"/>
          <w:color w:val="000000" w:themeColor="text1"/>
          <w:sz w:val="22"/>
          <w:szCs w:val="22"/>
        </w:rPr>
        <w:t xml:space="preserve">istopad </w:t>
      </w:r>
      <w:r w:rsidR="00FA14D7">
        <w:rPr>
          <w:rFonts w:cs="Calibri"/>
          <w:color w:val="000000" w:themeColor="text1"/>
          <w:sz w:val="22"/>
          <w:szCs w:val="22"/>
        </w:rPr>
        <w:t>staje się</w:t>
      </w:r>
      <w:r w:rsidR="002400EA">
        <w:rPr>
          <w:rFonts w:cs="Calibri"/>
          <w:color w:val="000000" w:themeColor="text1"/>
          <w:sz w:val="22"/>
          <w:szCs w:val="22"/>
        </w:rPr>
        <w:t xml:space="preserve"> </w:t>
      </w:r>
      <w:r w:rsidRPr="005E1F16">
        <w:rPr>
          <w:rFonts w:cs="Calibri"/>
          <w:color w:val="000000" w:themeColor="text1"/>
          <w:sz w:val="22"/>
          <w:szCs w:val="22"/>
        </w:rPr>
        <w:t>miesiącem,</w:t>
      </w:r>
      <w:r w:rsidR="00FA14D7">
        <w:rPr>
          <w:rFonts w:cs="Calibri"/>
          <w:color w:val="000000" w:themeColor="text1"/>
          <w:sz w:val="22"/>
          <w:szCs w:val="22"/>
        </w:rPr>
        <w:t xml:space="preserve"> w którym</w:t>
      </w:r>
      <w:r w:rsidRPr="005E1F16">
        <w:rPr>
          <w:rFonts w:cs="Calibri"/>
          <w:color w:val="000000" w:themeColor="text1"/>
          <w:sz w:val="22"/>
          <w:szCs w:val="22"/>
        </w:rPr>
        <w:t xml:space="preserve"> sklepy notują jedną z największych sprzedaży w roku.</w:t>
      </w:r>
      <w:r w:rsidR="008D63C4">
        <w:rPr>
          <w:rFonts w:cs="Calibri"/>
          <w:color w:val="000000" w:themeColor="text1"/>
          <w:sz w:val="22"/>
          <w:szCs w:val="22"/>
        </w:rPr>
        <w:t xml:space="preserve"> </w:t>
      </w:r>
      <w:r w:rsidR="00E52601">
        <w:rPr>
          <w:rFonts w:cs="Calibri"/>
          <w:color w:val="000000" w:themeColor="text1"/>
          <w:sz w:val="22"/>
          <w:szCs w:val="22"/>
        </w:rPr>
        <w:t>W</w:t>
      </w:r>
      <w:r w:rsidR="00D46A8C">
        <w:rPr>
          <w:rFonts w:cs="Calibri"/>
          <w:color w:val="000000" w:themeColor="text1"/>
          <w:sz w:val="22"/>
          <w:szCs w:val="22"/>
        </w:rPr>
        <w:t>edłu</w:t>
      </w:r>
      <w:r w:rsidR="00E52601">
        <w:rPr>
          <w:rFonts w:cs="Calibri"/>
          <w:color w:val="000000" w:themeColor="text1"/>
          <w:sz w:val="22"/>
          <w:szCs w:val="22"/>
        </w:rPr>
        <w:t xml:space="preserve">g ubiegłorocznych danych </w:t>
      </w:r>
      <w:r w:rsidR="00E52601" w:rsidRPr="00E52601">
        <w:rPr>
          <w:rFonts w:cs="Calibri"/>
          <w:color w:val="000000" w:themeColor="text1"/>
          <w:sz w:val="22"/>
          <w:szCs w:val="22"/>
        </w:rPr>
        <w:t>Answear.com</w:t>
      </w:r>
      <w:r w:rsidR="00E52601">
        <w:rPr>
          <w:rFonts w:cs="Calibri"/>
          <w:color w:val="000000" w:themeColor="text1"/>
          <w:sz w:val="22"/>
          <w:szCs w:val="22"/>
        </w:rPr>
        <w:t>, s</w:t>
      </w:r>
      <w:r w:rsidRPr="005E1F16">
        <w:rPr>
          <w:rFonts w:cs="Calibri"/>
          <w:color w:val="000000" w:themeColor="text1"/>
          <w:sz w:val="22"/>
          <w:szCs w:val="22"/>
        </w:rPr>
        <w:t xml:space="preserve">zacuje się, że udział </w:t>
      </w:r>
      <w:r w:rsidR="00FA14D7">
        <w:rPr>
          <w:rFonts w:cs="Calibri"/>
          <w:color w:val="000000" w:themeColor="text1"/>
          <w:sz w:val="22"/>
          <w:szCs w:val="22"/>
        </w:rPr>
        <w:t xml:space="preserve">tego okresu </w:t>
      </w:r>
      <w:r w:rsidRPr="005E1F16">
        <w:rPr>
          <w:rFonts w:cs="Calibri"/>
          <w:color w:val="000000" w:themeColor="text1"/>
          <w:sz w:val="22"/>
          <w:szCs w:val="22"/>
        </w:rPr>
        <w:t xml:space="preserve">w rocznych </w:t>
      </w:r>
      <w:r w:rsidR="006261A3" w:rsidRPr="005E1F16">
        <w:rPr>
          <w:rFonts w:cs="Calibri"/>
          <w:color w:val="000000" w:themeColor="text1"/>
          <w:sz w:val="22"/>
          <w:szCs w:val="22"/>
        </w:rPr>
        <w:t xml:space="preserve">obrotach </w:t>
      </w:r>
      <w:r w:rsidRPr="005E1F16">
        <w:rPr>
          <w:rFonts w:cs="Calibri"/>
          <w:color w:val="000000" w:themeColor="text1"/>
          <w:sz w:val="22"/>
          <w:szCs w:val="22"/>
        </w:rPr>
        <w:t xml:space="preserve">sklepów i dostawców usług </w:t>
      </w:r>
      <w:r w:rsidR="006261A3">
        <w:rPr>
          <w:rFonts w:cs="Calibri"/>
          <w:color w:val="000000" w:themeColor="text1"/>
          <w:sz w:val="22"/>
          <w:szCs w:val="22"/>
        </w:rPr>
        <w:t xml:space="preserve">może dochodzić do </w:t>
      </w:r>
      <w:r w:rsidRPr="005E1F16">
        <w:rPr>
          <w:rFonts w:cs="Calibri"/>
          <w:color w:val="000000" w:themeColor="text1"/>
          <w:sz w:val="22"/>
          <w:szCs w:val="22"/>
        </w:rPr>
        <w:t xml:space="preserve">20 proc. </w:t>
      </w:r>
      <w:r w:rsidR="00D2133B">
        <w:rPr>
          <w:rFonts w:cs="Calibri"/>
          <w:color w:val="000000" w:themeColor="text1"/>
          <w:sz w:val="22"/>
          <w:szCs w:val="22"/>
        </w:rPr>
        <w:t>Dzieje się tak</w:t>
      </w:r>
      <w:r w:rsidR="00D46A8C">
        <w:rPr>
          <w:rFonts w:cs="Calibri"/>
          <w:color w:val="000000" w:themeColor="text1"/>
          <w:sz w:val="22"/>
          <w:szCs w:val="22"/>
        </w:rPr>
        <w:t xml:space="preserve"> dlatego, że część k</w:t>
      </w:r>
      <w:r w:rsidRPr="005E1F16">
        <w:rPr>
          <w:rFonts w:cs="Calibri"/>
          <w:color w:val="000000" w:themeColor="text1"/>
          <w:sz w:val="22"/>
          <w:szCs w:val="22"/>
        </w:rPr>
        <w:t>lien</w:t>
      </w:r>
      <w:r w:rsidR="00D46A8C">
        <w:rPr>
          <w:rFonts w:cs="Calibri"/>
          <w:color w:val="000000" w:themeColor="text1"/>
          <w:sz w:val="22"/>
          <w:szCs w:val="22"/>
        </w:rPr>
        <w:t>tów</w:t>
      </w:r>
      <w:r w:rsidRPr="005E1F16">
        <w:rPr>
          <w:rFonts w:cs="Calibri"/>
          <w:color w:val="000000" w:themeColor="text1"/>
          <w:sz w:val="22"/>
          <w:szCs w:val="22"/>
        </w:rPr>
        <w:t>, naucz</w:t>
      </w:r>
      <w:r w:rsidR="00D46A8C">
        <w:rPr>
          <w:rFonts w:cs="Calibri"/>
          <w:color w:val="000000" w:themeColor="text1"/>
          <w:sz w:val="22"/>
          <w:szCs w:val="22"/>
        </w:rPr>
        <w:t xml:space="preserve">onych </w:t>
      </w:r>
      <w:r w:rsidRPr="005E1F16">
        <w:rPr>
          <w:rFonts w:cs="Calibri"/>
          <w:color w:val="000000" w:themeColor="text1"/>
          <w:sz w:val="22"/>
          <w:szCs w:val="22"/>
        </w:rPr>
        <w:t>doświadczeniem, nie czeka już na ostatnią chwilę z zakupem prezentów. Jednocześnie ogromne listopadowe wyprzedaże, zachęcają do wcześniejszego s</w:t>
      </w:r>
      <w:r w:rsidR="00D4580D">
        <w:rPr>
          <w:rFonts w:cs="Calibri"/>
          <w:color w:val="000000" w:themeColor="text1"/>
          <w:sz w:val="22"/>
          <w:szCs w:val="22"/>
        </w:rPr>
        <w:t>kompletowania listy prezentowej, co jeszcze bardziej zwiększa wartość wydatków.</w:t>
      </w:r>
    </w:p>
    <w:p w14:paraId="7223360F" w14:textId="77777777" w:rsidR="00183ADF" w:rsidRDefault="00183ADF" w:rsidP="00463EAA">
      <w:pPr>
        <w:jc w:val="both"/>
        <w:rPr>
          <w:rFonts w:cs="Calibri"/>
          <w:color w:val="000000" w:themeColor="text1"/>
          <w:sz w:val="22"/>
          <w:szCs w:val="22"/>
        </w:rPr>
      </w:pPr>
    </w:p>
    <w:p w14:paraId="4BDDD542" w14:textId="77777777" w:rsidR="00356326" w:rsidRDefault="00AB1697" w:rsidP="00463EAA">
      <w:pPr>
        <w:jc w:val="both"/>
        <w:rPr>
          <w:rFonts w:cs="Calibri"/>
          <w:b/>
          <w:color w:val="000000" w:themeColor="text1"/>
          <w:sz w:val="22"/>
          <w:szCs w:val="22"/>
        </w:rPr>
      </w:pPr>
      <w:r w:rsidRPr="00AB1697">
        <w:rPr>
          <w:rFonts w:cs="Calibri"/>
          <w:b/>
          <w:color w:val="000000" w:themeColor="text1"/>
          <w:sz w:val="22"/>
          <w:szCs w:val="22"/>
        </w:rPr>
        <w:t>Czy warto z tego powodu stać się dłużnikiem?</w:t>
      </w:r>
    </w:p>
    <w:p w14:paraId="184B2FE7" w14:textId="77777777" w:rsidR="008911FE" w:rsidRPr="00AB1697" w:rsidRDefault="008911FE" w:rsidP="00463EAA">
      <w:pPr>
        <w:jc w:val="both"/>
        <w:rPr>
          <w:rFonts w:cs="Calibri"/>
          <w:b/>
          <w:color w:val="000000" w:themeColor="text1"/>
          <w:sz w:val="22"/>
          <w:szCs w:val="22"/>
        </w:rPr>
      </w:pPr>
    </w:p>
    <w:p w14:paraId="17796C1D" w14:textId="377300B7" w:rsidR="00570134" w:rsidRDefault="00637095" w:rsidP="00463EAA">
      <w:p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Za nieprzemyślane zakupy</w:t>
      </w:r>
      <w:r w:rsidR="00936364">
        <w:rPr>
          <w:rFonts w:cs="Calibri"/>
          <w:color w:val="000000" w:themeColor="text1"/>
          <w:sz w:val="22"/>
          <w:szCs w:val="22"/>
        </w:rPr>
        <w:t xml:space="preserve">, z </w:t>
      </w:r>
      <w:r w:rsidR="0032000C">
        <w:rPr>
          <w:rFonts w:cs="Calibri"/>
          <w:color w:val="000000" w:themeColor="text1"/>
          <w:sz w:val="22"/>
          <w:szCs w:val="22"/>
        </w:rPr>
        <w:t xml:space="preserve">powodu </w:t>
      </w:r>
      <w:r w:rsidR="00936364">
        <w:rPr>
          <w:rFonts w:cs="Calibri"/>
          <w:color w:val="000000" w:themeColor="text1"/>
          <w:sz w:val="22"/>
          <w:szCs w:val="22"/>
        </w:rPr>
        <w:t xml:space="preserve">których trudno było </w:t>
      </w:r>
      <w:r w:rsidR="0032000C">
        <w:rPr>
          <w:rFonts w:cs="Calibri"/>
          <w:color w:val="000000" w:themeColor="text1"/>
          <w:sz w:val="22"/>
          <w:szCs w:val="22"/>
        </w:rPr>
        <w:t xml:space="preserve">później </w:t>
      </w:r>
      <w:r w:rsidR="00372B07">
        <w:rPr>
          <w:rFonts w:cs="Calibri"/>
          <w:color w:val="000000" w:themeColor="text1"/>
          <w:sz w:val="22"/>
          <w:szCs w:val="22"/>
        </w:rPr>
        <w:t>poskładać domowy budżet</w:t>
      </w:r>
      <w:r w:rsidR="008D63C4">
        <w:rPr>
          <w:rFonts w:cs="Calibri"/>
          <w:color w:val="000000" w:themeColor="text1"/>
          <w:sz w:val="22"/>
          <w:szCs w:val="22"/>
        </w:rPr>
        <w:t>,</w:t>
      </w:r>
      <w:r>
        <w:rPr>
          <w:rFonts w:cs="Calibri"/>
          <w:color w:val="000000" w:themeColor="text1"/>
          <w:sz w:val="22"/>
          <w:szCs w:val="22"/>
        </w:rPr>
        <w:t xml:space="preserve"> trafiło </w:t>
      </w:r>
      <w:r w:rsidR="004E508C">
        <w:rPr>
          <w:rFonts w:cs="Calibri"/>
          <w:color w:val="000000" w:themeColor="text1"/>
          <w:sz w:val="22"/>
          <w:szCs w:val="22"/>
        </w:rPr>
        <w:t xml:space="preserve">już </w:t>
      </w:r>
      <w:r w:rsidR="00EB5531">
        <w:rPr>
          <w:rFonts w:cs="Calibri"/>
          <w:color w:val="000000" w:themeColor="text1"/>
          <w:sz w:val="22"/>
          <w:szCs w:val="22"/>
        </w:rPr>
        <w:t>do Rejestru Dłużników BIG InfoMonitor</w:t>
      </w:r>
      <w:r w:rsidR="00020B0A">
        <w:rPr>
          <w:rFonts w:cs="Calibri"/>
          <w:color w:val="000000" w:themeColor="text1"/>
          <w:sz w:val="22"/>
          <w:szCs w:val="22"/>
        </w:rPr>
        <w:t xml:space="preserve"> ponad</w:t>
      </w:r>
      <w:r w:rsidR="00EB5531">
        <w:rPr>
          <w:rFonts w:cs="Calibri"/>
          <w:color w:val="000000" w:themeColor="text1"/>
          <w:sz w:val="22"/>
          <w:szCs w:val="22"/>
        </w:rPr>
        <w:t xml:space="preserve"> </w:t>
      </w:r>
      <w:r w:rsidR="00020B0A">
        <w:rPr>
          <w:rFonts w:cs="Calibri"/>
          <w:color w:val="000000" w:themeColor="text1"/>
          <w:sz w:val="22"/>
          <w:szCs w:val="22"/>
        </w:rPr>
        <w:t>214</w:t>
      </w:r>
      <w:r w:rsidR="00C762D3">
        <w:rPr>
          <w:rFonts w:cs="Calibri"/>
          <w:color w:val="000000" w:themeColor="text1"/>
          <w:sz w:val="22"/>
          <w:szCs w:val="22"/>
        </w:rPr>
        <w:t xml:space="preserve"> tys.</w:t>
      </w:r>
      <w:r w:rsidR="004E508C">
        <w:rPr>
          <w:rFonts w:cs="Calibri"/>
          <w:color w:val="000000" w:themeColor="text1"/>
          <w:sz w:val="22"/>
          <w:szCs w:val="22"/>
        </w:rPr>
        <w:t xml:space="preserve"> osób</w:t>
      </w:r>
      <w:r>
        <w:rPr>
          <w:rFonts w:cs="Calibri"/>
          <w:color w:val="000000" w:themeColor="text1"/>
          <w:sz w:val="22"/>
          <w:szCs w:val="22"/>
        </w:rPr>
        <w:t xml:space="preserve">. </w:t>
      </w:r>
      <w:r w:rsidR="00EB5531">
        <w:rPr>
          <w:rFonts w:cs="Calibri"/>
          <w:color w:val="000000" w:themeColor="text1"/>
          <w:sz w:val="22"/>
          <w:szCs w:val="22"/>
        </w:rPr>
        <w:t>Ł</w:t>
      </w:r>
      <w:r>
        <w:rPr>
          <w:rFonts w:cs="Calibri"/>
          <w:color w:val="000000" w:themeColor="text1"/>
          <w:sz w:val="22"/>
          <w:szCs w:val="22"/>
        </w:rPr>
        <w:t xml:space="preserve">ączna zaległość </w:t>
      </w:r>
      <w:r w:rsidR="004E508C">
        <w:rPr>
          <w:rFonts w:cs="Calibri"/>
          <w:color w:val="000000" w:themeColor="text1"/>
          <w:sz w:val="22"/>
          <w:szCs w:val="22"/>
        </w:rPr>
        <w:t>z tytułu nieopłacon</w:t>
      </w:r>
      <w:r w:rsidR="00EB5531">
        <w:rPr>
          <w:rFonts w:cs="Calibri"/>
          <w:color w:val="000000" w:themeColor="text1"/>
          <w:sz w:val="22"/>
          <w:szCs w:val="22"/>
        </w:rPr>
        <w:t xml:space="preserve">ych zakupów konsumentów </w:t>
      </w:r>
      <w:r w:rsidR="004E508C">
        <w:rPr>
          <w:rFonts w:cs="Calibri"/>
          <w:color w:val="000000" w:themeColor="text1"/>
          <w:sz w:val="22"/>
          <w:szCs w:val="22"/>
        </w:rPr>
        <w:t>wynio</w:t>
      </w:r>
      <w:r w:rsidR="0078393A">
        <w:rPr>
          <w:rFonts w:cs="Calibri"/>
          <w:color w:val="000000" w:themeColor="text1"/>
          <w:sz w:val="22"/>
          <w:szCs w:val="22"/>
        </w:rPr>
        <w:t>sła na koniec września niemal 1,3 mld</w:t>
      </w:r>
      <w:r w:rsidR="004E508C">
        <w:rPr>
          <w:rFonts w:cs="Calibri"/>
          <w:color w:val="000000" w:themeColor="text1"/>
          <w:sz w:val="22"/>
          <w:szCs w:val="22"/>
        </w:rPr>
        <w:t xml:space="preserve"> zł.</w:t>
      </w:r>
      <w:r w:rsidR="00EB5531">
        <w:rPr>
          <w:rFonts w:cs="Calibri"/>
          <w:color w:val="000000" w:themeColor="text1"/>
          <w:sz w:val="22"/>
          <w:szCs w:val="22"/>
        </w:rPr>
        <w:t xml:space="preserve"> </w:t>
      </w:r>
      <w:r w:rsidR="000F3654">
        <w:rPr>
          <w:rFonts w:cs="Calibri"/>
          <w:color w:val="000000" w:themeColor="text1"/>
          <w:sz w:val="22"/>
          <w:szCs w:val="22"/>
        </w:rPr>
        <w:t>K</w:t>
      </w:r>
      <w:r w:rsidR="00570134" w:rsidRPr="00570134">
        <w:rPr>
          <w:rFonts w:cs="Calibri"/>
          <w:color w:val="000000" w:themeColor="text1"/>
          <w:sz w:val="22"/>
          <w:szCs w:val="22"/>
        </w:rPr>
        <w:t xml:space="preserve">wota ta to </w:t>
      </w:r>
      <w:r w:rsidR="000F3654">
        <w:rPr>
          <w:rFonts w:cs="Calibri"/>
          <w:color w:val="000000" w:themeColor="text1"/>
          <w:sz w:val="22"/>
          <w:szCs w:val="22"/>
        </w:rPr>
        <w:t xml:space="preserve">nieuregulowane </w:t>
      </w:r>
      <w:r w:rsidR="00570134" w:rsidRPr="00570134">
        <w:rPr>
          <w:rFonts w:cs="Calibri"/>
          <w:color w:val="000000" w:themeColor="text1"/>
          <w:sz w:val="22"/>
          <w:szCs w:val="22"/>
        </w:rPr>
        <w:t>wydatki Polaków z tytułu zakupów ratalnych i umów sprzedaży np. sprzęt</w:t>
      </w:r>
      <w:r w:rsidR="0070201A">
        <w:rPr>
          <w:rFonts w:cs="Calibri"/>
          <w:color w:val="000000" w:themeColor="text1"/>
          <w:sz w:val="22"/>
          <w:szCs w:val="22"/>
        </w:rPr>
        <w:t>u</w:t>
      </w:r>
      <w:r w:rsidR="00570134" w:rsidRPr="00570134">
        <w:rPr>
          <w:rFonts w:cs="Calibri"/>
          <w:color w:val="000000" w:themeColor="text1"/>
          <w:sz w:val="22"/>
          <w:szCs w:val="22"/>
        </w:rPr>
        <w:t xml:space="preserve"> AGD, </w:t>
      </w:r>
      <w:r w:rsidR="00570134" w:rsidRPr="00570134">
        <w:rPr>
          <w:rFonts w:cs="Calibri"/>
          <w:color w:val="000000" w:themeColor="text1"/>
          <w:sz w:val="22"/>
          <w:szCs w:val="22"/>
        </w:rPr>
        <w:lastRenderedPageBreak/>
        <w:t>elektronik</w:t>
      </w:r>
      <w:r w:rsidR="0070201A">
        <w:rPr>
          <w:rFonts w:cs="Calibri"/>
          <w:color w:val="000000" w:themeColor="text1"/>
          <w:sz w:val="22"/>
          <w:szCs w:val="22"/>
        </w:rPr>
        <w:t>i</w:t>
      </w:r>
      <w:r w:rsidR="00570134" w:rsidRPr="00570134">
        <w:rPr>
          <w:rFonts w:cs="Calibri"/>
          <w:color w:val="000000" w:themeColor="text1"/>
          <w:sz w:val="22"/>
          <w:szCs w:val="22"/>
        </w:rPr>
        <w:t>, wyposażeni</w:t>
      </w:r>
      <w:r w:rsidR="00FA14D7">
        <w:rPr>
          <w:rFonts w:cs="Calibri"/>
          <w:color w:val="000000" w:themeColor="text1"/>
          <w:sz w:val="22"/>
          <w:szCs w:val="22"/>
        </w:rPr>
        <w:t>a</w:t>
      </w:r>
      <w:r w:rsidR="00570134" w:rsidRPr="00570134">
        <w:rPr>
          <w:rFonts w:cs="Calibri"/>
          <w:color w:val="000000" w:themeColor="text1"/>
          <w:sz w:val="22"/>
          <w:szCs w:val="22"/>
        </w:rPr>
        <w:t xml:space="preserve"> mieszkania, a nawet odzież</w:t>
      </w:r>
      <w:r w:rsidR="0070201A">
        <w:rPr>
          <w:rFonts w:cs="Calibri"/>
          <w:color w:val="000000" w:themeColor="text1"/>
          <w:sz w:val="22"/>
          <w:szCs w:val="22"/>
        </w:rPr>
        <w:t>y</w:t>
      </w:r>
      <w:r w:rsidR="00570134" w:rsidRPr="00570134">
        <w:rPr>
          <w:rFonts w:cs="Calibri"/>
          <w:color w:val="000000" w:themeColor="text1"/>
          <w:sz w:val="22"/>
          <w:szCs w:val="22"/>
        </w:rPr>
        <w:t xml:space="preserve">. </w:t>
      </w:r>
      <w:r w:rsidR="00E64163">
        <w:rPr>
          <w:rFonts w:cs="Calibri"/>
          <w:color w:val="000000" w:themeColor="text1"/>
          <w:sz w:val="22"/>
          <w:szCs w:val="22"/>
        </w:rPr>
        <w:t>Ogromne kwoty zaległości kupujących</w:t>
      </w:r>
      <w:r w:rsidR="00482133">
        <w:rPr>
          <w:rFonts w:cs="Calibri"/>
          <w:color w:val="000000" w:themeColor="text1"/>
          <w:sz w:val="22"/>
          <w:szCs w:val="22"/>
        </w:rPr>
        <w:t xml:space="preserve"> zgromadzone w bazie BIG InfoMonitor </w:t>
      </w:r>
      <w:r w:rsidR="00EF5A87">
        <w:rPr>
          <w:rFonts w:cs="Calibri"/>
          <w:color w:val="000000" w:themeColor="text1"/>
          <w:sz w:val="22"/>
          <w:szCs w:val="22"/>
        </w:rPr>
        <w:t xml:space="preserve">mogą </w:t>
      </w:r>
      <w:r w:rsidR="00482133">
        <w:rPr>
          <w:rFonts w:cs="Calibri"/>
          <w:color w:val="000000" w:themeColor="text1"/>
          <w:sz w:val="22"/>
          <w:szCs w:val="22"/>
        </w:rPr>
        <w:t>wskaz</w:t>
      </w:r>
      <w:r w:rsidR="00EF5A87">
        <w:rPr>
          <w:rFonts w:cs="Calibri"/>
          <w:color w:val="000000" w:themeColor="text1"/>
          <w:sz w:val="22"/>
          <w:szCs w:val="22"/>
        </w:rPr>
        <w:t>ywać</w:t>
      </w:r>
      <w:r w:rsidR="00482133">
        <w:rPr>
          <w:rFonts w:cs="Calibri"/>
          <w:color w:val="000000" w:themeColor="text1"/>
          <w:sz w:val="22"/>
          <w:szCs w:val="22"/>
        </w:rPr>
        <w:t xml:space="preserve"> na to, jak wielu Polaków nierozważnie podchodzi do kupowania</w:t>
      </w:r>
      <w:r w:rsidR="0070201A">
        <w:rPr>
          <w:rFonts w:cs="Calibri"/>
          <w:color w:val="000000" w:themeColor="text1"/>
          <w:sz w:val="22"/>
          <w:szCs w:val="22"/>
        </w:rPr>
        <w:t>.</w:t>
      </w:r>
    </w:p>
    <w:p w14:paraId="28355B0B" w14:textId="77777777" w:rsidR="00570134" w:rsidRDefault="00570134" w:rsidP="00463EAA">
      <w:pPr>
        <w:jc w:val="both"/>
        <w:rPr>
          <w:rFonts w:cs="Calibri"/>
          <w:color w:val="000000" w:themeColor="text1"/>
          <w:sz w:val="22"/>
          <w:szCs w:val="22"/>
        </w:rPr>
      </w:pPr>
    </w:p>
    <w:p w14:paraId="21F28BEA" w14:textId="6350F85A" w:rsidR="000562BB" w:rsidRDefault="008D63C4" w:rsidP="00463EAA">
      <w:p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– </w:t>
      </w:r>
      <w:r w:rsidR="000A44CD">
        <w:rPr>
          <w:rFonts w:cs="Calibri"/>
          <w:i/>
          <w:color w:val="000000" w:themeColor="text1"/>
          <w:sz w:val="22"/>
          <w:szCs w:val="22"/>
        </w:rPr>
        <w:t>Wykorzystanie Rejestru D</w:t>
      </w:r>
      <w:r w:rsidR="005E1F16" w:rsidRPr="005E1F16">
        <w:rPr>
          <w:rFonts w:cs="Calibri"/>
          <w:i/>
          <w:color w:val="000000" w:themeColor="text1"/>
          <w:sz w:val="22"/>
          <w:szCs w:val="22"/>
        </w:rPr>
        <w:t>łużników BIG pokazuje, że wierzyciele nie zamierzają zapomnieć o długu. Trudno się im</w:t>
      </w:r>
      <w:r>
        <w:rPr>
          <w:rFonts w:cs="Calibri"/>
          <w:i/>
          <w:color w:val="000000" w:themeColor="text1"/>
          <w:sz w:val="22"/>
          <w:szCs w:val="22"/>
        </w:rPr>
        <w:t xml:space="preserve"> </w:t>
      </w:r>
      <w:r w:rsidR="005E1F16" w:rsidRPr="005E1F16">
        <w:rPr>
          <w:rFonts w:cs="Calibri"/>
          <w:i/>
          <w:color w:val="000000" w:themeColor="text1"/>
          <w:sz w:val="22"/>
          <w:szCs w:val="22"/>
        </w:rPr>
        <w:t>dziwić, biorąc pod uwagę, że w grę wchodzą spore sumy, średnio - 6 244 zł</w:t>
      </w:r>
      <w:r w:rsidR="005E1F16">
        <w:rPr>
          <w:rFonts w:cs="Calibri"/>
          <w:i/>
          <w:color w:val="000000" w:themeColor="text1"/>
          <w:sz w:val="22"/>
          <w:szCs w:val="22"/>
        </w:rPr>
        <w:t xml:space="preserve"> </w:t>
      </w:r>
      <w:r w:rsidR="003D1D80">
        <w:rPr>
          <w:rFonts w:cs="Calibri"/>
          <w:i/>
          <w:color w:val="000000" w:themeColor="text1"/>
          <w:sz w:val="22"/>
          <w:szCs w:val="22"/>
        </w:rPr>
        <w:t xml:space="preserve">na osobę </w:t>
      </w:r>
      <w:r w:rsidR="005E1F16">
        <w:rPr>
          <w:rFonts w:cs="Calibri"/>
          <w:i/>
          <w:color w:val="000000" w:themeColor="text1"/>
          <w:sz w:val="22"/>
          <w:szCs w:val="22"/>
        </w:rPr>
        <w:t>w przypadku</w:t>
      </w:r>
      <w:r w:rsidR="00B842A1">
        <w:rPr>
          <w:rFonts w:cs="Calibri"/>
          <w:i/>
          <w:color w:val="000000" w:themeColor="text1"/>
          <w:sz w:val="22"/>
          <w:szCs w:val="22"/>
        </w:rPr>
        <w:t xml:space="preserve"> umów sprzedaż</w:t>
      </w:r>
      <w:r w:rsidR="003D1D80">
        <w:rPr>
          <w:rFonts w:cs="Calibri"/>
          <w:i/>
          <w:color w:val="000000" w:themeColor="text1"/>
          <w:sz w:val="22"/>
          <w:szCs w:val="22"/>
        </w:rPr>
        <w:t>y i zakupów ratalnych</w:t>
      </w:r>
      <w:r w:rsidR="005E1F16" w:rsidRPr="005E1F16">
        <w:rPr>
          <w:rFonts w:cs="Calibri"/>
          <w:i/>
          <w:color w:val="000000" w:themeColor="text1"/>
          <w:sz w:val="22"/>
          <w:szCs w:val="22"/>
        </w:rPr>
        <w:t>.</w:t>
      </w:r>
      <w:r w:rsidR="00B842A1">
        <w:rPr>
          <w:rFonts w:cs="Calibri"/>
          <w:color w:val="000000" w:themeColor="text1"/>
          <w:sz w:val="22"/>
          <w:szCs w:val="22"/>
        </w:rPr>
        <w:t xml:space="preserve"> </w:t>
      </w:r>
      <w:r w:rsidR="003751AD" w:rsidRPr="003751AD">
        <w:rPr>
          <w:rFonts w:cs="Calibri"/>
          <w:i/>
          <w:color w:val="000000" w:themeColor="text1"/>
          <w:sz w:val="22"/>
          <w:szCs w:val="22"/>
        </w:rPr>
        <w:t>Jeśli z powodu niespłacanych w terminie rat np. za pralkę trafi się do rejestru dłużników, trzeba mieć świadomość</w:t>
      </w:r>
      <w:r w:rsidR="0032000C">
        <w:rPr>
          <w:rFonts w:cs="Calibri"/>
          <w:i/>
          <w:color w:val="000000" w:themeColor="text1"/>
          <w:sz w:val="22"/>
          <w:szCs w:val="22"/>
        </w:rPr>
        <w:t>,</w:t>
      </w:r>
      <w:r w:rsidR="0088723A">
        <w:rPr>
          <w:rFonts w:cs="Calibri"/>
          <w:i/>
          <w:color w:val="000000" w:themeColor="text1"/>
          <w:sz w:val="22"/>
          <w:szCs w:val="22"/>
        </w:rPr>
        <w:t xml:space="preserve"> </w:t>
      </w:r>
      <w:r w:rsidR="003751AD" w:rsidRPr="003751AD">
        <w:rPr>
          <w:rFonts w:cs="Calibri"/>
          <w:i/>
          <w:color w:val="000000" w:themeColor="text1"/>
          <w:sz w:val="22"/>
          <w:szCs w:val="22"/>
        </w:rPr>
        <w:t>że to może by</w:t>
      </w:r>
      <w:r w:rsidR="003751AD">
        <w:rPr>
          <w:rFonts w:cs="Calibri"/>
          <w:i/>
          <w:color w:val="000000" w:themeColor="text1"/>
          <w:sz w:val="22"/>
          <w:szCs w:val="22"/>
        </w:rPr>
        <w:t>ć ostatni zakup w takiej formie</w:t>
      </w:r>
      <w:r w:rsidR="003751AD" w:rsidRPr="003751AD">
        <w:rPr>
          <w:rFonts w:cs="Calibri"/>
          <w:color w:val="000000" w:themeColor="text1"/>
          <w:sz w:val="22"/>
          <w:szCs w:val="22"/>
        </w:rPr>
        <w:t xml:space="preserve"> </w:t>
      </w:r>
      <w:r w:rsidR="004B7DE4">
        <w:rPr>
          <w:rFonts w:cs="Calibri"/>
          <w:color w:val="000000" w:themeColor="text1"/>
          <w:sz w:val="22"/>
          <w:szCs w:val="22"/>
        </w:rPr>
        <w:t xml:space="preserve">– wskazuje </w:t>
      </w:r>
      <w:r w:rsidR="00B842A1">
        <w:rPr>
          <w:rFonts w:cs="Calibri"/>
          <w:color w:val="000000" w:themeColor="text1"/>
          <w:sz w:val="22"/>
          <w:szCs w:val="22"/>
        </w:rPr>
        <w:t>Halina Kochalska, ekspert z Rejestru Dłużników BIG InfoMonitor.</w:t>
      </w:r>
    </w:p>
    <w:p w14:paraId="6ED291FA" w14:textId="77777777" w:rsidR="00B652CB" w:rsidRDefault="00B652CB" w:rsidP="00463EAA">
      <w:pPr>
        <w:jc w:val="both"/>
        <w:rPr>
          <w:rFonts w:cs="Calibri"/>
          <w:color w:val="000000" w:themeColor="text1"/>
          <w:sz w:val="22"/>
          <w:szCs w:val="22"/>
        </w:rPr>
      </w:pP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1600"/>
        <w:gridCol w:w="1120"/>
      </w:tblGrid>
      <w:tr w:rsidR="00B652CB" w:rsidRPr="00B652CB" w14:paraId="6B236B07" w14:textId="77777777" w:rsidTr="00B652CB">
        <w:trPr>
          <w:trHeight w:val="7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hideMark/>
          </w:tcPr>
          <w:p w14:paraId="34801EA5" w14:textId="77777777" w:rsidR="00B652CB" w:rsidRPr="00B652CB" w:rsidRDefault="00B652CB" w:rsidP="00B652C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652C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WOJEWÓDZTWO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hideMark/>
          </w:tcPr>
          <w:p w14:paraId="32246780" w14:textId="77777777" w:rsidR="00B652CB" w:rsidRPr="00B652CB" w:rsidRDefault="00B652CB" w:rsidP="00B652C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652C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Liczba dłużników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hideMark/>
          </w:tcPr>
          <w:p w14:paraId="39A35EE2" w14:textId="77777777" w:rsidR="00B652CB" w:rsidRPr="00B652CB" w:rsidRDefault="00B652CB" w:rsidP="00B652C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652C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Kwota zaległości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hideMark/>
          </w:tcPr>
          <w:p w14:paraId="4B7BE595" w14:textId="77777777" w:rsidR="00B652CB" w:rsidRPr="00B652CB" w:rsidRDefault="00B652CB" w:rsidP="00B652C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652C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Średnia wartość zadłużenia</w:t>
            </w:r>
          </w:p>
        </w:tc>
      </w:tr>
      <w:tr w:rsidR="00B652CB" w:rsidRPr="00B652CB" w14:paraId="170564BE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48CDECF2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1F07CE11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28 192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097926F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204 842 019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07D87B78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6 785</w:t>
            </w:r>
          </w:p>
        </w:tc>
      </w:tr>
      <w:tr w:rsidR="00B652CB" w:rsidRPr="00B652CB" w14:paraId="4C328658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44F67EB3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3F67834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25 104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01240401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137 015 065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5DBA393B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5 096</w:t>
            </w:r>
          </w:p>
        </w:tc>
      </w:tr>
      <w:tr w:rsidR="00B652CB" w:rsidRPr="00B652CB" w14:paraId="35CC9F39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4958B137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6A935D40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24 099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326D4B06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200 977 613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25E3F8CD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7 787</w:t>
            </w:r>
          </w:p>
        </w:tc>
      </w:tr>
      <w:tr w:rsidR="00B652CB" w:rsidRPr="00B652CB" w14:paraId="3029B2EB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060523E1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0E3E1DDF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21 746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000CB128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120 637 377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01F5076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5 180</w:t>
            </w:r>
          </w:p>
        </w:tc>
      </w:tr>
      <w:tr w:rsidR="00B652CB" w:rsidRPr="00B652CB" w14:paraId="29074834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4AC1A0DB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0144BDCD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18 331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4532213D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109 867 358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2F31EABE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5 596</w:t>
            </w:r>
          </w:p>
        </w:tc>
      </w:tr>
      <w:tr w:rsidR="00B652CB" w:rsidRPr="00B652CB" w14:paraId="3B2BA66A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1769A9D1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KUJAWSKO-POMORSKIE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4BA46FDF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15 116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7E6499A5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75 277 699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746754C3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4 650</w:t>
            </w:r>
          </w:p>
        </w:tc>
      </w:tr>
      <w:tr w:rsidR="00B652CB" w:rsidRPr="00B652CB" w14:paraId="2A25F5D0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149C07CD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ŁÓDZKIE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40E40E6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14 926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08095179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82 778 019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68875071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5 179</w:t>
            </w:r>
          </w:p>
        </w:tc>
      </w:tr>
      <w:tr w:rsidR="00B652CB" w:rsidRPr="00B652CB" w14:paraId="26D611F9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0D540295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ZACHODNIOPOMORSKIE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6AF3D5AF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14 502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27598653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87 019 558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3082D946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5 603</w:t>
            </w:r>
          </w:p>
        </w:tc>
      </w:tr>
      <w:tr w:rsidR="00B652CB" w:rsidRPr="00B652CB" w14:paraId="71D5E0B8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7D7C3221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209C106E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9 811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1E2F09C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74 789 147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0D96EB84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7 118</w:t>
            </w:r>
          </w:p>
        </w:tc>
      </w:tr>
      <w:tr w:rsidR="00B652CB" w:rsidRPr="00B652CB" w14:paraId="7311E8FB" w14:textId="77777777" w:rsidTr="00B652CB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351AF4C5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WARMIŃSKO-MAZURSKIE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662D020E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8 528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67B4C0C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46 204 857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1C548F80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5 059</w:t>
            </w:r>
          </w:p>
        </w:tc>
      </w:tr>
      <w:tr w:rsidR="00B652CB" w:rsidRPr="00B652CB" w14:paraId="3F25D0AC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1123C9F7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2507C80C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7 972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36923A7E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42 117 748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22DACE3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4 933</w:t>
            </w:r>
          </w:p>
        </w:tc>
      </w:tr>
      <w:tr w:rsidR="00B652CB" w:rsidRPr="00B652CB" w14:paraId="2177ADD1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28C33545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LUBUSKIE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63DF6949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6 998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0CD711D4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46 557 167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31D3B29B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6 212</w:t>
            </w:r>
          </w:p>
        </w:tc>
      </w:tr>
      <w:tr w:rsidR="00B652CB" w:rsidRPr="00B652CB" w14:paraId="0599EC96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0753E5AC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OPOLSKIE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389EBA8C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5 415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3C675624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28 617 826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63606F4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4 935</w:t>
            </w:r>
          </w:p>
        </w:tc>
      </w:tr>
      <w:tr w:rsidR="00B652CB" w:rsidRPr="00B652CB" w14:paraId="6F148F15" w14:textId="77777777" w:rsidTr="00B652CB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7D15D848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4A173F49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5 055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78E3BA65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29 661 774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53729D97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5 479</w:t>
            </w:r>
          </w:p>
        </w:tc>
      </w:tr>
      <w:tr w:rsidR="00B652CB" w:rsidRPr="00B652CB" w14:paraId="7936CADE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02C201AF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ŚWIĘTOKRZYSKIE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67C73D03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4 308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617C7CE6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23 981 869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E"/>
            <w:hideMark/>
          </w:tcPr>
          <w:p w14:paraId="7FD0681B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5 198</w:t>
            </w:r>
          </w:p>
        </w:tc>
      </w:tr>
      <w:tr w:rsidR="00B652CB" w:rsidRPr="00B652CB" w14:paraId="3F0BB4C5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4611989D" w14:textId="77777777" w:rsidR="00B652CB" w:rsidRPr="00B652CB" w:rsidRDefault="00B652CB" w:rsidP="00B652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PODLASKIE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2C18A384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4 016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4845C8AF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26 619 853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hideMark/>
          </w:tcPr>
          <w:p w14:paraId="3830B139" w14:textId="77777777" w:rsidR="00B652CB" w:rsidRPr="00B652CB" w:rsidRDefault="00B652CB" w:rsidP="00B65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2CB">
              <w:rPr>
                <w:rFonts w:ascii="Calibri" w:hAnsi="Calibri"/>
                <w:color w:val="000000"/>
                <w:sz w:val="16"/>
                <w:szCs w:val="16"/>
              </w:rPr>
              <w:t>6 189</w:t>
            </w:r>
          </w:p>
        </w:tc>
      </w:tr>
      <w:tr w:rsidR="00B652CB" w:rsidRPr="00B652CB" w14:paraId="33E76098" w14:textId="77777777" w:rsidTr="00B652C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hideMark/>
          </w:tcPr>
          <w:p w14:paraId="3F22B3F8" w14:textId="77777777" w:rsidR="00B652CB" w:rsidRPr="00B652CB" w:rsidRDefault="00B652CB" w:rsidP="00B652CB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 w:rsidRPr="00B652CB">
              <w:rPr>
                <w:rFonts w:ascii="Calibri" w:hAnsi="Calibri"/>
                <w:color w:val="FFFFFF"/>
                <w:sz w:val="22"/>
                <w:szCs w:val="22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hideMark/>
          </w:tcPr>
          <w:p w14:paraId="315F1918" w14:textId="77777777" w:rsidR="00B652CB" w:rsidRPr="00B652CB" w:rsidRDefault="00B652CB" w:rsidP="00B652CB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652C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214 119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hideMark/>
          </w:tcPr>
          <w:p w14:paraId="28528C0E" w14:textId="77777777" w:rsidR="00B652CB" w:rsidRPr="00B652CB" w:rsidRDefault="00B652CB" w:rsidP="00B652CB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652C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1 336 964 949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hideMark/>
          </w:tcPr>
          <w:p w14:paraId="01D3C2DE" w14:textId="77777777" w:rsidR="00B652CB" w:rsidRPr="00B652CB" w:rsidRDefault="00B652CB" w:rsidP="00B652CB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652C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6 244</w:t>
            </w:r>
          </w:p>
        </w:tc>
      </w:tr>
    </w:tbl>
    <w:p w14:paraId="566CC900" w14:textId="77777777" w:rsidR="00747315" w:rsidRDefault="00747315" w:rsidP="00463EAA">
      <w:pPr>
        <w:jc w:val="both"/>
        <w:rPr>
          <w:rFonts w:cs="Calibri"/>
          <w:i/>
          <w:color w:val="000000" w:themeColor="text1"/>
          <w:sz w:val="18"/>
          <w:szCs w:val="18"/>
        </w:rPr>
      </w:pPr>
      <w:r w:rsidRPr="00747315">
        <w:rPr>
          <w:rFonts w:cs="Calibri"/>
          <w:i/>
          <w:color w:val="000000" w:themeColor="text1"/>
          <w:sz w:val="18"/>
          <w:szCs w:val="18"/>
        </w:rPr>
        <w:t>Źródło: Rejestr Dłużników BIG InfoMonitor</w:t>
      </w:r>
    </w:p>
    <w:p w14:paraId="0CF5D03D" w14:textId="77777777" w:rsidR="002400EA" w:rsidRPr="00747315" w:rsidRDefault="002400EA" w:rsidP="00463EAA">
      <w:pPr>
        <w:jc w:val="both"/>
        <w:rPr>
          <w:rFonts w:cs="Calibri"/>
          <w:i/>
          <w:color w:val="000000" w:themeColor="text1"/>
          <w:sz w:val="18"/>
          <w:szCs w:val="18"/>
        </w:rPr>
      </w:pPr>
    </w:p>
    <w:p w14:paraId="7A3E6B61" w14:textId="77777777" w:rsidR="00F54B7B" w:rsidRDefault="00247350" w:rsidP="00463EAA">
      <w:pPr>
        <w:jc w:val="both"/>
        <w:rPr>
          <w:rFonts w:cs="Calibri"/>
          <w:b/>
          <w:color w:val="000000" w:themeColor="text1"/>
          <w:sz w:val="22"/>
          <w:szCs w:val="22"/>
        </w:rPr>
      </w:pPr>
      <w:r>
        <w:rPr>
          <w:rFonts w:cs="Calibri"/>
          <w:b/>
          <w:color w:val="000000" w:themeColor="text1"/>
          <w:sz w:val="22"/>
          <w:szCs w:val="22"/>
        </w:rPr>
        <w:t>Najwięcej kupujących</w:t>
      </w:r>
      <w:r w:rsidR="00A72FA9">
        <w:rPr>
          <w:rFonts w:cs="Calibri"/>
          <w:b/>
          <w:color w:val="000000" w:themeColor="text1"/>
          <w:sz w:val="22"/>
          <w:szCs w:val="22"/>
        </w:rPr>
        <w:t xml:space="preserve"> dłużników</w:t>
      </w:r>
      <w:r>
        <w:rPr>
          <w:rFonts w:cs="Calibri"/>
          <w:b/>
          <w:color w:val="000000" w:themeColor="text1"/>
          <w:sz w:val="22"/>
          <w:szCs w:val="22"/>
        </w:rPr>
        <w:t xml:space="preserve"> jest wśr</w:t>
      </w:r>
      <w:r w:rsidR="00B842A1">
        <w:rPr>
          <w:rFonts w:cs="Calibri"/>
          <w:b/>
          <w:color w:val="000000" w:themeColor="text1"/>
          <w:sz w:val="22"/>
          <w:szCs w:val="22"/>
        </w:rPr>
        <w:t>ód młodych i panów</w:t>
      </w:r>
    </w:p>
    <w:p w14:paraId="47AA4EF7" w14:textId="77777777" w:rsidR="005E1F16" w:rsidRDefault="005E1F16" w:rsidP="00463EAA">
      <w:pPr>
        <w:jc w:val="both"/>
        <w:rPr>
          <w:rFonts w:cs="Calibri"/>
          <w:b/>
          <w:color w:val="000000" w:themeColor="text1"/>
          <w:sz w:val="22"/>
          <w:szCs w:val="22"/>
        </w:rPr>
      </w:pPr>
    </w:p>
    <w:p w14:paraId="256B571F" w14:textId="0F5EB9E9" w:rsidR="000977A6" w:rsidRPr="000977A6" w:rsidRDefault="000977A6" w:rsidP="000977A6">
      <w:pPr>
        <w:rPr>
          <w:rFonts w:cs="Calibri"/>
          <w:sz w:val="22"/>
          <w:szCs w:val="22"/>
        </w:rPr>
      </w:pPr>
      <w:r w:rsidRPr="000977A6">
        <w:rPr>
          <w:rFonts w:cs="Calibri"/>
          <w:sz w:val="22"/>
          <w:szCs w:val="22"/>
        </w:rPr>
        <w:t xml:space="preserve">Wśród  214 tysięcy </w:t>
      </w:r>
      <w:r w:rsidR="00FB6A5E">
        <w:rPr>
          <w:rFonts w:cs="Calibri"/>
          <w:sz w:val="22"/>
          <w:szCs w:val="22"/>
        </w:rPr>
        <w:t xml:space="preserve">osób </w:t>
      </w:r>
      <w:r w:rsidRPr="000977A6">
        <w:rPr>
          <w:rFonts w:cs="Calibri"/>
          <w:sz w:val="22"/>
          <w:szCs w:val="22"/>
        </w:rPr>
        <w:t>nieregulujących płatności związanych z zakupami w</w:t>
      </w:r>
      <w:r>
        <w:rPr>
          <w:rFonts w:cs="Calibri"/>
          <w:sz w:val="22"/>
          <w:szCs w:val="22"/>
        </w:rPr>
        <w:t>ięcej niż co czwarta  ma</w:t>
      </w:r>
      <w:r w:rsidRPr="000977A6">
        <w:rPr>
          <w:rFonts w:cs="Calibri"/>
          <w:sz w:val="22"/>
          <w:szCs w:val="22"/>
        </w:rPr>
        <w:t xml:space="preserve"> między 25 a 34 lata.</w:t>
      </w:r>
      <w:r>
        <w:rPr>
          <w:rFonts w:cs="Calibri"/>
          <w:sz w:val="22"/>
          <w:szCs w:val="22"/>
        </w:rPr>
        <w:t xml:space="preserve"> Przypadek? Niekoniecznie. </w:t>
      </w:r>
      <w:r w:rsidR="00FB6A5E">
        <w:rPr>
          <w:rFonts w:cs="Calibri"/>
          <w:sz w:val="22"/>
          <w:szCs w:val="22"/>
        </w:rPr>
        <w:t xml:space="preserve"> Wśród 26 proc.</w:t>
      </w:r>
      <w:r w:rsidRPr="000977A6">
        <w:rPr>
          <w:rFonts w:cs="Calibri"/>
          <w:sz w:val="22"/>
          <w:szCs w:val="22"/>
        </w:rPr>
        <w:t xml:space="preserve">, które w badaniu potwierdziły, że zdarzyło im się dokonać nieprzemyślanych zakupów i wydać dużą sumę pieniędzy, większość ma </w:t>
      </w:r>
      <w:r>
        <w:rPr>
          <w:rFonts w:cs="Calibri"/>
          <w:sz w:val="22"/>
          <w:szCs w:val="22"/>
        </w:rPr>
        <w:t xml:space="preserve">właśnie tyle lat </w:t>
      </w:r>
      <w:r w:rsidRPr="000977A6">
        <w:rPr>
          <w:rFonts w:cs="Calibri"/>
          <w:sz w:val="22"/>
          <w:szCs w:val="22"/>
        </w:rPr>
        <w:t xml:space="preserve">(38 proc.). </w:t>
      </w:r>
      <w:r w:rsidR="00B85A22">
        <w:rPr>
          <w:rFonts w:cs="Calibri"/>
          <w:sz w:val="22"/>
          <w:szCs w:val="22"/>
        </w:rPr>
        <w:t xml:space="preserve">25-34 latkowie to również </w:t>
      </w:r>
      <w:r w:rsidRPr="000977A6">
        <w:rPr>
          <w:rFonts w:cs="Calibri"/>
          <w:sz w:val="22"/>
          <w:szCs w:val="22"/>
        </w:rPr>
        <w:t>najwię</w:t>
      </w:r>
      <w:r w:rsidR="00B85A22">
        <w:rPr>
          <w:rFonts w:cs="Calibri"/>
          <w:sz w:val="22"/>
          <w:szCs w:val="22"/>
        </w:rPr>
        <w:t xml:space="preserve">ksi </w:t>
      </w:r>
      <w:r w:rsidRPr="000977A6">
        <w:rPr>
          <w:rFonts w:cs="Calibri"/>
          <w:sz w:val="22"/>
          <w:szCs w:val="22"/>
        </w:rPr>
        <w:t>zwolenni</w:t>
      </w:r>
      <w:r w:rsidR="00B85A22">
        <w:rPr>
          <w:rFonts w:cs="Calibri"/>
          <w:sz w:val="22"/>
          <w:szCs w:val="22"/>
        </w:rPr>
        <w:t>cy</w:t>
      </w:r>
      <w:r w:rsidRPr="000977A6">
        <w:rPr>
          <w:rFonts w:cs="Calibri"/>
          <w:sz w:val="22"/>
          <w:szCs w:val="22"/>
        </w:rPr>
        <w:t xml:space="preserve"> zakupów na promocjach (59 proc.)</w:t>
      </w:r>
      <w:r w:rsidR="00B85A22">
        <w:rPr>
          <w:rFonts w:cs="Calibri"/>
          <w:sz w:val="22"/>
          <w:szCs w:val="22"/>
        </w:rPr>
        <w:t xml:space="preserve">.  </w:t>
      </w:r>
      <w:r w:rsidRPr="000977A6">
        <w:rPr>
          <w:rFonts w:cs="Calibri"/>
          <w:sz w:val="22"/>
          <w:szCs w:val="22"/>
        </w:rPr>
        <w:t xml:space="preserve">Mimo, że uważa się zakupy za  domenę pań, to jednak we wszystkich grupach wiekowych zdecydowanie częściej  problem długów po zakupach dotyka mężczyzn. Trzech z czterech dłużników jest właśnie tej płci. Z kolei pod względem wartości zaległości wynikających z nieopłaconych zakupów przodują 35-44 latkowie. </w:t>
      </w:r>
    </w:p>
    <w:p w14:paraId="158937A5" w14:textId="77777777" w:rsidR="00F54B7B" w:rsidRPr="000977A6" w:rsidRDefault="00F54B7B" w:rsidP="0091001C">
      <w:pPr>
        <w:jc w:val="both"/>
        <w:rPr>
          <w:rFonts w:cs="Calibri"/>
          <w:sz w:val="22"/>
          <w:szCs w:val="22"/>
        </w:rPr>
      </w:pPr>
    </w:p>
    <w:p w14:paraId="4C2872E8" w14:textId="77777777" w:rsidR="006502BF" w:rsidRPr="000977A6" w:rsidRDefault="006502BF" w:rsidP="00463EAA">
      <w:pPr>
        <w:jc w:val="both"/>
        <w:rPr>
          <w:rFonts w:cs="Calibri"/>
          <w:sz w:val="22"/>
          <w:szCs w:val="22"/>
        </w:rPr>
      </w:pPr>
    </w:p>
    <w:p w14:paraId="46CD1070" w14:textId="257CB13F" w:rsidR="005F07CC" w:rsidRPr="003A0992" w:rsidRDefault="002400EA" w:rsidP="005F07CC">
      <w:pPr>
        <w:jc w:val="both"/>
        <w:rPr>
          <w:rFonts w:cs="Calibri"/>
          <w:i/>
          <w:color w:val="000000" w:themeColor="text1"/>
          <w:sz w:val="16"/>
          <w:szCs w:val="16"/>
        </w:rPr>
      </w:pPr>
      <w:r>
        <w:t xml:space="preserve"> </w:t>
      </w:r>
      <w:r w:rsidR="005F07CC" w:rsidRPr="005F07CC">
        <w:rPr>
          <w:noProof/>
        </w:rPr>
        <w:drawing>
          <wp:inline distT="0" distB="0" distL="0" distR="0" wp14:anchorId="39B3D955" wp14:editId="43A56DBE">
            <wp:extent cx="1836420" cy="16973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3C4">
        <w:t xml:space="preserve"> </w:t>
      </w:r>
      <w:r w:rsidR="005F07CC" w:rsidRPr="005F07CC">
        <w:rPr>
          <w:noProof/>
        </w:rPr>
        <w:drawing>
          <wp:inline distT="0" distB="0" distL="0" distR="0" wp14:anchorId="3C6FE006" wp14:editId="2AF22364">
            <wp:extent cx="2275205" cy="16973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7094" w14:textId="77777777" w:rsidR="005F07CC" w:rsidRDefault="005F07CC" w:rsidP="00463EAA">
      <w:pPr>
        <w:jc w:val="both"/>
        <w:rPr>
          <w:rFonts w:cs="Calibri"/>
          <w:i/>
          <w:color w:val="000000" w:themeColor="text1"/>
          <w:sz w:val="16"/>
          <w:szCs w:val="16"/>
        </w:rPr>
      </w:pPr>
    </w:p>
    <w:p w14:paraId="4677BA14" w14:textId="77777777" w:rsidR="00607A18" w:rsidRPr="003A0992" w:rsidRDefault="00607A18" w:rsidP="00463EAA">
      <w:pPr>
        <w:jc w:val="both"/>
        <w:rPr>
          <w:rFonts w:cs="Calibri"/>
          <w:i/>
          <w:color w:val="000000" w:themeColor="text1"/>
          <w:sz w:val="16"/>
          <w:szCs w:val="16"/>
        </w:rPr>
      </w:pPr>
      <w:r w:rsidRPr="003A0992">
        <w:rPr>
          <w:rFonts w:cs="Calibri"/>
          <w:i/>
          <w:color w:val="000000" w:themeColor="text1"/>
          <w:sz w:val="16"/>
          <w:szCs w:val="16"/>
        </w:rPr>
        <w:t>Źródło: Rejestr Dłużników BIG InfoMonitor</w:t>
      </w:r>
      <w:bookmarkStart w:id="0" w:name="_GoBack"/>
      <w:bookmarkEnd w:id="0"/>
    </w:p>
    <w:p w14:paraId="7A2A62B6" w14:textId="77777777" w:rsidR="00607A18" w:rsidRDefault="00607A18" w:rsidP="00463EAA">
      <w:pPr>
        <w:jc w:val="both"/>
        <w:rPr>
          <w:rFonts w:cs="Calibri"/>
          <w:color w:val="000000" w:themeColor="text1"/>
          <w:sz w:val="16"/>
          <w:szCs w:val="16"/>
        </w:rPr>
      </w:pPr>
    </w:p>
    <w:p w14:paraId="1B52B685" w14:textId="376042CA" w:rsidR="002D6EEE" w:rsidRPr="002D6EEE" w:rsidRDefault="002D6EEE" w:rsidP="00607A18">
      <w:pPr>
        <w:jc w:val="both"/>
        <w:rPr>
          <w:rFonts w:cs="Calibri"/>
          <w:b/>
          <w:color w:val="000000" w:themeColor="text1"/>
          <w:sz w:val="22"/>
          <w:szCs w:val="22"/>
        </w:rPr>
      </w:pPr>
      <w:r w:rsidRPr="002D6EEE">
        <w:rPr>
          <w:rFonts w:cs="Calibri"/>
          <w:b/>
          <w:color w:val="000000" w:themeColor="text1"/>
          <w:sz w:val="22"/>
          <w:szCs w:val="22"/>
        </w:rPr>
        <w:t>I żeby później nie powiedzieć – „czarno to widzę”…</w:t>
      </w:r>
    </w:p>
    <w:p w14:paraId="02EF06F2" w14:textId="77777777" w:rsidR="002D6EEE" w:rsidRDefault="002D6EEE" w:rsidP="00607A18">
      <w:pPr>
        <w:jc w:val="both"/>
        <w:rPr>
          <w:rFonts w:cs="Calibri"/>
          <w:color w:val="000000" w:themeColor="text1"/>
          <w:sz w:val="22"/>
          <w:szCs w:val="22"/>
        </w:rPr>
      </w:pPr>
    </w:p>
    <w:p w14:paraId="4719CAF7" w14:textId="481C703D" w:rsidR="00FC1306" w:rsidRPr="005C1F39" w:rsidRDefault="00EB673A" w:rsidP="00607A18">
      <w:p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Roztropność podczas zakupów </w:t>
      </w:r>
      <w:r w:rsidR="00C62F22">
        <w:rPr>
          <w:rFonts w:cs="Calibri"/>
          <w:color w:val="000000" w:themeColor="text1"/>
          <w:sz w:val="22"/>
          <w:szCs w:val="22"/>
        </w:rPr>
        <w:t xml:space="preserve">powinna nam towarzyszyć szczególnie </w:t>
      </w:r>
      <w:r>
        <w:rPr>
          <w:rFonts w:cs="Calibri"/>
          <w:color w:val="000000" w:themeColor="text1"/>
          <w:sz w:val="22"/>
          <w:szCs w:val="22"/>
        </w:rPr>
        <w:t xml:space="preserve">podczas Black Friday. Jak </w:t>
      </w:r>
      <w:r w:rsidR="00C62F22">
        <w:rPr>
          <w:rFonts w:cs="Calibri"/>
          <w:color w:val="000000" w:themeColor="text1"/>
          <w:sz w:val="22"/>
          <w:szCs w:val="22"/>
        </w:rPr>
        <w:t xml:space="preserve">pokazują </w:t>
      </w:r>
      <w:r>
        <w:rPr>
          <w:rFonts w:cs="Calibri"/>
          <w:color w:val="000000" w:themeColor="text1"/>
          <w:sz w:val="22"/>
          <w:szCs w:val="22"/>
        </w:rPr>
        <w:t>badania</w:t>
      </w:r>
      <w:r w:rsidR="00C62F22">
        <w:rPr>
          <w:rFonts w:cs="Calibri"/>
          <w:color w:val="000000" w:themeColor="text1"/>
          <w:sz w:val="22"/>
          <w:szCs w:val="22"/>
        </w:rPr>
        <w:t>,</w:t>
      </w:r>
      <w:r>
        <w:rPr>
          <w:rFonts w:cs="Calibri"/>
          <w:color w:val="000000" w:themeColor="text1"/>
          <w:sz w:val="22"/>
          <w:szCs w:val="22"/>
        </w:rPr>
        <w:t xml:space="preserve"> w zeszłym roku </w:t>
      </w:r>
      <w:r w:rsidR="00C62F22">
        <w:rPr>
          <w:rFonts w:cs="Calibri"/>
          <w:color w:val="000000" w:themeColor="text1"/>
          <w:sz w:val="22"/>
          <w:szCs w:val="22"/>
        </w:rPr>
        <w:t>część promocji nie była tak korzystna,</w:t>
      </w:r>
      <w:r>
        <w:rPr>
          <w:rFonts w:cs="Calibri"/>
          <w:color w:val="000000" w:themeColor="text1"/>
          <w:sz w:val="22"/>
          <w:szCs w:val="22"/>
        </w:rPr>
        <w:t xml:space="preserve"> jak je przedstawiano. </w:t>
      </w:r>
      <w:r w:rsidR="00C62F22">
        <w:rPr>
          <w:rFonts w:cs="Calibri"/>
          <w:color w:val="000000" w:themeColor="text1"/>
          <w:sz w:val="22"/>
          <w:szCs w:val="22"/>
        </w:rPr>
        <w:t>Niektóre sklepy podnoszą wcześniej ceny, by potem j</w:t>
      </w:r>
      <w:r w:rsidR="0032000C">
        <w:rPr>
          <w:rFonts w:cs="Calibri"/>
          <w:color w:val="000000" w:themeColor="text1"/>
          <w:sz w:val="22"/>
          <w:szCs w:val="22"/>
        </w:rPr>
        <w:t>e</w:t>
      </w:r>
      <w:r w:rsidR="00C62F22">
        <w:rPr>
          <w:rFonts w:cs="Calibri"/>
          <w:color w:val="000000" w:themeColor="text1"/>
          <w:sz w:val="22"/>
          <w:szCs w:val="22"/>
        </w:rPr>
        <w:t xml:space="preserve"> obniż</w:t>
      </w:r>
      <w:r w:rsidR="0032000C">
        <w:rPr>
          <w:rFonts w:cs="Calibri"/>
          <w:color w:val="000000" w:themeColor="text1"/>
          <w:sz w:val="22"/>
          <w:szCs w:val="22"/>
        </w:rPr>
        <w:t>a</w:t>
      </w:r>
      <w:r w:rsidR="00C62F22">
        <w:rPr>
          <w:rFonts w:cs="Calibri"/>
          <w:color w:val="000000" w:themeColor="text1"/>
          <w:sz w:val="22"/>
          <w:szCs w:val="22"/>
        </w:rPr>
        <w:t xml:space="preserve">ć i w ten sposób </w:t>
      </w:r>
      <w:r w:rsidR="0032000C">
        <w:rPr>
          <w:rFonts w:cs="Calibri"/>
          <w:color w:val="000000" w:themeColor="text1"/>
          <w:sz w:val="22"/>
          <w:szCs w:val="22"/>
        </w:rPr>
        <w:t xml:space="preserve">przyciągnąć </w:t>
      </w:r>
      <w:r w:rsidR="00C62F22">
        <w:rPr>
          <w:rFonts w:cs="Calibri"/>
          <w:color w:val="000000" w:themeColor="text1"/>
          <w:sz w:val="22"/>
          <w:szCs w:val="22"/>
        </w:rPr>
        <w:t>klientów. O rozsądek apeluje m.in. UOKIK, który radzi, żeby przed dokonaniem zakupu dokładnie zapoznać się z warunkami promocji.</w:t>
      </w:r>
      <w:r w:rsidR="00C62F22">
        <w:rPr>
          <w:rStyle w:val="Odwoanieprzypisudolnego"/>
          <w:rFonts w:cs="Calibri"/>
          <w:color w:val="000000" w:themeColor="text1"/>
          <w:sz w:val="22"/>
          <w:szCs w:val="22"/>
        </w:rPr>
        <w:footnoteReference w:id="1"/>
      </w:r>
      <w:r w:rsidR="00C62F22">
        <w:rPr>
          <w:rFonts w:cs="Calibri"/>
          <w:color w:val="000000" w:themeColor="text1"/>
          <w:sz w:val="22"/>
          <w:szCs w:val="22"/>
        </w:rPr>
        <w:t xml:space="preserve"> Chłodna głowa jest więc kluczem, by po zakupowym szaleństwie i sprawdzeniu stanu konta, nie skwitować </w:t>
      </w:r>
      <w:r w:rsidR="002165AE">
        <w:rPr>
          <w:rFonts w:cs="Calibri"/>
          <w:color w:val="000000" w:themeColor="text1"/>
          <w:sz w:val="22"/>
          <w:szCs w:val="22"/>
        </w:rPr>
        <w:t xml:space="preserve">kolejnych dni </w:t>
      </w:r>
      <w:r w:rsidR="00C62F22">
        <w:rPr>
          <w:rFonts w:cs="Calibri"/>
          <w:color w:val="000000" w:themeColor="text1"/>
          <w:sz w:val="22"/>
          <w:szCs w:val="22"/>
        </w:rPr>
        <w:t xml:space="preserve">stwierdzeniem „czarno to widzę”. </w:t>
      </w:r>
    </w:p>
    <w:p w14:paraId="438C4078" w14:textId="77777777" w:rsidR="00B55CC8" w:rsidRDefault="00B55CC8" w:rsidP="00FC1306">
      <w:pPr>
        <w:jc w:val="both"/>
        <w:rPr>
          <w:rFonts w:cs="Calibri"/>
          <w:color w:val="000000" w:themeColor="text1"/>
          <w:sz w:val="22"/>
          <w:szCs w:val="22"/>
        </w:rPr>
      </w:pPr>
    </w:p>
    <w:p w14:paraId="4BBF9C1F" w14:textId="7ADA5B21" w:rsidR="005005F2" w:rsidRDefault="005005F2" w:rsidP="00F42E2D">
      <w:pPr>
        <w:spacing w:before="120"/>
        <w:jc w:val="both"/>
        <w:rPr>
          <w:bCs/>
          <w:i/>
          <w:color w:val="595959" w:themeColor="text1" w:themeTint="A6"/>
          <w:sz w:val="16"/>
          <w:szCs w:val="16"/>
        </w:rPr>
      </w:pPr>
      <w:r w:rsidRPr="005005F2">
        <w:rPr>
          <w:bCs/>
          <w:i/>
          <w:color w:val="595959" w:themeColor="text1" w:themeTint="A6"/>
          <w:sz w:val="16"/>
          <w:szCs w:val="16"/>
        </w:rPr>
        <w:t>Badanie zrealizowane na zlecenie BIG InfoMonitor przez Quality Watch, techniką komputerowo wspomaganych wywiadów internetowych (CAWI) na reprezentatywnej próbie 1296 dorosłych mieszkańców Polski, listopad 2018 r.</w:t>
      </w:r>
    </w:p>
    <w:p w14:paraId="76921428" w14:textId="77777777" w:rsidR="00F42E2D" w:rsidRDefault="00910A58" w:rsidP="00F42E2D">
      <w:pPr>
        <w:spacing w:before="120"/>
        <w:jc w:val="both"/>
        <w:rPr>
          <w:bCs/>
          <w:i/>
          <w:color w:val="595959" w:themeColor="text1" w:themeTint="A6"/>
          <w:sz w:val="16"/>
          <w:szCs w:val="16"/>
        </w:rPr>
      </w:pPr>
      <w:r w:rsidRPr="00910A58">
        <w:rPr>
          <w:bCs/>
          <w:i/>
          <w:color w:val="595959" w:themeColor="text1" w:themeTint="A6"/>
          <w:sz w:val="16"/>
          <w:szCs w:val="16"/>
        </w:rPr>
        <w:t>Badanie wykonane przez ARC Rynek i Opinia na zlecenie BIG InfoMonitor „Uzależnienie, nie tylko finansowe Polaków” na próbie 1013 osób, na</w:t>
      </w:r>
      <w:r w:rsidR="00D50DB2">
        <w:rPr>
          <w:bCs/>
          <w:i/>
          <w:color w:val="595959" w:themeColor="text1" w:themeTint="A6"/>
          <w:sz w:val="16"/>
          <w:szCs w:val="16"/>
        </w:rPr>
        <w:t xml:space="preserve"> </w:t>
      </w:r>
      <w:r w:rsidRPr="00910A58">
        <w:rPr>
          <w:bCs/>
          <w:i/>
          <w:color w:val="595959" w:themeColor="text1" w:themeTint="A6"/>
          <w:sz w:val="16"/>
          <w:szCs w:val="16"/>
        </w:rPr>
        <w:t>przełomie lipca i sierpnia 2017 r.</w:t>
      </w:r>
    </w:p>
    <w:p w14:paraId="1E7E4BF6" w14:textId="77777777" w:rsidR="00910A58" w:rsidRPr="00910A58" w:rsidRDefault="00910A58" w:rsidP="00F42E2D">
      <w:pPr>
        <w:spacing w:before="120"/>
        <w:jc w:val="both"/>
        <w:rPr>
          <w:bCs/>
          <w:i/>
          <w:color w:val="595959" w:themeColor="text1" w:themeTint="A6"/>
          <w:sz w:val="16"/>
          <w:szCs w:val="16"/>
        </w:rPr>
      </w:pPr>
    </w:p>
    <w:p w14:paraId="6E34EB30" w14:textId="77777777" w:rsidR="00F42E2D" w:rsidRPr="00CA6058" w:rsidRDefault="00F42E2D" w:rsidP="00F42E2D">
      <w:pPr>
        <w:spacing w:before="120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7F2F93EF" w14:textId="77777777" w:rsidR="00F42E2D" w:rsidRPr="00CA6058" w:rsidRDefault="00F42E2D" w:rsidP="00F42E2D">
      <w:pPr>
        <w:spacing w:after="120"/>
        <w:ind w:left="1423"/>
        <w:contextualSpacing/>
        <w:jc w:val="both"/>
      </w:pPr>
    </w:p>
    <w:p w14:paraId="5F4B2FA2" w14:textId="77777777" w:rsidR="00F42E2D" w:rsidRDefault="00F42E2D" w:rsidP="00F42E2D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p w14:paraId="626F44C6" w14:textId="77777777" w:rsidR="00F42E2D" w:rsidRPr="00F303A7" w:rsidRDefault="00F42E2D" w:rsidP="00F42E2D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2E2D" w:rsidRPr="00DB3167" w14:paraId="2EA48B6D" w14:textId="77777777" w:rsidTr="00EB3A8A">
        <w:tc>
          <w:tcPr>
            <w:tcW w:w="4606" w:type="dxa"/>
            <w:hideMark/>
          </w:tcPr>
          <w:p w14:paraId="61AE417C" w14:textId="77777777" w:rsidR="00F42E2D" w:rsidRPr="00F303A7" w:rsidRDefault="00F42E2D" w:rsidP="00F42E2D">
            <w:pPr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75131EEA" w14:textId="77777777" w:rsidR="00F42E2D" w:rsidRPr="00F303A7" w:rsidRDefault="00F42E2D" w:rsidP="00F42E2D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7995F449" w14:textId="77777777" w:rsidR="00F42E2D" w:rsidRPr="00F303A7" w:rsidRDefault="00F42E2D" w:rsidP="00F42E2D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08C98956" w14:textId="77777777" w:rsidR="00F42E2D" w:rsidRPr="00F303A7" w:rsidRDefault="00F42E2D" w:rsidP="00F42E2D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14:paraId="36A6629D" w14:textId="77777777" w:rsidR="00F42E2D" w:rsidRPr="00F303A7" w:rsidRDefault="00F6534A" w:rsidP="00F42E2D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F42E2D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14:paraId="2821E79F" w14:textId="77777777" w:rsidR="00F42E2D" w:rsidRPr="00F303A7" w:rsidRDefault="00F42E2D" w:rsidP="00F42E2D">
            <w:pPr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37BF7649" w14:textId="77777777" w:rsidR="00F42E2D" w:rsidRPr="00F303A7" w:rsidRDefault="00F42E2D" w:rsidP="00F42E2D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472998D9" w14:textId="77777777" w:rsidR="00F42E2D" w:rsidRPr="00C95B8F" w:rsidRDefault="00F42E2D" w:rsidP="00F42E2D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</w:pPr>
            <w:r w:rsidRPr="00C95B8F"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  <w:t>tel.: +48 22 486 56 46</w:t>
            </w:r>
          </w:p>
          <w:p w14:paraId="21D99DDE" w14:textId="77777777" w:rsidR="00F42E2D" w:rsidRPr="00C95B8F" w:rsidRDefault="00F42E2D" w:rsidP="00F42E2D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</w:pPr>
            <w:r w:rsidRPr="00C95B8F"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  <w:t>kom.: + 48 607 146 583</w:t>
            </w:r>
          </w:p>
          <w:p w14:paraId="348A09BE" w14:textId="77777777" w:rsidR="00F42E2D" w:rsidRPr="00C95B8F" w:rsidRDefault="00F6534A" w:rsidP="00F42E2D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</w:pPr>
            <w:hyperlink r:id="rId12" w:history="1">
              <w:r w:rsidR="00F42E2D" w:rsidRPr="00C95B8F">
                <w:rPr>
                  <w:color w:val="595959" w:themeColor="text1" w:themeTint="A6"/>
                  <w:sz w:val="18"/>
                  <w:szCs w:val="18"/>
                  <w:lang w:val="de-DE"/>
                </w:rPr>
                <w:t>Diana.Borowiecka@big.pl</w:t>
              </w:r>
            </w:hyperlink>
            <w:r w:rsidR="00F42E2D" w:rsidRPr="00C95B8F">
              <w:rPr>
                <w:rFonts w:cs="Arial"/>
                <w:color w:val="595959" w:themeColor="text1" w:themeTint="A6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7985A06C" w14:textId="77777777" w:rsidR="00F42E2D" w:rsidRPr="00C95B8F" w:rsidRDefault="00F42E2D" w:rsidP="00F42E2D">
      <w:pPr>
        <w:jc w:val="both"/>
        <w:rPr>
          <w:lang w:val="de-DE"/>
        </w:rPr>
      </w:pPr>
    </w:p>
    <w:p w14:paraId="1668488C" w14:textId="77777777" w:rsidR="00517C2D" w:rsidRDefault="00F6534A" w:rsidP="00F42E2D">
      <w:pPr>
        <w:jc w:val="both"/>
      </w:pPr>
    </w:p>
    <w:sectPr w:rsidR="00517C2D" w:rsidSect="003E4F9A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A580B" w14:textId="77777777" w:rsidR="00F6534A" w:rsidRDefault="00F6534A" w:rsidP="00F42E2D">
      <w:r>
        <w:separator/>
      </w:r>
    </w:p>
  </w:endnote>
  <w:endnote w:type="continuationSeparator" w:id="0">
    <w:p w14:paraId="6F4EA2F4" w14:textId="77777777" w:rsidR="00F6534A" w:rsidRDefault="00F6534A" w:rsidP="00F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59A4D" w14:textId="77777777" w:rsidR="00DB3A26" w:rsidRDefault="004105A7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ED5C68" w14:textId="77777777" w:rsidR="00DB3A26" w:rsidRDefault="00F6534A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C370" w14:textId="77777777" w:rsidR="00DB3A26" w:rsidRDefault="004105A7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EE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3CC648C" w14:textId="77777777" w:rsidR="00C44FC5" w:rsidRPr="00D94BC7" w:rsidRDefault="00F65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E5A3" w14:textId="77777777" w:rsidR="00F6534A" w:rsidRDefault="00F6534A" w:rsidP="00F42E2D">
      <w:r>
        <w:separator/>
      </w:r>
    </w:p>
  </w:footnote>
  <w:footnote w:type="continuationSeparator" w:id="0">
    <w:p w14:paraId="06227321" w14:textId="77777777" w:rsidR="00F6534A" w:rsidRDefault="00F6534A" w:rsidP="00F42E2D">
      <w:r>
        <w:continuationSeparator/>
      </w:r>
    </w:p>
  </w:footnote>
  <w:footnote w:id="1">
    <w:p w14:paraId="48E7B116" w14:textId="1D960485" w:rsidR="00C62F22" w:rsidRPr="005005F2" w:rsidRDefault="00C62F22">
      <w:pPr>
        <w:pStyle w:val="Tekstprzypisudolnego"/>
        <w:rPr>
          <w:sz w:val="16"/>
          <w:szCs w:val="16"/>
        </w:rPr>
      </w:pPr>
      <w:r w:rsidRPr="005005F2">
        <w:rPr>
          <w:rStyle w:val="Odwoanieprzypisudolnego"/>
          <w:sz w:val="16"/>
          <w:szCs w:val="16"/>
        </w:rPr>
        <w:footnoteRef/>
      </w:r>
      <w:r w:rsidRPr="005005F2">
        <w:rPr>
          <w:sz w:val="16"/>
          <w:szCs w:val="16"/>
        </w:rPr>
        <w:t xml:space="preserve"> </w:t>
      </w:r>
      <w:hyperlink r:id="rId1" w:history="1">
        <w:r w:rsidRPr="005005F2">
          <w:rPr>
            <w:rStyle w:val="Hipercze"/>
            <w:sz w:val="16"/>
            <w:szCs w:val="16"/>
          </w:rPr>
          <w:t>https://superbiz.se.pl/wiadomosci/black-friday-2019-nie-daj-sie-nabrac-na-falszywe-promocje-aa-CKBZ-CoCS-GpYJ.html</w:t>
        </w:r>
      </w:hyperlink>
      <w:r w:rsidRPr="005005F2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00D4" w14:textId="77777777" w:rsidR="00F37C25" w:rsidRDefault="004105A7" w:rsidP="003F47E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CD1335" wp14:editId="1C66E5CC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D17C" w14:textId="77777777" w:rsidR="00C44FC5" w:rsidRDefault="004105A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A7B3B" wp14:editId="05A66226">
          <wp:simplePos x="0" y="0"/>
          <wp:positionH relativeFrom="column">
            <wp:posOffset>4194175</wp:posOffset>
          </wp:positionH>
          <wp:positionV relativeFrom="paragraph">
            <wp:posOffset>35428</wp:posOffset>
          </wp:positionV>
          <wp:extent cx="1522730" cy="647065"/>
          <wp:effectExtent l="0" t="0" r="1270" b="635"/>
          <wp:wrapSquare wrapText="bothSides"/>
          <wp:docPr id="65" name="Obraz 65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A5A76" w14:textId="77777777" w:rsidR="00926ACD" w:rsidRDefault="00F6534A">
    <w:pPr>
      <w:pStyle w:val="Nagwek"/>
    </w:pPr>
  </w:p>
  <w:p w14:paraId="0B9D4799" w14:textId="77777777" w:rsidR="006E7F0C" w:rsidRDefault="00F6534A">
    <w:pPr>
      <w:pStyle w:val="Nagwek"/>
    </w:pPr>
  </w:p>
  <w:p w14:paraId="2BD06D42" w14:textId="77777777" w:rsidR="00085155" w:rsidRPr="00695EB6" w:rsidRDefault="004105A7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D"/>
    <w:rsid w:val="00001269"/>
    <w:rsid w:val="00004785"/>
    <w:rsid w:val="00013607"/>
    <w:rsid w:val="00020B0A"/>
    <w:rsid w:val="000265AF"/>
    <w:rsid w:val="000313B6"/>
    <w:rsid w:val="00034D44"/>
    <w:rsid w:val="000469EF"/>
    <w:rsid w:val="00050705"/>
    <w:rsid w:val="00052088"/>
    <w:rsid w:val="00053E6A"/>
    <w:rsid w:val="000559C5"/>
    <w:rsid w:val="000562BB"/>
    <w:rsid w:val="000618CE"/>
    <w:rsid w:val="000654C6"/>
    <w:rsid w:val="00072093"/>
    <w:rsid w:val="0007685E"/>
    <w:rsid w:val="000770F8"/>
    <w:rsid w:val="00082AB1"/>
    <w:rsid w:val="00091C86"/>
    <w:rsid w:val="00094E2E"/>
    <w:rsid w:val="00096223"/>
    <w:rsid w:val="000977A6"/>
    <w:rsid w:val="000A20A4"/>
    <w:rsid w:val="000A40D8"/>
    <w:rsid w:val="000A44CD"/>
    <w:rsid w:val="000A7A8F"/>
    <w:rsid w:val="000A7E0E"/>
    <w:rsid w:val="000B06CB"/>
    <w:rsid w:val="000B125B"/>
    <w:rsid w:val="000B396F"/>
    <w:rsid w:val="000B3FAC"/>
    <w:rsid w:val="000C16D7"/>
    <w:rsid w:val="000C1FDF"/>
    <w:rsid w:val="000C4102"/>
    <w:rsid w:val="000D5192"/>
    <w:rsid w:val="000D6721"/>
    <w:rsid w:val="000E054C"/>
    <w:rsid w:val="000E29F3"/>
    <w:rsid w:val="000F3654"/>
    <w:rsid w:val="000F6A9C"/>
    <w:rsid w:val="001020C4"/>
    <w:rsid w:val="001021CE"/>
    <w:rsid w:val="0011796F"/>
    <w:rsid w:val="001204AF"/>
    <w:rsid w:val="00122258"/>
    <w:rsid w:val="001240C9"/>
    <w:rsid w:val="001326D4"/>
    <w:rsid w:val="00134A42"/>
    <w:rsid w:val="00136F24"/>
    <w:rsid w:val="0014073C"/>
    <w:rsid w:val="001412F9"/>
    <w:rsid w:val="00142435"/>
    <w:rsid w:val="00144EE5"/>
    <w:rsid w:val="001568A1"/>
    <w:rsid w:val="00170833"/>
    <w:rsid w:val="001711E7"/>
    <w:rsid w:val="00174061"/>
    <w:rsid w:val="00181112"/>
    <w:rsid w:val="00183ADF"/>
    <w:rsid w:val="00184A3D"/>
    <w:rsid w:val="00186066"/>
    <w:rsid w:val="00186FDA"/>
    <w:rsid w:val="0019107F"/>
    <w:rsid w:val="00191D91"/>
    <w:rsid w:val="00192BCD"/>
    <w:rsid w:val="00197B7F"/>
    <w:rsid w:val="001A2A57"/>
    <w:rsid w:val="001B549E"/>
    <w:rsid w:val="001B715B"/>
    <w:rsid w:val="001C078D"/>
    <w:rsid w:val="001C1BBF"/>
    <w:rsid w:val="001C1DE4"/>
    <w:rsid w:val="001C70F2"/>
    <w:rsid w:val="001D1B69"/>
    <w:rsid w:val="001D1EA4"/>
    <w:rsid w:val="001D2C5C"/>
    <w:rsid w:val="001E26EA"/>
    <w:rsid w:val="001E6DD0"/>
    <w:rsid w:val="001F0AFF"/>
    <w:rsid w:val="0020131D"/>
    <w:rsid w:val="00205E9F"/>
    <w:rsid w:val="00210710"/>
    <w:rsid w:val="00214BDD"/>
    <w:rsid w:val="002165AE"/>
    <w:rsid w:val="00220885"/>
    <w:rsid w:val="00220CA5"/>
    <w:rsid w:val="00221C86"/>
    <w:rsid w:val="002232E3"/>
    <w:rsid w:val="002269E8"/>
    <w:rsid w:val="00230819"/>
    <w:rsid w:val="00233149"/>
    <w:rsid w:val="0023350C"/>
    <w:rsid w:val="00237EE3"/>
    <w:rsid w:val="002400EA"/>
    <w:rsid w:val="00244599"/>
    <w:rsid w:val="002459C4"/>
    <w:rsid w:val="00247350"/>
    <w:rsid w:val="00253227"/>
    <w:rsid w:val="00255D58"/>
    <w:rsid w:val="002660BB"/>
    <w:rsid w:val="002763AB"/>
    <w:rsid w:val="00280A75"/>
    <w:rsid w:val="00283000"/>
    <w:rsid w:val="002842A7"/>
    <w:rsid w:val="00290B96"/>
    <w:rsid w:val="0029322F"/>
    <w:rsid w:val="002A0013"/>
    <w:rsid w:val="002A1E0E"/>
    <w:rsid w:val="002B5CBE"/>
    <w:rsid w:val="002C3CF5"/>
    <w:rsid w:val="002C3E82"/>
    <w:rsid w:val="002C75D9"/>
    <w:rsid w:val="002D6EEE"/>
    <w:rsid w:val="002E33F2"/>
    <w:rsid w:val="002E6ECF"/>
    <w:rsid w:val="002F0E7A"/>
    <w:rsid w:val="002F1436"/>
    <w:rsid w:val="002F31E6"/>
    <w:rsid w:val="002F5C9F"/>
    <w:rsid w:val="002F61A9"/>
    <w:rsid w:val="00300008"/>
    <w:rsid w:val="00301913"/>
    <w:rsid w:val="003047DD"/>
    <w:rsid w:val="00304E9F"/>
    <w:rsid w:val="00307FFE"/>
    <w:rsid w:val="00310530"/>
    <w:rsid w:val="003105FE"/>
    <w:rsid w:val="0032000C"/>
    <w:rsid w:val="00320023"/>
    <w:rsid w:val="00321BD5"/>
    <w:rsid w:val="00321C0E"/>
    <w:rsid w:val="00331FDF"/>
    <w:rsid w:val="003343E6"/>
    <w:rsid w:val="00336E00"/>
    <w:rsid w:val="003403CE"/>
    <w:rsid w:val="00340826"/>
    <w:rsid w:val="00341F99"/>
    <w:rsid w:val="003448FA"/>
    <w:rsid w:val="00345056"/>
    <w:rsid w:val="00345967"/>
    <w:rsid w:val="00356326"/>
    <w:rsid w:val="003678BF"/>
    <w:rsid w:val="003720C0"/>
    <w:rsid w:val="00372B07"/>
    <w:rsid w:val="00374A8A"/>
    <w:rsid w:val="003751AD"/>
    <w:rsid w:val="003827FC"/>
    <w:rsid w:val="00384F17"/>
    <w:rsid w:val="00387322"/>
    <w:rsid w:val="0039406C"/>
    <w:rsid w:val="003A07F5"/>
    <w:rsid w:val="003A0992"/>
    <w:rsid w:val="003A109E"/>
    <w:rsid w:val="003A1C38"/>
    <w:rsid w:val="003A389B"/>
    <w:rsid w:val="003A3B7C"/>
    <w:rsid w:val="003A5EFF"/>
    <w:rsid w:val="003B32E1"/>
    <w:rsid w:val="003B4479"/>
    <w:rsid w:val="003C4D4A"/>
    <w:rsid w:val="003C5394"/>
    <w:rsid w:val="003D1D80"/>
    <w:rsid w:val="003D4C8C"/>
    <w:rsid w:val="003E068F"/>
    <w:rsid w:val="003E3779"/>
    <w:rsid w:val="003E3C8A"/>
    <w:rsid w:val="003E5291"/>
    <w:rsid w:val="003F0605"/>
    <w:rsid w:val="00405AD5"/>
    <w:rsid w:val="004105A7"/>
    <w:rsid w:val="0041087F"/>
    <w:rsid w:val="00412843"/>
    <w:rsid w:val="00413A7C"/>
    <w:rsid w:val="00420AE0"/>
    <w:rsid w:val="004214B4"/>
    <w:rsid w:val="00421DCA"/>
    <w:rsid w:val="00430CFD"/>
    <w:rsid w:val="00430F1D"/>
    <w:rsid w:val="004371A4"/>
    <w:rsid w:val="00447489"/>
    <w:rsid w:val="00453CFF"/>
    <w:rsid w:val="004562B3"/>
    <w:rsid w:val="00457BC7"/>
    <w:rsid w:val="0046079D"/>
    <w:rsid w:val="00462A31"/>
    <w:rsid w:val="00463EAA"/>
    <w:rsid w:val="004657ED"/>
    <w:rsid w:val="00466157"/>
    <w:rsid w:val="004671A4"/>
    <w:rsid w:val="004703FE"/>
    <w:rsid w:val="0047328B"/>
    <w:rsid w:val="00475623"/>
    <w:rsid w:val="00475EA5"/>
    <w:rsid w:val="00476304"/>
    <w:rsid w:val="00482133"/>
    <w:rsid w:val="004866A5"/>
    <w:rsid w:val="004937B7"/>
    <w:rsid w:val="00496872"/>
    <w:rsid w:val="004A4537"/>
    <w:rsid w:val="004A7B0D"/>
    <w:rsid w:val="004B7DE4"/>
    <w:rsid w:val="004C0351"/>
    <w:rsid w:val="004C47D0"/>
    <w:rsid w:val="004C5405"/>
    <w:rsid w:val="004D6799"/>
    <w:rsid w:val="004D69BC"/>
    <w:rsid w:val="004E508C"/>
    <w:rsid w:val="004E7C84"/>
    <w:rsid w:val="004F3AA2"/>
    <w:rsid w:val="005005F2"/>
    <w:rsid w:val="005018D0"/>
    <w:rsid w:val="0050277D"/>
    <w:rsid w:val="00504557"/>
    <w:rsid w:val="00504C50"/>
    <w:rsid w:val="00505D0E"/>
    <w:rsid w:val="005318A4"/>
    <w:rsid w:val="00532CBF"/>
    <w:rsid w:val="00533841"/>
    <w:rsid w:val="005350B6"/>
    <w:rsid w:val="00540490"/>
    <w:rsid w:val="00545BC1"/>
    <w:rsid w:val="005460CF"/>
    <w:rsid w:val="00546E0D"/>
    <w:rsid w:val="005536D2"/>
    <w:rsid w:val="005567C9"/>
    <w:rsid w:val="005614BC"/>
    <w:rsid w:val="00570134"/>
    <w:rsid w:val="0058515D"/>
    <w:rsid w:val="005904D4"/>
    <w:rsid w:val="005A0BB8"/>
    <w:rsid w:val="005A3BE5"/>
    <w:rsid w:val="005A70AB"/>
    <w:rsid w:val="005B1993"/>
    <w:rsid w:val="005B3BA7"/>
    <w:rsid w:val="005B4010"/>
    <w:rsid w:val="005B53D7"/>
    <w:rsid w:val="005B54A9"/>
    <w:rsid w:val="005B7A7D"/>
    <w:rsid w:val="005C0B14"/>
    <w:rsid w:val="005C1F39"/>
    <w:rsid w:val="005C503E"/>
    <w:rsid w:val="005C7C98"/>
    <w:rsid w:val="005E1329"/>
    <w:rsid w:val="005E1F16"/>
    <w:rsid w:val="005E44E9"/>
    <w:rsid w:val="005E547E"/>
    <w:rsid w:val="005E5D59"/>
    <w:rsid w:val="005F07CC"/>
    <w:rsid w:val="00600659"/>
    <w:rsid w:val="0060110D"/>
    <w:rsid w:val="006047CC"/>
    <w:rsid w:val="00605CD6"/>
    <w:rsid w:val="00607410"/>
    <w:rsid w:val="00607A18"/>
    <w:rsid w:val="006105C8"/>
    <w:rsid w:val="00611E42"/>
    <w:rsid w:val="006136A9"/>
    <w:rsid w:val="0062054B"/>
    <w:rsid w:val="006231EC"/>
    <w:rsid w:val="00623328"/>
    <w:rsid w:val="006261A3"/>
    <w:rsid w:val="00626748"/>
    <w:rsid w:val="00631283"/>
    <w:rsid w:val="006313E6"/>
    <w:rsid w:val="00631D6E"/>
    <w:rsid w:val="00633E24"/>
    <w:rsid w:val="00635600"/>
    <w:rsid w:val="00636C61"/>
    <w:rsid w:val="00637095"/>
    <w:rsid w:val="0064027F"/>
    <w:rsid w:val="0064109D"/>
    <w:rsid w:val="006451F5"/>
    <w:rsid w:val="006502BF"/>
    <w:rsid w:val="00651D7B"/>
    <w:rsid w:val="00656213"/>
    <w:rsid w:val="00660027"/>
    <w:rsid w:val="00662876"/>
    <w:rsid w:val="00664E4F"/>
    <w:rsid w:val="00674A1E"/>
    <w:rsid w:val="006848BE"/>
    <w:rsid w:val="00692A31"/>
    <w:rsid w:val="00696302"/>
    <w:rsid w:val="006A1127"/>
    <w:rsid w:val="006A151E"/>
    <w:rsid w:val="006A1F66"/>
    <w:rsid w:val="006A671A"/>
    <w:rsid w:val="006B13C8"/>
    <w:rsid w:val="006C0799"/>
    <w:rsid w:val="006C63A6"/>
    <w:rsid w:val="006D1934"/>
    <w:rsid w:val="006E288D"/>
    <w:rsid w:val="006E4064"/>
    <w:rsid w:val="006F62C9"/>
    <w:rsid w:val="006F6492"/>
    <w:rsid w:val="006F7011"/>
    <w:rsid w:val="00700C4B"/>
    <w:rsid w:val="0070201A"/>
    <w:rsid w:val="00702F2C"/>
    <w:rsid w:val="00705094"/>
    <w:rsid w:val="00705AFE"/>
    <w:rsid w:val="00713D79"/>
    <w:rsid w:val="00714734"/>
    <w:rsid w:val="007147D0"/>
    <w:rsid w:val="0071785C"/>
    <w:rsid w:val="00725696"/>
    <w:rsid w:val="00732F31"/>
    <w:rsid w:val="00733639"/>
    <w:rsid w:val="00740BC7"/>
    <w:rsid w:val="00741206"/>
    <w:rsid w:val="007413A2"/>
    <w:rsid w:val="00747315"/>
    <w:rsid w:val="00750A8E"/>
    <w:rsid w:val="00753B3B"/>
    <w:rsid w:val="00753D99"/>
    <w:rsid w:val="0075506E"/>
    <w:rsid w:val="007561E2"/>
    <w:rsid w:val="00766805"/>
    <w:rsid w:val="007836CF"/>
    <w:rsid w:val="0078371B"/>
    <w:rsid w:val="0078393A"/>
    <w:rsid w:val="00790401"/>
    <w:rsid w:val="0079141E"/>
    <w:rsid w:val="00791B92"/>
    <w:rsid w:val="00793240"/>
    <w:rsid w:val="007A5954"/>
    <w:rsid w:val="007B4CD2"/>
    <w:rsid w:val="007B5E35"/>
    <w:rsid w:val="007B661D"/>
    <w:rsid w:val="007B68EF"/>
    <w:rsid w:val="007B793E"/>
    <w:rsid w:val="007C623E"/>
    <w:rsid w:val="007D1336"/>
    <w:rsid w:val="007D3D7A"/>
    <w:rsid w:val="007D603E"/>
    <w:rsid w:val="007D6DF0"/>
    <w:rsid w:val="007E1087"/>
    <w:rsid w:val="007E316A"/>
    <w:rsid w:val="007E48F2"/>
    <w:rsid w:val="007F6CF6"/>
    <w:rsid w:val="0080219D"/>
    <w:rsid w:val="0080633E"/>
    <w:rsid w:val="0080781C"/>
    <w:rsid w:val="00816248"/>
    <w:rsid w:val="00816783"/>
    <w:rsid w:val="00816E24"/>
    <w:rsid w:val="0082130F"/>
    <w:rsid w:val="00831662"/>
    <w:rsid w:val="00842A11"/>
    <w:rsid w:val="008437E1"/>
    <w:rsid w:val="008505E4"/>
    <w:rsid w:val="008568A0"/>
    <w:rsid w:val="00857A67"/>
    <w:rsid w:val="00865B0D"/>
    <w:rsid w:val="00874ECA"/>
    <w:rsid w:val="00880DF4"/>
    <w:rsid w:val="0088723A"/>
    <w:rsid w:val="008911FE"/>
    <w:rsid w:val="008927E9"/>
    <w:rsid w:val="008957DE"/>
    <w:rsid w:val="008A234C"/>
    <w:rsid w:val="008A6127"/>
    <w:rsid w:val="008B4612"/>
    <w:rsid w:val="008C0809"/>
    <w:rsid w:val="008C2DD7"/>
    <w:rsid w:val="008C3A3B"/>
    <w:rsid w:val="008C6795"/>
    <w:rsid w:val="008D0120"/>
    <w:rsid w:val="008D31E0"/>
    <w:rsid w:val="008D4E56"/>
    <w:rsid w:val="008D63C4"/>
    <w:rsid w:val="008D64F3"/>
    <w:rsid w:val="008F2E43"/>
    <w:rsid w:val="008F359B"/>
    <w:rsid w:val="008F51C5"/>
    <w:rsid w:val="008F7D0F"/>
    <w:rsid w:val="00903E8F"/>
    <w:rsid w:val="00907C9F"/>
    <w:rsid w:val="00907D75"/>
    <w:rsid w:val="0091001C"/>
    <w:rsid w:val="00910A58"/>
    <w:rsid w:val="00915A8A"/>
    <w:rsid w:val="009161FD"/>
    <w:rsid w:val="00916A96"/>
    <w:rsid w:val="00916D59"/>
    <w:rsid w:val="00921607"/>
    <w:rsid w:val="00934123"/>
    <w:rsid w:val="00935BCE"/>
    <w:rsid w:val="00936364"/>
    <w:rsid w:val="00937577"/>
    <w:rsid w:val="00942660"/>
    <w:rsid w:val="00951C54"/>
    <w:rsid w:val="00952182"/>
    <w:rsid w:val="009573AC"/>
    <w:rsid w:val="009618C8"/>
    <w:rsid w:val="00961EB5"/>
    <w:rsid w:val="009850FF"/>
    <w:rsid w:val="0099384C"/>
    <w:rsid w:val="009946BC"/>
    <w:rsid w:val="0099767F"/>
    <w:rsid w:val="009A088B"/>
    <w:rsid w:val="009A7C9D"/>
    <w:rsid w:val="009B1B26"/>
    <w:rsid w:val="009B798A"/>
    <w:rsid w:val="009C0A6C"/>
    <w:rsid w:val="009C48BC"/>
    <w:rsid w:val="009C6D46"/>
    <w:rsid w:val="009D13BD"/>
    <w:rsid w:val="009D2E06"/>
    <w:rsid w:val="009D5132"/>
    <w:rsid w:val="009D6CD8"/>
    <w:rsid w:val="009E6200"/>
    <w:rsid w:val="009E66B1"/>
    <w:rsid w:val="009E6CE6"/>
    <w:rsid w:val="009F2B8D"/>
    <w:rsid w:val="009F7CE4"/>
    <w:rsid w:val="00A005DC"/>
    <w:rsid w:val="00A03CB3"/>
    <w:rsid w:val="00A06893"/>
    <w:rsid w:val="00A071D7"/>
    <w:rsid w:val="00A1184E"/>
    <w:rsid w:val="00A13DB2"/>
    <w:rsid w:val="00A22DEE"/>
    <w:rsid w:val="00A22F9B"/>
    <w:rsid w:val="00A2740C"/>
    <w:rsid w:val="00A32576"/>
    <w:rsid w:val="00A35A7B"/>
    <w:rsid w:val="00A362D3"/>
    <w:rsid w:val="00A37029"/>
    <w:rsid w:val="00A3702F"/>
    <w:rsid w:val="00A37316"/>
    <w:rsid w:val="00A37E23"/>
    <w:rsid w:val="00A51829"/>
    <w:rsid w:val="00A521C5"/>
    <w:rsid w:val="00A52D74"/>
    <w:rsid w:val="00A56C7B"/>
    <w:rsid w:val="00A57B6C"/>
    <w:rsid w:val="00A64306"/>
    <w:rsid w:val="00A64CB8"/>
    <w:rsid w:val="00A71020"/>
    <w:rsid w:val="00A72FA9"/>
    <w:rsid w:val="00A82888"/>
    <w:rsid w:val="00A8759A"/>
    <w:rsid w:val="00A92F2F"/>
    <w:rsid w:val="00A9639F"/>
    <w:rsid w:val="00AA103E"/>
    <w:rsid w:val="00AA5CD1"/>
    <w:rsid w:val="00AA7E1F"/>
    <w:rsid w:val="00AB14E6"/>
    <w:rsid w:val="00AB1697"/>
    <w:rsid w:val="00AB6440"/>
    <w:rsid w:val="00AC11B0"/>
    <w:rsid w:val="00AC1944"/>
    <w:rsid w:val="00AC7B71"/>
    <w:rsid w:val="00AD5FD8"/>
    <w:rsid w:val="00AD64AA"/>
    <w:rsid w:val="00AE3F05"/>
    <w:rsid w:val="00AE54EF"/>
    <w:rsid w:val="00AE7806"/>
    <w:rsid w:val="00B103C3"/>
    <w:rsid w:val="00B14A46"/>
    <w:rsid w:val="00B25E23"/>
    <w:rsid w:val="00B309CA"/>
    <w:rsid w:val="00B30B0C"/>
    <w:rsid w:val="00B31DD7"/>
    <w:rsid w:val="00B33ECF"/>
    <w:rsid w:val="00B373FD"/>
    <w:rsid w:val="00B37B3C"/>
    <w:rsid w:val="00B40AE9"/>
    <w:rsid w:val="00B45B83"/>
    <w:rsid w:val="00B5013E"/>
    <w:rsid w:val="00B5202F"/>
    <w:rsid w:val="00B52A31"/>
    <w:rsid w:val="00B55CC8"/>
    <w:rsid w:val="00B56717"/>
    <w:rsid w:val="00B652CB"/>
    <w:rsid w:val="00B70856"/>
    <w:rsid w:val="00B71FDE"/>
    <w:rsid w:val="00B72EFD"/>
    <w:rsid w:val="00B7394B"/>
    <w:rsid w:val="00B8219B"/>
    <w:rsid w:val="00B842A1"/>
    <w:rsid w:val="00B84CCD"/>
    <w:rsid w:val="00B85A22"/>
    <w:rsid w:val="00B91E2F"/>
    <w:rsid w:val="00B94465"/>
    <w:rsid w:val="00B94EB0"/>
    <w:rsid w:val="00B97B3B"/>
    <w:rsid w:val="00BA0C9C"/>
    <w:rsid w:val="00BA685B"/>
    <w:rsid w:val="00BB2773"/>
    <w:rsid w:val="00BB3EB3"/>
    <w:rsid w:val="00BB4091"/>
    <w:rsid w:val="00BB4ABE"/>
    <w:rsid w:val="00BB5B5C"/>
    <w:rsid w:val="00BB70C6"/>
    <w:rsid w:val="00BC52A2"/>
    <w:rsid w:val="00BC71D0"/>
    <w:rsid w:val="00BC73A0"/>
    <w:rsid w:val="00BD36B8"/>
    <w:rsid w:val="00BD58BC"/>
    <w:rsid w:val="00BE259C"/>
    <w:rsid w:val="00BE2C0E"/>
    <w:rsid w:val="00BE6E85"/>
    <w:rsid w:val="00BF6366"/>
    <w:rsid w:val="00BF7A36"/>
    <w:rsid w:val="00BF7DF5"/>
    <w:rsid w:val="00C00086"/>
    <w:rsid w:val="00C00330"/>
    <w:rsid w:val="00C20E1A"/>
    <w:rsid w:val="00C23C97"/>
    <w:rsid w:val="00C32D49"/>
    <w:rsid w:val="00C3420B"/>
    <w:rsid w:val="00C3541E"/>
    <w:rsid w:val="00C46EA8"/>
    <w:rsid w:val="00C54011"/>
    <w:rsid w:val="00C62F22"/>
    <w:rsid w:val="00C762D3"/>
    <w:rsid w:val="00C76739"/>
    <w:rsid w:val="00C80336"/>
    <w:rsid w:val="00C863A1"/>
    <w:rsid w:val="00C87345"/>
    <w:rsid w:val="00C92A8E"/>
    <w:rsid w:val="00CA0CBE"/>
    <w:rsid w:val="00CA1A0F"/>
    <w:rsid w:val="00CA263E"/>
    <w:rsid w:val="00CA29C9"/>
    <w:rsid w:val="00CA3D5D"/>
    <w:rsid w:val="00CA52BB"/>
    <w:rsid w:val="00CB01E0"/>
    <w:rsid w:val="00CB27C5"/>
    <w:rsid w:val="00CB34D9"/>
    <w:rsid w:val="00CB497A"/>
    <w:rsid w:val="00CB6F6B"/>
    <w:rsid w:val="00CC04C1"/>
    <w:rsid w:val="00CC21DF"/>
    <w:rsid w:val="00CC32B3"/>
    <w:rsid w:val="00CC7700"/>
    <w:rsid w:val="00CD04A4"/>
    <w:rsid w:val="00CD115B"/>
    <w:rsid w:val="00CD4877"/>
    <w:rsid w:val="00CD4CA5"/>
    <w:rsid w:val="00CD65C2"/>
    <w:rsid w:val="00CE2678"/>
    <w:rsid w:val="00CE4759"/>
    <w:rsid w:val="00CE6BB1"/>
    <w:rsid w:val="00CF2667"/>
    <w:rsid w:val="00CF28F9"/>
    <w:rsid w:val="00D03626"/>
    <w:rsid w:val="00D07F3B"/>
    <w:rsid w:val="00D1014C"/>
    <w:rsid w:val="00D12A07"/>
    <w:rsid w:val="00D14314"/>
    <w:rsid w:val="00D15EF1"/>
    <w:rsid w:val="00D1643A"/>
    <w:rsid w:val="00D169AB"/>
    <w:rsid w:val="00D16F1E"/>
    <w:rsid w:val="00D2133B"/>
    <w:rsid w:val="00D276CF"/>
    <w:rsid w:val="00D35C09"/>
    <w:rsid w:val="00D36DFF"/>
    <w:rsid w:val="00D40781"/>
    <w:rsid w:val="00D42DAB"/>
    <w:rsid w:val="00D455C0"/>
    <w:rsid w:val="00D4580D"/>
    <w:rsid w:val="00D45B58"/>
    <w:rsid w:val="00D46943"/>
    <w:rsid w:val="00D46A8C"/>
    <w:rsid w:val="00D47510"/>
    <w:rsid w:val="00D50DB2"/>
    <w:rsid w:val="00D60AEF"/>
    <w:rsid w:val="00D86114"/>
    <w:rsid w:val="00D910C3"/>
    <w:rsid w:val="00D92817"/>
    <w:rsid w:val="00D92B87"/>
    <w:rsid w:val="00D973AF"/>
    <w:rsid w:val="00DA61E8"/>
    <w:rsid w:val="00DB13D5"/>
    <w:rsid w:val="00DB18EB"/>
    <w:rsid w:val="00DB2EAC"/>
    <w:rsid w:val="00DB49AD"/>
    <w:rsid w:val="00DB4F24"/>
    <w:rsid w:val="00DB6CDA"/>
    <w:rsid w:val="00DC1A9E"/>
    <w:rsid w:val="00DC4DEA"/>
    <w:rsid w:val="00DC7187"/>
    <w:rsid w:val="00DD3088"/>
    <w:rsid w:val="00DE00CE"/>
    <w:rsid w:val="00DE467F"/>
    <w:rsid w:val="00DF0D32"/>
    <w:rsid w:val="00E0113F"/>
    <w:rsid w:val="00E02F2D"/>
    <w:rsid w:val="00E03BE2"/>
    <w:rsid w:val="00E15B2F"/>
    <w:rsid w:val="00E24377"/>
    <w:rsid w:val="00E24821"/>
    <w:rsid w:val="00E2590B"/>
    <w:rsid w:val="00E272ED"/>
    <w:rsid w:val="00E27CBB"/>
    <w:rsid w:val="00E300BD"/>
    <w:rsid w:val="00E30470"/>
    <w:rsid w:val="00E46E7A"/>
    <w:rsid w:val="00E4752C"/>
    <w:rsid w:val="00E52601"/>
    <w:rsid w:val="00E5639C"/>
    <w:rsid w:val="00E63004"/>
    <w:rsid w:val="00E6333A"/>
    <w:rsid w:val="00E64163"/>
    <w:rsid w:val="00E725BB"/>
    <w:rsid w:val="00E733B3"/>
    <w:rsid w:val="00E74F15"/>
    <w:rsid w:val="00E7561F"/>
    <w:rsid w:val="00E855F7"/>
    <w:rsid w:val="00E907A6"/>
    <w:rsid w:val="00E907EA"/>
    <w:rsid w:val="00E9739E"/>
    <w:rsid w:val="00EA060A"/>
    <w:rsid w:val="00EA5FDE"/>
    <w:rsid w:val="00EB5531"/>
    <w:rsid w:val="00EB6603"/>
    <w:rsid w:val="00EB673A"/>
    <w:rsid w:val="00EC0870"/>
    <w:rsid w:val="00EC465F"/>
    <w:rsid w:val="00ED3B3C"/>
    <w:rsid w:val="00ED5272"/>
    <w:rsid w:val="00EE16F3"/>
    <w:rsid w:val="00EE18F1"/>
    <w:rsid w:val="00EE2440"/>
    <w:rsid w:val="00EE5E78"/>
    <w:rsid w:val="00EE64A7"/>
    <w:rsid w:val="00EF3CE5"/>
    <w:rsid w:val="00EF5A87"/>
    <w:rsid w:val="00EF6A06"/>
    <w:rsid w:val="00F01B70"/>
    <w:rsid w:val="00F03ED6"/>
    <w:rsid w:val="00F07117"/>
    <w:rsid w:val="00F10263"/>
    <w:rsid w:val="00F10EEA"/>
    <w:rsid w:val="00F14622"/>
    <w:rsid w:val="00F16240"/>
    <w:rsid w:val="00F207E1"/>
    <w:rsid w:val="00F26E50"/>
    <w:rsid w:val="00F31A17"/>
    <w:rsid w:val="00F36C97"/>
    <w:rsid w:val="00F42E2D"/>
    <w:rsid w:val="00F44B06"/>
    <w:rsid w:val="00F52400"/>
    <w:rsid w:val="00F54B7B"/>
    <w:rsid w:val="00F57869"/>
    <w:rsid w:val="00F63981"/>
    <w:rsid w:val="00F6534A"/>
    <w:rsid w:val="00F76C77"/>
    <w:rsid w:val="00F8237A"/>
    <w:rsid w:val="00F858DE"/>
    <w:rsid w:val="00FA14D7"/>
    <w:rsid w:val="00FA1EE7"/>
    <w:rsid w:val="00FA2C70"/>
    <w:rsid w:val="00FA35A5"/>
    <w:rsid w:val="00FB6A5E"/>
    <w:rsid w:val="00FC0BA5"/>
    <w:rsid w:val="00FC1306"/>
    <w:rsid w:val="00FC2F49"/>
    <w:rsid w:val="00FC6409"/>
    <w:rsid w:val="00FD129E"/>
    <w:rsid w:val="00FD1870"/>
    <w:rsid w:val="00FD1F08"/>
    <w:rsid w:val="00FE00DA"/>
    <w:rsid w:val="00FE32B5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42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2D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E2D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F42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2E2D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F42E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E2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E2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2E2D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hiddengrammarerror">
    <w:name w:val="hiddengrammarerror"/>
    <w:basedOn w:val="Domylnaczcionkaakapitu"/>
    <w:rsid w:val="00F42E2D"/>
  </w:style>
  <w:style w:type="paragraph" w:styleId="Tekstdymka">
    <w:name w:val="Balloon Text"/>
    <w:basedOn w:val="Normalny"/>
    <w:link w:val="TekstdymkaZnak"/>
    <w:uiPriority w:val="99"/>
    <w:semiHidden/>
    <w:unhideWhenUsed/>
    <w:rsid w:val="00997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7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C77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23E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23E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F22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2D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E2D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F42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2E2D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F42E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E2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E2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2E2D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hiddengrammarerror">
    <w:name w:val="hiddengrammarerror"/>
    <w:basedOn w:val="Domylnaczcionkaakapitu"/>
    <w:rsid w:val="00F42E2D"/>
  </w:style>
  <w:style w:type="paragraph" w:styleId="Tekstdymka">
    <w:name w:val="Balloon Text"/>
    <w:basedOn w:val="Normalny"/>
    <w:link w:val="TekstdymkaZnak"/>
    <w:uiPriority w:val="99"/>
    <w:semiHidden/>
    <w:unhideWhenUsed/>
    <w:rsid w:val="00997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7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C77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23E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23E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F22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na.Borowiecka@bi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ina.Kochalska@bi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erbiz.se.pl/wiadomosci/black-friday-2019-nie-daj-sie-nabrac-na-falszywe-promocje-aa-CKBZ-CoCS-GpYJ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72B5-F48A-4604-AB62-8859FA48BA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14B329-0684-41B5-A71E-710E42B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11</cp:revision>
  <dcterms:created xsi:type="dcterms:W3CDTF">2019-11-27T22:01:00Z</dcterms:created>
  <dcterms:modified xsi:type="dcterms:W3CDTF">2019-11-29T09:06:00Z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da950f67-f8cc-408e-ac64-d60f68f3dd5b</vt:lpwstr>
  </property>
  <property fmtid="{D5CDD505-2E9C-101B-9397-08002B2CF9AE}" pid="3" name="bjSaver">
    <vt:lpwstr>Uyg5cqlL/oeCZ3k668DLYQWGQzJQEVcG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