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C33A" w14:textId="2A67BF27" w:rsidR="00C96E3A" w:rsidRPr="00AC5E00" w:rsidRDefault="00C96E3A" w:rsidP="00C96E3A">
      <w:pPr>
        <w:spacing w:line="252" w:lineRule="auto"/>
        <w:rPr>
          <w:rFonts w:cstheme="minorHAnsi"/>
          <w:b/>
          <w:sz w:val="18"/>
          <w:szCs w:val="18"/>
        </w:rPr>
      </w:pPr>
    </w:p>
    <w:p w14:paraId="59086C4C" w14:textId="3EA8D073" w:rsidR="009D66E3" w:rsidRPr="00AC5E00" w:rsidRDefault="00793947" w:rsidP="009D66E3">
      <w:pPr>
        <w:jc w:val="both"/>
        <w:rPr>
          <w:b/>
          <w:bCs/>
          <w:sz w:val="28"/>
          <w:szCs w:val="28"/>
        </w:rPr>
      </w:pPr>
      <w:r w:rsidRPr="00AC5E00">
        <w:rPr>
          <w:b/>
          <w:bCs/>
          <w:sz w:val="28"/>
          <w:szCs w:val="28"/>
        </w:rPr>
        <w:t>Santander Bank Polska z najlepszą zdalną obsługą klienta.</w:t>
      </w:r>
      <w:r w:rsidR="0011719E" w:rsidRPr="00AC5E00">
        <w:rPr>
          <w:b/>
          <w:bCs/>
          <w:sz w:val="28"/>
          <w:szCs w:val="28"/>
        </w:rPr>
        <w:t xml:space="preserve"> Bankowy Fundusz Gwarancyjny nawet do 200 tys. euro.</w:t>
      </w:r>
    </w:p>
    <w:p w14:paraId="332F9745" w14:textId="77777777" w:rsidR="009D66E3" w:rsidRPr="00AC5E00" w:rsidRDefault="009D66E3" w:rsidP="009D66E3">
      <w:pPr>
        <w:jc w:val="both"/>
        <w:rPr>
          <w:b/>
          <w:bCs/>
        </w:rPr>
      </w:pPr>
    </w:p>
    <w:p w14:paraId="43CB0EFA" w14:textId="1AED0612" w:rsidR="009D66E3" w:rsidRPr="00AC5E00" w:rsidRDefault="009D66E3" w:rsidP="009D66E3">
      <w:pPr>
        <w:jc w:val="both"/>
      </w:pPr>
      <w:r w:rsidRPr="00AC5E00">
        <w:rPr>
          <w:b/>
          <w:bCs/>
        </w:rPr>
        <w:t xml:space="preserve">W </w:t>
      </w:r>
      <w:r w:rsidR="001E34D5" w:rsidRPr="00AC5E00">
        <w:rPr>
          <w:b/>
          <w:bCs/>
        </w:rPr>
        <w:t xml:space="preserve">październiku i listopadzie </w:t>
      </w:r>
      <w:r w:rsidRPr="00AC5E00">
        <w:rPr>
          <w:b/>
          <w:bCs/>
        </w:rPr>
        <w:t xml:space="preserve">br. w ramach </w:t>
      </w:r>
      <w:r w:rsidR="001E34D5" w:rsidRPr="00AC5E00">
        <w:rPr>
          <w:b/>
          <w:bCs/>
        </w:rPr>
        <w:t>3</w:t>
      </w:r>
      <w:r w:rsidRPr="00AC5E00">
        <w:rPr>
          <w:b/>
          <w:bCs/>
        </w:rPr>
        <w:t xml:space="preserve">. w tym roku fali badania  w 16 bankach sprawdziliśmy, jak wygląda obsługa w kanałach zdalnych klienta zainteresowanego </w:t>
      </w:r>
      <w:r w:rsidR="001E34D5" w:rsidRPr="00AC5E00">
        <w:rPr>
          <w:b/>
          <w:bCs/>
        </w:rPr>
        <w:t xml:space="preserve">produktami oszczędnościowymi. </w:t>
      </w:r>
      <w:r w:rsidRPr="00AC5E00">
        <w:rPr>
          <w:b/>
          <w:bCs/>
        </w:rPr>
        <w:t xml:space="preserve">To już 5. roczna edycja projektu Instytucja Roku, w ramach którego w </w:t>
      </w:r>
      <w:r w:rsidR="001E34D5" w:rsidRPr="00AC5E00">
        <w:rPr>
          <w:b/>
          <w:bCs/>
        </w:rPr>
        <w:t xml:space="preserve">pierwszym kwartale </w:t>
      </w:r>
      <w:r w:rsidRPr="00AC5E00">
        <w:rPr>
          <w:b/>
          <w:bCs/>
        </w:rPr>
        <w:t>2020 r. wyłonimy zwycięzców w kategorii Najlepsza jakość obsługi klienta w kanałach zdalnych.</w:t>
      </w:r>
    </w:p>
    <w:p w14:paraId="600A6FA6" w14:textId="77777777" w:rsidR="009D66E3" w:rsidRPr="00AC5E00" w:rsidRDefault="009D66E3" w:rsidP="009D66E3">
      <w:pPr>
        <w:jc w:val="both"/>
      </w:pPr>
      <w:r w:rsidRPr="00AC5E00">
        <w:t>Badanie przeprowadzono w tradycyjnej eksperckiej formule oceniając 3 etapy: dostępne formy kontaktu, kontakt telefoniczny oraz kontakt wybranymi pozostałymi kanałami kontaktu (czat, wideo, e-mail/formularz kontaktowy). Eksperci wykonali łącznie 430 kontaktów telefonicznych, e-mailowych, czat oraz wideo. Tytuł Instytucji Roku 2019 otrzymają te banki, których średni wynik z 4 fal badania wyniesie min. 80%.</w:t>
      </w:r>
    </w:p>
    <w:p w14:paraId="0B6A238D" w14:textId="3E131DD5" w:rsidR="009D66E3" w:rsidRPr="00AC5E00" w:rsidRDefault="009D66E3" w:rsidP="009D66E3">
      <w:pPr>
        <w:jc w:val="both"/>
      </w:pPr>
      <w:r w:rsidRPr="00AC5E00">
        <w:rPr>
          <w:b/>
          <w:bCs/>
        </w:rPr>
        <w:t xml:space="preserve">Liderem w zakresie jakości obsługi tej edycji badania jest </w:t>
      </w:r>
      <w:r w:rsidR="001E34D5" w:rsidRPr="00AC5E00">
        <w:rPr>
          <w:b/>
          <w:bCs/>
        </w:rPr>
        <w:t xml:space="preserve">Santander Bank Polska, </w:t>
      </w:r>
      <w:r w:rsidR="00D35F83" w:rsidRPr="00AC5E00">
        <w:rPr>
          <w:b/>
          <w:bCs/>
        </w:rPr>
        <w:t xml:space="preserve">zaraz za nim </w:t>
      </w:r>
      <w:r w:rsidR="001E34D5" w:rsidRPr="00AC5E00">
        <w:rPr>
          <w:b/>
          <w:bCs/>
        </w:rPr>
        <w:t xml:space="preserve">Getin Bank oraz  </w:t>
      </w:r>
      <w:r w:rsidRPr="00AC5E00">
        <w:rPr>
          <w:b/>
          <w:bCs/>
        </w:rPr>
        <w:t>Bank Millennium</w:t>
      </w:r>
      <w:r w:rsidR="001E34D5" w:rsidRPr="00AC5E00">
        <w:rPr>
          <w:b/>
          <w:bCs/>
        </w:rPr>
        <w:t xml:space="preserve">. W pierwszej lidze z wynikiem powyżej 80% </w:t>
      </w:r>
      <w:r w:rsidRPr="00AC5E00">
        <w:rPr>
          <w:b/>
          <w:bCs/>
        </w:rPr>
        <w:t>uplasowały się</w:t>
      </w:r>
      <w:r w:rsidR="001E34D5" w:rsidRPr="00AC5E00">
        <w:rPr>
          <w:b/>
          <w:bCs/>
        </w:rPr>
        <w:t xml:space="preserve"> również</w:t>
      </w:r>
      <w:r w:rsidRPr="00AC5E00">
        <w:rPr>
          <w:b/>
          <w:bCs/>
        </w:rPr>
        <w:t>:</w:t>
      </w:r>
      <w:r w:rsidR="001E34D5" w:rsidRPr="00AC5E00">
        <w:rPr>
          <w:b/>
          <w:bCs/>
        </w:rPr>
        <w:t xml:space="preserve"> </w:t>
      </w:r>
      <w:r w:rsidRPr="00AC5E00">
        <w:rPr>
          <w:b/>
          <w:bCs/>
        </w:rPr>
        <w:t xml:space="preserve">BNP Paribas Bank Polska, </w:t>
      </w:r>
      <w:r w:rsidR="001E34D5" w:rsidRPr="00AC5E00">
        <w:rPr>
          <w:b/>
          <w:bCs/>
        </w:rPr>
        <w:t xml:space="preserve">Bank Pekao S.A. </w:t>
      </w:r>
      <w:r w:rsidRPr="00AC5E00">
        <w:rPr>
          <w:b/>
          <w:bCs/>
        </w:rPr>
        <w:t>oraz Alior Bank.</w:t>
      </w:r>
      <w:r w:rsidR="001E34D5" w:rsidRPr="00AC5E00">
        <w:rPr>
          <w:b/>
          <w:bCs/>
        </w:rPr>
        <w:t xml:space="preserve"> </w:t>
      </w:r>
    </w:p>
    <w:p w14:paraId="01E28F73" w14:textId="77777777" w:rsidR="009D66E3" w:rsidRPr="00AC5E00" w:rsidRDefault="009D66E3" w:rsidP="009D66E3">
      <w:pPr>
        <w:jc w:val="both"/>
      </w:pPr>
      <w:r w:rsidRPr="00AC5E00">
        <w:rPr>
          <w:b/>
          <w:bCs/>
        </w:rPr>
        <w:t>Dostępne formy kontaktu</w:t>
      </w:r>
    </w:p>
    <w:p w14:paraId="6BA5DD3B" w14:textId="0B8533F9" w:rsidR="009D66E3" w:rsidRPr="00AC5E00" w:rsidRDefault="009D66E3" w:rsidP="009D66E3">
      <w:pPr>
        <w:jc w:val="both"/>
      </w:pPr>
      <w:r w:rsidRPr="00AC5E00">
        <w:t xml:space="preserve">Liczba dostępnych kanałów kontaktu </w:t>
      </w:r>
      <w:r w:rsidR="00836CB0" w:rsidRPr="00AC5E00">
        <w:t>w porównaniu do 2. fali badania nie uległa zmianie. Kanał czat, którego popularność na rynku stale rośnie</w:t>
      </w:r>
      <w:r w:rsidR="003B6E99" w:rsidRPr="00AC5E00">
        <w:t>,</w:t>
      </w:r>
      <w:r w:rsidR="00836CB0" w:rsidRPr="00AC5E00">
        <w:t xml:space="preserve"> udostępnia 8 banków, natomiast w roku 2020 kilka banków zamierza również udostępnić tą formę kontaktu swoim klientom. </w:t>
      </w:r>
      <w:r w:rsidR="003B6E99" w:rsidRPr="00AC5E00">
        <w:t>Kontakt poprzez w</w:t>
      </w:r>
      <w:r w:rsidR="00836CB0" w:rsidRPr="00AC5E00">
        <w:t>ideo (dla potencjalnego klienta) dostępn</w:t>
      </w:r>
      <w:r w:rsidR="003B6E99" w:rsidRPr="00AC5E00">
        <w:t>y</w:t>
      </w:r>
      <w:r w:rsidR="00836CB0" w:rsidRPr="00AC5E00">
        <w:t xml:space="preserve"> jest w mBanku oraz Santander Bank Polska;  plusem tego kanału (dla obecnych klientów) jest to, że dzięki możliwości przeprowadzenia identyfikacji </w:t>
      </w:r>
      <w:r w:rsidR="003B6E99" w:rsidRPr="00AC5E00">
        <w:t xml:space="preserve">dodatkowo </w:t>
      </w:r>
      <w:r w:rsidR="00836CB0" w:rsidRPr="00AC5E00">
        <w:t>niektóre swoje</w:t>
      </w:r>
      <w:r w:rsidR="003B6E99" w:rsidRPr="00AC5E00">
        <w:t xml:space="preserve"> sprawy, wymagające dotychczas wizyty w placówce,</w:t>
      </w:r>
      <w:r w:rsidR="00836CB0" w:rsidRPr="00AC5E00">
        <w:t xml:space="preserve"> możemy</w:t>
      </w:r>
      <w:r w:rsidR="003B6E99" w:rsidRPr="00AC5E00">
        <w:t xml:space="preserve"> już załatwić zdalnie</w:t>
      </w:r>
      <w:r w:rsidR="00836CB0" w:rsidRPr="00AC5E00">
        <w:t>.</w:t>
      </w:r>
      <w:r w:rsidRPr="00AC5E00">
        <w:t xml:space="preserve"> Numer komórkowy </w:t>
      </w:r>
      <w:r w:rsidR="00836CB0" w:rsidRPr="00AC5E00">
        <w:t xml:space="preserve">nadal </w:t>
      </w:r>
      <w:r w:rsidRPr="00AC5E00">
        <w:t xml:space="preserve">udostępnia </w:t>
      </w:r>
      <w:r w:rsidR="00836CB0" w:rsidRPr="00AC5E00">
        <w:t xml:space="preserve">tylko </w:t>
      </w:r>
      <w:r w:rsidRPr="00AC5E00">
        <w:t>35% badanych banków i patrząc na rozwój telefonii i rosnący trend w liczbie ich posiadaczy, warto zastanowić się nad wyeliminowaniem płatnych numerów 801 na rzecz komórkowych (posiadacze komórek bardzo często w ramach abonamentu mają pakiet wszystkich bezpłatnych połączeń na numery komórkowe).</w:t>
      </w:r>
    </w:p>
    <w:p w14:paraId="3739E995" w14:textId="2370EA82" w:rsidR="009D66E3" w:rsidRPr="00AC5E00" w:rsidRDefault="009D66E3" w:rsidP="009D66E3">
      <w:pPr>
        <w:jc w:val="both"/>
      </w:pPr>
      <w:r w:rsidRPr="00AC5E00">
        <w:rPr>
          <w:b/>
          <w:bCs/>
        </w:rPr>
        <w:t>Kontakt z i</w:t>
      </w:r>
      <w:r w:rsidR="00AD529A" w:rsidRPr="00AC5E00">
        <w:rPr>
          <w:b/>
          <w:bCs/>
        </w:rPr>
        <w:t>nfolinią, poprzez czat, wideo oraz e-mail</w:t>
      </w:r>
    </w:p>
    <w:p w14:paraId="207FD9B0" w14:textId="31C67C68" w:rsidR="00AD529A" w:rsidRPr="00AC5E00" w:rsidRDefault="009D66E3" w:rsidP="009D66E3">
      <w:pPr>
        <w:jc w:val="both"/>
      </w:pPr>
      <w:r w:rsidRPr="00AC5E00">
        <w:t>Nasi eksperci kontaktując się z infolinią</w:t>
      </w:r>
      <w:r w:rsidR="00AD529A" w:rsidRPr="00AC5E00">
        <w:t xml:space="preserve">, poprzez czat, wideo czy e-mail </w:t>
      </w:r>
      <w:r w:rsidRPr="00AC5E00">
        <w:t xml:space="preserve">byli zainteresowani pozyskaniem informacji o ofercie </w:t>
      </w:r>
      <w:r w:rsidR="00AD529A" w:rsidRPr="00AC5E00">
        <w:t xml:space="preserve">oszczędnościowej oraz o podstawowych zasadach gwarantowania depozytów. Zakres pytań dotyczący Bankowego Funduszu Gwarancyjnego nie wykraczał poza informacje jakie są zawarte na ogólnodostępnej ulotce, zamieszczonej na </w:t>
      </w:r>
      <w:r w:rsidR="00D35F83" w:rsidRPr="00AC5E00">
        <w:t xml:space="preserve">stronie </w:t>
      </w:r>
      <w:r w:rsidR="00AD529A" w:rsidRPr="00AC5E00">
        <w:t>BFG.</w:t>
      </w:r>
    </w:p>
    <w:p w14:paraId="69CB240B" w14:textId="4B42FA62" w:rsidR="00AD529A" w:rsidRPr="00AC5E00" w:rsidRDefault="00AD529A" w:rsidP="009D66E3">
      <w:pPr>
        <w:jc w:val="both"/>
      </w:pPr>
      <w:r w:rsidRPr="00AC5E00">
        <w:t xml:space="preserve">Rozmowy oraz przekazywane informacje dotyczące oferty nie </w:t>
      </w:r>
      <w:r w:rsidR="00223649" w:rsidRPr="00AC5E00">
        <w:t>sta</w:t>
      </w:r>
      <w:r w:rsidR="00D35F83" w:rsidRPr="00AC5E00">
        <w:t>no</w:t>
      </w:r>
      <w:r w:rsidR="00223649" w:rsidRPr="00AC5E00">
        <w:t>wiły większego problemu dla Doradców. Problemem okazały się pytania dotyczące znajomości zasad gwarantowania depozytów przez BFG.</w:t>
      </w:r>
    </w:p>
    <w:p w14:paraId="277FC10B" w14:textId="7E9AF48C" w:rsidR="00223649" w:rsidRPr="00AC5E00" w:rsidRDefault="00223649" w:rsidP="009D66E3">
      <w:pPr>
        <w:jc w:val="both"/>
      </w:pPr>
      <w:r w:rsidRPr="00AC5E00">
        <w:t>Podczas kontaktu z infolinią wszyscy konsultanci udzielili prawidłowej odpowiedzi odnośnie wysokości gwarancji (100 tys. euro.). Problemem okazały się sytuacje</w:t>
      </w:r>
      <w:r w:rsidR="00D666EA" w:rsidRPr="00AC5E00">
        <w:t>,</w:t>
      </w:r>
      <w:r w:rsidRPr="00AC5E00">
        <w:t xml:space="preserve"> w jakich limit gwarancji może być wyższy</w:t>
      </w:r>
      <w:r w:rsidR="00D666EA" w:rsidRPr="00AC5E00">
        <w:t>,</w:t>
      </w:r>
      <w:r w:rsidR="00044870" w:rsidRPr="00AC5E00">
        <w:t xml:space="preserve"> a nasze pytanie dotyczyło ochrony środków przez BFG</w:t>
      </w:r>
      <w:r w:rsidR="00D666EA" w:rsidRPr="00AC5E00">
        <w:t xml:space="preserve"> pochodzących bezpośrednio z wpływu </w:t>
      </w:r>
      <w:r w:rsidR="00044870" w:rsidRPr="00AC5E00">
        <w:t>z tytułu sprzedaży nieruchomości w wysokości</w:t>
      </w:r>
      <w:r w:rsidR="00D666EA" w:rsidRPr="00AC5E00">
        <w:t xml:space="preserve"> znacznie przekraczającej równowartość 100.000 EURO</w:t>
      </w:r>
      <w:r w:rsidR="00044870" w:rsidRPr="00AC5E00">
        <w:t xml:space="preserve">. Tylko </w:t>
      </w:r>
      <w:r w:rsidR="00044870" w:rsidRPr="00AC5E00">
        <w:lastRenderedPageBreak/>
        <w:t xml:space="preserve">23% Doradców podczas kontaktu telefonicznego udzieliło prawidłowej odpowiedzi na to pytanie: </w:t>
      </w:r>
      <w:r w:rsidR="005D3F95" w:rsidRPr="00AC5E00">
        <w:t xml:space="preserve">najwyższy poziom wiedzy odnotowano w </w:t>
      </w:r>
      <w:r w:rsidR="00044870" w:rsidRPr="00AC5E00">
        <w:t>Alior Banku, Santander Bank Polska, Getin Banku</w:t>
      </w:r>
      <w:r w:rsidR="005D3F95" w:rsidRPr="00AC5E00">
        <w:t xml:space="preserve"> oraz </w:t>
      </w:r>
      <w:r w:rsidR="00044870" w:rsidRPr="00AC5E00">
        <w:t>Banku Pekao S.A.</w:t>
      </w:r>
      <w:r w:rsidR="005D3F95" w:rsidRPr="00AC5E00">
        <w:t xml:space="preserve"> W kanale czat zadając to samo pytanie tylko 3% udzieliło prawidłowej odpowiedzi. Najlepiej odpowiedzi oceniono w kanale wideo, jednak dotyczyło to tylko dwóch banków (mBank oraz Santander Bank Polska).</w:t>
      </w:r>
    </w:p>
    <w:p w14:paraId="3FCCDA45" w14:textId="16E5F892" w:rsidR="00223649" w:rsidRPr="00AC5E00" w:rsidRDefault="00B70A01" w:rsidP="009D66E3">
      <w:pPr>
        <w:jc w:val="both"/>
      </w:pPr>
      <w:r w:rsidRPr="00AC5E00">
        <w:t xml:space="preserve">W przypadku pytań dotyczących naliczonych odsetek do dnia wystąpienia banku z wnioskiem o ogłoszenie upadłości tylko nieliczni w kontakcie e-mailowym udzielili prawidłowej odpowiedzi, </w:t>
      </w:r>
      <w:r w:rsidR="00D666EA" w:rsidRPr="00AC5E00">
        <w:t xml:space="preserve">w kontakcie z </w:t>
      </w:r>
      <w:r w:rsidRPr="00AC5E00">
        <w:t>infolini</w:t>
      </w:r>
      <w:r w:rsidR="00D666EA" w:rsidRPr="00AC5E00">
        <w:t>ą</w:t>
      </w:r>
      <w:r w:rsidRPr="00AC5E00">
        <w:t xml:space="preserve"> 92% a</w:t>
      </w:r>
      <w:r w:rsidR="00D666EA" w:rsidRPr="00AC5E00">
        <w:t xml:space="preserve"> poprzez </w:t>
      </w:r>
      <w:r w:rsidRPr="00AC5E00">
        <w:t xml:space="preserve">czat 71% prawidłowych odpowiedzi. </w:t>
      </w:r>
    </w:p>
    <w:p w14:paraId="3EE51117" w14:textId="4C5D1BFA" w:rsidR="00B70A01" w:rsidRPr="00AC5E00" w:rsidRDefault="00B70A01" w:rsidP="009D66E3">
      <w:pPr>
        <w:jc w:val="both"/>
      </w:pPr>
      <w:r w:rsidRPr="00AC5E00">
        <w:t>Prawidłowych informacji o terminie wypłaty środków udzieliło w kanale czat 60% a na infolinii 67% Doradców.</w:t>
      </w:r>
    </w:p>
    <w:p w14:paraId="2B071612" w14:textId="6166F2B8" w:rsidR="00B70A01" w:rsidRPr="00AC5E00" w:rsidRDefault="00B70A01" w:rsidP="009D66E3">
      <w:pPr>
        <w:jc w:val="both"/>
      </w:pPr>
      <w:r w:rsidRPr="00AC5E00">
        <w:t>Bankowy Fundusz Gwarancyjny to bardzo ważny dla klientów temat z punktu widzenia bezpieczeństwa powierzonych środków. Poziom wiedzy Doradców ogranicza się w większości przypadków do minimum, czyli kwoty 100 000 euro. Zadając dodatkowe pytania widzimy problem. W niektórych bankach pracownicy odsyłali naszych ekspertów do BFG</w:t>
      </w:r>
      <w:r w:rsidR="0011719E" w:rsidRPr="00AC5E00">
        <w:t xml:space="preserve"> a w jednym z banków do KNF (podano nawet numer telefonu</w:t>
      </w:r>
      <w:r w:rsidR="00D666EA" w:rsidRPr="00AC5E00">
        <w:t>, pod który mamy zadzwonić</w:t>
      </w:r>
      <w:r w:rsidR="0011719E" w:rsidRPr="00AC5E00">
        <w:t xml:space="preserve">). </w:t>
      </w:r>
    </w:p>
    <w:p w14:paraId="1420E55D" w14:textId="1F6D93E3" w:rsidR="0011719E" w:rsidRPr="00AC5E00" w:rsidRDefault="0011719E" w:rsidP="009D66E3">
      <w:pPr>
        <w:jc w:val="both"/>
      </w:pPr>
      <w:r w:rsidRPr="00AC5E00">
        <w:t>Czy taka powinna być wiedza pracownika banku o BFG? Czy klient oczekuje aż tak</w:t>
      </w:r>
      <w:bookmarkStart w:id="0" w:name="_GoBack"/>
      <w:bookmarkEnd w:id="0"/>
      <w:r w:rsidRPr="00AC5E00">
        <w:t xml:space="preserve"> wiele pytając o termin wypłaty środków, sytuacje związane z rachunkiem wspólnym czy objęcie gwarancją odsetek? Wszystkie te informacje znajdują się w ogólnodostępnej ulotce, jednak niestety tej wiedzy nie posiadają pracownicy banków.</w:t>
      </w:r>
    </w:p>
    <w:p w14:paraId="5B7D12DF" w14:textId="5A051368" w:rsidR="00223649" w:rsidRPr="00AC5E00" w:rsidRDefault="0011719E" w:rsidP="009D66E3">
      <w:pPr>
        <w:jc w:val="both"/>
      </w:pPr>
      <w:r w:rsidRPr="00AC5E00">
        <w:t>Edukując Doradców w zakresie BFG warto zwrócić uwagę, że w</w:t>
      </w:r>
      <w:r w:rsidR="00223649" w:rsidRPr="00AC5E00">
        <w:t xml:space="preserve"> przypadku osób fizycznych limit może sięgnąć równowartości 200 tys. euro. Dotyczy to w szczególności sytuacji, gdy środki znajdujące się na rachunku pochodzą ze sprzedaży domu lub mieszkania niezwiązanego z prowadzoną działalnością gospodarczą, z nabycia spadku, wypłaty ubezpieczenia na życie lub ubezpieczenia z tytułu dożycia określonego wieku, wypłaty ubezpieczenia NNW, wypłaty odprawy pieniężnej, wypłaty odprawy emerytalnej lub rentowej lub wykonania podziału majątku po ustaniu małżeńskiej wspólności majątkowej. </w:t>
      </w:r>
      <w:r w:rsidR="00044870" w:rsidRPr="00AC5E00">
        <w:t>Niezależnie od powyższych sytuacji limit powiększa się o przyznanie zadośćuczynienia oraz niektóre odszkodowania – w całości. Podwyższony limit obowiązuje przez 3 miesiące od dnia wpływu środków z tytułów opisanych powyżej.</w:t>
      </w:r>
    </w:p>
    <w:p w14:paraId="7285D362" w14:textId="130B407A" w:rsidR="00223649" w:rsidRPr="00AC5E00" w:rsidRDefault="00223649" w:rsidP="009D66E3">
      <w:pPr>
        <w:jc w:val="both"/>
      </w:pPr>
    </w:p>
    <w:p w14:paraId="7F4D2AE9" w14:textId="77777777" w:rsidR="009D66E3" w:rsidRPr="00AC5E00" w:rsidRDefault="009D66E3" w:rsidP="009D66E3">
      <w:pPr>
        <w:jc w:val="both"/>
      </w:pPr>
    </w:p>
    <w:p w14:paraId="58C85E0F" w14:textId="77777777" w:rsidR="00672B95" w:rsidRPr="00AC5E00" w:rsidRDefault="00672B95" w:rsidP="00C96E3A">
      <w:pPr>
        <w:spacing w:line="252" w:lineRule="auto"/>
        <w:rPr>
          <w:rFonts w:cstheme="minorHAnsi"/>
          <w:b/>
          <w:sz w:val="18"/>
          <w:szCs w:val="18"/>
        </w:rPr>
      </w:pPr>
    </w:p>
    <w:p w14:paraId="691275AE" w14:textId="163A5991" w:rsidR="00C96E3A" w:rsidRPr="00AC5E00" w:rsidRDefault="00C96E3A" w:rsidP="00C96E3A">
      <w:pPr>
        <w:spacing w:line="252" w:lineRule="auto"/>
        <w:rPr>
          <w:rFonts w:cstheme="minorHAnsi"/>
          <w:b/>
          <w:sz w:val="18"/>
          <w:szCs w:val="18"/>
        </w:rPr>
      </w:pPr>
      <w:r w:rsidRPr="00AC5E00">
        <w:rPr>
          <w:rFonts w:cstheme="minorHAnsi"/>
          <w:b/>
          <w:sz w:val="18"/>
          <w:szCs w:val="18"/>
        </w:rPr>
        <w:t>Kontakt dla mediów:</w:t>
      </w:r>
    </w:p>
    <w:p w14:paraId="04398342" w14:textId="77777777" w:rsidR="00C96E3A" w:rsidRPr="00AC5E00" w:rsidRDefault="00C96E3A" w:rsidP="00C96E3A">
      <w:pPr>
        <w:spacing w:after="0" w:line="360" w:lineRule="auto"/>
        <w:rPr>
          <w:rFonts w:cstheme="minorHAnsi"/>
          <w:sz w:val="18"/>
          <w:szCs w:val="18"/>
        </w:rPr>
      </w:pPr>
      <w:r w:rsidRPr="00AC5E00">
        <w:rPr>
          <w:rFonts w:cstheme="minorHAnsi"/>
          <w:sz w:val="18"/>
          <w:szCs w:val="18"/>
        </w:rPr>
        <w:t>Marcin Łukaszewski</w:t>
      </w:r>
    </w:p>
    <w:p w14:paraId="2D6D35CC" w14:textId="77777777" w:rsidR="00C96E3A" w:rsidRPr="00AC5E00" w:rsidRDefault="00C96E3A" w:rsidP="00C96E3A">
      <w:pPr>
        <w:spacing w:after="0" w:line="360" w:lineRule="auto"/>
        <w:rPr>
          <w:rFonts w:cstheme="minorHAnsi"/>
          <w:sz w:val="18"/>
          <w:szCs w:val="18"/>
        </w:rPr>
      </w:pPr>
      <w:r w:rsidRPr="00AC5E00">
        <w:rPr>
          <w:rFonts w:cstheme="minorHAnsi"/>
          <w:sz w:val="18"/>
          <w:szCs w:val="18"/>
        </w:rPr>
        <w:t>Dyrektor Zarządzający, Moje Bankowanie Sp. z o.o.</w:t>
      </w:r>
    </w:p>
    <w:p w14:paraId="377B82F7" w14:textId="386E0BEF" w:rsidR="00755BE9" w:rsidRPr="00AC5E00" w:rsidRDefault="0070698A" w:rsidP="00C96E3A">
      <w:pPr>
        <w:spacing w:after="0" w:line="360" w:lineRule="auto"/>
        <w:rPr>
          <w:rFonts w:cstheme="minorHAnsi"/>
          <w:sz w:val="16"/>
          <w:szCs w:val="16"/>
        </w:rPr>
      </w:pPr>
      <w:hyperlink r:id="rId7" w:history="1">
        <w:r w:rsidR="00C96E3A" w:rsidRPr="00AC5E00">
          <w:rPr>
            <w:rStyle w:val="Hipercze"/>
            <w:color w:val="auto"/>
            <w:sz w:val="16"/>
            <w:szCs w:val="16"/>
          </w:rPr>
          <w:t>marcin.lukaszewski@mojebankowanie.pl</w:t>
        </w:r>
      </w:hyperlink>
      <w:r w:rsidR="00C96E3A" w:rsidRPr="00AC5E00">
        <w:rPr>
          <w:sz w:val="16"/>
          <w:szCs w:val="16"/>
        </w:rPr>
        <w:t xml:space="preserve"> tel. </w:t>
      </w:r>
      <w:r w:rsidR="00C96E3A" w:rsidRPr="00AC5E00">
        <w:rPr>
          <w:rFonts w:cstheme="minorHAnsi"/>
          <w:sz w:val="16"/>
          <w:szCs w:val="16"/>
        </w:rPr>
        <w:t xml:space="preserve">+ 48 604 24 25 92 </w:t>
      </w:r>
    </w:p>
    <w:p w14:paraId="70CC980D" w14:textId="06D67897" w:rsidR="001806B7" w:rsidRPr="00AC5E00" w:rsidRDefault="001806B7" w:rsidP="00C96E3A">
      <w:pPr>
        <w:spacing w:after="0" w:line="360" w:lineRule="auto"/>
        <w:rPr>
          <w:rFonts w:cstheme="minorHAnsi"/>
          <w:sz w:val="16"/>
          <w:szCs w:val="16"/>
        </w:rPr>
      </w:pPr>
    </w:p>
    <w:p w14:paraId="6CDCDA32" w14:textId="77777777" w:rsidR="001806B7" w:rsidRPr="00AC5E00" w:rsidRDefault="001806B7" w:rsidP="00C96E3A">
      <w:pPr>
        <w:spacing w:after="0" w:line="360" w:lineRule="auto"/>
        <w:rPr>
          <w:rFonts w:cstheme="minorHAnsi"/>
          <w:sz w:val="16"/>
          <w:szCs w:val="16"/>
        </w:rPr>
      </w:pPr>
    </w:p>
    <w:p w14:paraId="2CFB111F" w14:textId="7B27A124" w:rsidR="001806B7" w:rsidRPr="00AC5E00" w:rsidRDefault="001806B7" w:rsidP="00C96E3A">
      <w:pPr>
        <w:spacing w:after="0" w:line="360" w:lineRule="auto"/>
        <w:rPr>
          <w:i/>
          <w:iCs/>
          <w:sz w:val="16"/>
          <w:szCs w:val="16"/>
        </w:rPr>
      </w:pPr>
    </w:p>
    <w:sectPr w:rsidR="001806B7" w:rsidRPr="00AC5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92228" w14:textId="77777777" w:rsidR="0070698A" w:rsidRDefault="0070698A" w:rsidP="00ED3F5A">
      <w:pPr>
        <w:spacing w:after="0" w:line="240" w:lineRule="auto"/>
      </w:pPr>
      <w:r>
        <w:separator/>
      </w:r>
    </w:p>
  </w:endnote>
  <w:endnote w:type="continuationSeparator" w:id="0">
    <w:p w14:paraId="7414267B" w14:textId="77777777" w:rsidR="0070698A" w:rsidRDefault="0070698A" w:rsidP="00ED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5C21" w14:textId="77777777" w:rsidR="00ED3F5A" w:rsidRDefault="00ED3F5A" w:rsidP="00ED3F5A">
    <w:pPr>
      <w:pStyle w:val="Stopka"/>
      <w:jc w:val="right"/>
    </w:pPr>
    <w:r>
      <w:rPr>
        <w:rFonts w:cstheme="minorHAnsi"/>
        <w:noProof/>
      </w:rPr>
      <w:drawing>
        <wp:inline distT="0" distB="0" distL="0" distR="0" wp14:anchorId="257AA0B1" wp14:editId="6C7379FE">
          <wp:extent cx="692150" cy="24455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jeBankowanie białe tł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0" cy="26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85200" w14:textId="77777777" w:rsidR="0070698A" w:rsidRDefault="0070698A" w:rsidP="00ED3F5A">
      <w:pPr>
        <w:spacing w:after="0" w:line="240" w:lineRule="auto"/>
      </w:pPr>
      <w:r>
        <w:separator/>
      </w:r>
    </w:p>
  </w:footnote>
  <w:footnote w:type="continuationSeparator" w:id="0">
    <w:p w14:paraId="15A7C247" w14:textId="77777777" w:rsidR="0070698A" w:rsidRDefault="0070698A" w:rsidP="00ED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DF79" w14:textId="72557FDF" w:rsidR="00ED3F5A" w:rsidRDefault="00A83FBE" w:rsidP="00ED3F5A">
    <w:pPr>
      <w:pStyle w:val="Nagwek"/>
    </w:pPr>
    <w:r>
      <w:rPr>
        <w:noProof/>
      </w:rPr>
      <w:drawing>
        <wp:inline distT="0" distB="0" distL="0" distR="0" wp14:anchorId="551774BD" wp14:editId="0A64D876">
          <wp:extent cx="719267" cy="797560"/>
          <wp:effectExtent l="0" t="0" r="5080" b="254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ytucja Roku 2019 -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522" cy="805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458"/>
    <w:multiLevelType w:val="hybridMultilevel"/>
    <w:tmpl w:val="5D8C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3446F"/>
    <w:multiLevelType w:val="hybridMultilevel"/>
    <w:tmpl w:val="8BB0735C"/>
    <w:lvl w:ilvl="0" w:tplc="36B07658">
      <w:start w:val="1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50"/>
    <w:rsid w:val="00044870"/>
    <w:rsid w:val="00052BCD"/>
    <w:rsid w:val="00055163"/>
    <w:rsid w:val="00070D46"/>
    <w:rsid w:val="00085587"/>
    <w:rsid w:val="000A67E5"/>
    <w:rsid w:val="000E6A91"/>
    <w:rsid w:val="000F2CBF"/>
    <w:rsid w:val="000F4F4E"/>
    <w:rsid w:val="00101248"/>
    <w:rsid w:val="0011719E"/>
    <w:rsid w:val="001806B7"/>
    <w:rsid w:val="00182B6E"/>
    <w:rsid w:val="00195402"/>
    <w:rsid w:val="001A0215"/>
    <w:rsid w:val="001B727C"/>
    <w:rsid w:val="001E0C66"/>
    <w:rsid w:val="001E34D5"/>
    <w:rsid w:val="001F07BD"/>
    <w:rsid w:val="001F0E0E"/>
    <w:rsid w:val="001F25C7"/>
    <w:rsid w:val="001F3C1B"/>
    <w:rsid w:val="0021400C"/>
    <w:rsid w:val="00223649"/>
    <w:rsid w:val="0022686B"/>
    <w:rsid w:val="00231F74"/>
    <w:rsid w:val="002B145D"/>
    <w:rsid w:val="002D7037"/>
    <w:rsid w:val="002F760A"/>
    <w:rsid w:val="00333220"/>
    <w:rsid w:val="00381E64"/>
    <w:rsid w:val="003B6E99"/>
    <w:rsid w:val="003B799A"/>
    <w:rsid w:val="003C66FA"/>
    <w:rsid w:val="003E48B8"/>
    <w:rsid w:val="003F3EBE"/>
    <w:rsid w:val="00425E25"/>
    <w:rsid w:val="0049799E"/>
    <w:rsid w:val="004E6A9C"/>
    <w:rsid w:val="005106E4"/>
    <w:rsid w:val="00512C52"/>
    <w:rsid w:val="00534430"/>
    <w:rsid w:val="00576313"/>
    <w:rsid w:val="00577DC8"/>
    <w:rsid w:val="005961AA"/>
    <w:rsid w:val="005B4B2F"/>
    <w:rsid w:val="005B7CAD"/>
    <w:rsid w:val="005D05EF"/>
    <w:rsid w:val="005D3F95"/>
    <w:rsid w:val="005F6F2A"/>
    <w:rsid w:val="00672B95"/>
    <w:rsid w:val="0070698A"/>
    <w:rsid w:val="007171DA"/>
    <w:rsid w:val="00724132"/>
    <w:rsid w:val="007340E3"/>
    <w:rsid w:val="00755BE9"/>
    <w:rsid w:val="00793947"/>
    <w:rsid w:val="007A7066"/>
    <w:rsid w:val="007B3D21"/>
    <w:rsid w:val="007B58EA"/>
    <w:rsid w:val="007E133B"/>
    <w:rsid w:val="007E25E8"/>
    <w:rsid w:val="008058DA"/>
    <w:rsid w:val="008318E2"/>
    <w:rsid w:val="00836CB0"/>
    <w:rsid w:val="008D03D6"/>
    <w:rsid w:val="009105D9"/>
    <w:rsid w:val="00940FC2"/>
    <w:rsid w:val="0095013D"/>
    <w:rsid w:val="009628C9"/>
    <w:rsid w:val="00981F9C"/>
    <w:rsid w:val="009B65EE"/>
    <w:rsid w:val="009D66E3"/>
    <w:rsid w:val="009E7714"/>
    <w:rsid w:val="009F64F6"/>
    <w:rsid w:val="00A1793A"/>
    <w:rsid w:val="00A30A10"/>
    <w:rsid w:val="00A67D72"/>
    <w:rsid w:val="00A72D53"/>
    <w:rsid w:val="00A83FBE"/>
    <w:rsid w:val="00AA0C99"/>
    <w:rsid w:val="00AB4F68"/>
    <w:rsid w:val="00AB51F2"/>
    <w:rsid w:val="00AC5E00"/>
    <w:rsid w:val="00AD529A"/>
    <w:rsid w:val="00B11B47"/>
    <w:rsid w:val="00B25675"/>
    <w:rsid w:val="00B41EA1"/>
    <w:rsid w:val="00B673CE"/>
    <w:rsid w:val="00B70A01"/>
    <w:rsid w:val="00C16E58"/>
    <w:rsid w:val="00C47A28"/>
    <w:rsid w:val="00C67632"/>
    <w:rsid w:val="00C7531E"/>
    <w:rsid w:val="00C9139E"/>
    <w:rsid w:val="00C96E3A"/>
    <w:rsid w:val="00CE4212"/>
    <w:rsid w:val="00D24992"/>
    <w:rsid w:val="00D258B1"/>
    <w:rsid w:val="00D27B41"/>
    <w:rsid w:val="00D34926"/>
    <w:rsid w:val="00D35F83"/>
    <w:rsid w:val="00D50731"/>
    <w:rsid w:val="00D666EA"/>
    <w:rsid w:val="00DB4310"/>
    <w:rsid w:val="00DB63DC"/>
    <w:rsid w:val="00DD5682"/>
    <w:rsid w:val="00DF4EB4"/>
    <w:rsid w:val="00E336E6"/>
    <w:rsid w:val="00E4358B"/>
    <w:rsid w:val="00E539B6"/>
    <w:rsid w:val="00E54755"/>
    <w:rsid w:val="00E60261"/>
    <w:rsid w:val="00E8286A"/>
    <w:rsid w:val="00EC23CB"/>
    <w:rsid w:val="00ED281F"/>
    <w:rsid w:val="00ED3F5A"/>
    <w:rsid w:val="00EE1B25"/>
    <w:rsid w:val="00F100B9"/>
    <w:rsid w:val="00F11C50"/>
    <w:rsid w:val="00FC0F40"/>
    <w:rsid w:val="00FC53B8"/>
    <w:rsid w:val="00FE28E6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CD21B"/>
  <w15:chartTrackingRefBased/>
  <w15:docId w15:val="{D7F8D101-B3D2-4148-81BD-361A7346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1C5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F5A"/>
  </w:style>
  <w:style w:type="paragraph" w:styleId="Stopka">
    <w:name w:val="footer"/>
    <w:basedOn w:val="Normalny"/>
    <w:link w:val="StopkaZnak"/>
    <w:uiPriority w:val="99"/>
    <w:unhideWhenUsed/>
    <w:rsid w:val="00ED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F5A"/>
  </w:style>
  <w:style w:type="paragraph" w:styleId="Akapitzlist">
    <w:name w:val="List Paragraph"/>
    <w:basedOn w:val="Normalny"/>
    <w:uiPriority w:val="34"/>
    <w:qFormat/>
    <w:rsid w:val="0010124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E1B2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1B25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lukaszewski@mojebankowa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797</Words>
  <Characters>4785</Characters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2019-12-15T17:47:00Z</cp:lastPrinted>
  <dcterms:created xsi:type="dcterms:W3CDTF">2019-12-15T17:42:00Z</dcterms:created>
  <dcterms:modified xsi:type="dcterms:W3CDTF">2019-12-15T19:14:00Z</dcterms:modified>
</cp:coreProperties>
</file>