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0A4C7" w14:textId="77777777" w:rsidR="00FB4128" w:rsidRPr="003C6281" w:rsidRDefault="00FB4128" w:rsidP="00FB4128">
      <w:pPr>
        <w:spacing w:line="276" w:lineRule="auto"/>
        <w:rPr>
          <w:rFonts w:ascii="Calibri" w:hAnsi="Calibri" w:cs="Calibri"/>
          <w:sz w:val="20"/>
          <w:szCs w:val="22"/>
        </w:rPr>
      </w:pPr>
      <w:r w:rsidRPr="003C6281">
        <w:rPr>
          <w:rFonts w:ascii="Calibri" w:hAnsi="Calibri" w:cs="Calibri"/>
          <w:sz w:val="20"/>
          <w:szCs w:val="22"/>
        </w:rPr>
        <w:t>Informacja prasowa</w:t>
      </w:r>
    </w:p>
    <w:p w14:paraId="001E636D" w14:textId="52643C5F" w:rsidR="00FB4128" w:rsidRPr="003C6281" w:rsidRDefault="00FB4128" w:rsidP="00FB4128">
      <w:pPr>
        <w:spacing w:after="120" w:line="276" w:lineRule="auto"/>
        <w:rPr>
          <w:rFonts w:ascii="Calibri" w:hAnsi="Calibri" w:cs="Calibri"/>
          <w:sz w:val="20"/>
          <w:szCs w:val="22"/>
        </w:rPr>
      </w:pPr>
      <w:r w:rsidRPr="003C6281">
        <w:rPr>
          <w:rFonts w:ascii="Calibri" w:hAnsi="Calibri" w:cs="Calibri"/>
          <w:sz w:val="20"/>
          <w:szCs w:val="22"/>
        </w:rPr>
        <w:t xml:space="preserve">Wrocław, </w:t>
      </w:r>
      <w:r w:rsidR="00462841" w:rsidRPr="003C6281">
        <w:rPr>
          <w:rFonts w:ascii="Calibri" w:hAnsi="Calibri" w:cs="Calibri"/>
          <w:sz w:val="20"/>
          <w:szCs w:val="22"/>
        </w:rPr>
        <w:t>2</w:t>
      </w:r>
      <w:r w:rsidR="00A77BFC" w:rsidRPr="003C6281">
        <w:rPr>
          <w:rFonts w:ascii="Calibri" w:hAnsi="Calibri" w:cs="Calibri"/>
          <w:sz w:val="20"/>
          <w:szCs w:val="22"/>
        </w:rPr>
        <w:t>1</w:t>
      </w:r>
      <w:r w:rsidR="009B2C16" w:rsidRPr="003C6281">
        <w:rPr>
          <w:rFonts w:ascii="Calibri" w:hAnsi="Calibri" w:cs="Calibri"/>
          <w:sz w:val="20"/>
          <w:szCs w:val="22"/>
        </w:rPr>
        <w:t xml:space="preserve"> stycznia 20</w:t>
      </w:r>
      <w:r w:rsidR="00462841" w:rsidRPr="003C6281">
        <w:rPr>
          <w:rFonts w:ascii="Calibri" w:hAnsi="Calibri" w:cs="Calibri"/>
          <w:sz w:val="20"/>
          <w:szCs w:val="22"/>
        </w:rPr>
        <w:t>20</w:t>
      </w:r>
    </w:p>
    <w:p w14:paraId="3E05449F" w14:textId="77777777" w:rsidR="00395F6C" w:rsidRPr="003C6281" w:rsidRDefault="0073610C" w:rsidP="00395F6C">
      <w:pPr>
        <w:spacing w:before="360" w:after="120" w:line="276" w:lineRule="auto"/>
        <w:rPr>
          <w:rFonts w:ascii="Calibri" w:hAnsi="Calibri" w:cs="Calibri"/>
          <w:b/>
          <w:color w:val="7F7F7F" w:themeColor="text1" w:themeTint="80"/>
          <w:szCs w:val="22"/>
        </w:rPr>
      </w:pPr>
      <w:r w:rsidRPr="003C6281">
        <w:rPr>
          <w:rFonts w:ascii="Calibri" w:hAnsi="Calibri" w:cs="Calibri"/>
          <w:b/>
          <w:color w:val="7F7F7F" w:themeColor="text1" w:themeTint="80"/>
          <w:szCs w:val="22"/>
        </w:rPr>
        <w:t>Barometr</w:t>
      </w:r>
      <w:r w:rsidR="00F560A3" w:rsidRPr="003C6281">
        <w:rPr>
          <w:rFonts w:ascii="Calibri" w:hAnsi="Calibri" w:cs="Calibri"/>
          <w:b/>
          <w:color w:val="7F7F7F" w:themeColor="text1" w:themeTint="80"/>
          <w:szCs w:val="22"/>
        </w:rPr>
        <w:t xml:space="preserve"> EFL</w:t>
      </w:r>
      <w:r w:rsidR="00395F6C" w:rsidRPr="003C6281">
        <w:rPr>
          <w:rFonts w:ascii="Calibri" w:hAnsi="Calibri" w:cs="Calibri"/>
          <w:b/>
          <w:color w:val="7F7F7F" w:themeColor="text1" w:themeTint="80"/>
          <w:szCs w:val="22"/>
        </w:rPr>
        <w:t xml:space="preserve"> na I kwartał 2020</w:t>
      </w:r>
    </w:p>
    <w:p w14:paraId="7069EF31" w14:textId="05B65C94" w:rsidR="00195C3D" w:rsidRPr="003C6281" w:rsidRDefault="00395F6C" w:rsidP="00395F6C">
      <w:pPr>
        <w:spacing w:before="120" w:after="360" w:line="276" w:lineRule="auto"/>
        <w:rPr>
          <w:rFonts w:ascii="Calibri" w:hAnsi="Calibri" w:cs="Calibri"/>
          <w:b/>
          <w:color w:val="26744D"/>
          <w:sz w:val="32"/>
          <w:szCs w:val="22"/>
        </w:rPr>
      </w:pPr>
      <w:r w:rsidRPr="003C6281">
        <w:rPr>
          <w:rFonts w:ascii="Calibri" w:hAnsi="Calibri" w:cs="Calibri"/>
          <w:b/>
          <w:color w:val="26744D"/>
          <w:sz w:val="32"/>
          <w:szCs w:val="22"/>
        </w:rPr>
        <w:t>R</w:t>
      </w:r>
      <w:r w:rsidR="00BA58C5" w:rsidRPr="003C6281">
        <w:rPr>
          <w:rFonts w:ascii="Calibri" w:hAnsi="Calibri" w:cs="Calibri"/>
          <w:b/>
          <w:color w:val="26744D"/>
          <w:sz w:val="32"/>
          <w:szCs w:val="22"/>
        </w:rPr>
        <w:t xml:space="preserve">uszą </w:t>
      </w:r>
      <w:r w:rsidR="00D64860" w:rsidRPr="003C6281">
        <w:rPr>
          <w:rFonts w:ascii="Calibri" w:hAnsi="Calibri" w:cs="Calibri"/>
          <w:b/>
          <w:color w:val="26744D"/>
          <w:sz w:val="32"/>
          <w:szCs w:val="22"/>
        </w:rPr>
        <w:t xml:space="preserve">nowe </w:t>
      </w:r>
      <w:r w:rsidRPr="003C6281">
        <w:rPr>
          <w:rFonts w:ascii="Calibri" w:hAnsi="Calibri" w:cs="Calibri"/>
          <w:b/>
          <w:color w:val="26744D"/>
          <w:sz w:val="32"/>
          <w:szCs w:val="22"/>
        </w:rPr>
        <w:t>i</w:t>
      </w:r>
      <w:r w:rsidR="00BA58C5" w:rsidRPr="003C6281">
        <w:rPr>
          <w:rFonts w:ascii="Calibri" w:hAnsi="Calibri" w:cs="Calibri"/>
          <w:b/>
          <w:color w:val="26744D"/>
          <w:sz w:val="32"/>
          <w:szCs w:val="22"/>
        </w:rPr>
        <w:t>nwestycje w MŚP</w:t>
      </w:r>
      <w:r w:rsidR="00D64860" w:rsidRPr="003C6281">
        <w:rPr>
          <w:rFonts w:ascii="Calibri" w:hAnsi="Calibri" w:cs="Calibri"/>
          <w:b/>
          <w:color w:val="26744D"/>
          <w:sz w:val="32"/>
          <w:szCs w:val="22"/>
        </w:rPr>
        <w:t>?</w:t>
      </w:r>
      <w:r w:rsidR="00BA58C5" w:rsidRPr="003C6281">
        <w:rPr>
          <w:rFonts w:ascii="Calibri" w:hAnsi="Calibri" w:cs="Calibri"/>
          <w:b/>
          <w:color w:val="26744D"/>
          <w:sz w:val="32"/>
          <w:szCs w:val="22"/>
        </w:rPr>
        <w:t xml:space="preserve"> </w:t>
      </w:r>
      <w:r w:rsidR="00D64860" w:rsidRPr="003C6281">
        <w:rPr>
          <w:rFonts w:ascii="Calibri" w:hAnsi="Calibri" w:cs="Calibri"/>
          <w:b/>
          <w:color w:val="26744D"/>
          <w:sz w:val="32"/>
          <w:szCs w:val="22"/>
        </w:rPr>
        <w:t>W 2020 roku p</w:t>
      </w:r>
      <w:r w:rsidR="00750EBF" w:rsidRPr="003C6281">
        <w:rPr>
          <w:rFonts w:ascii="Calibri" w:hAnsi="Calibri" w:cs="Calibri"/>
          <w:b/>
          <w:color w:val="26744D"/>
          <w:sz w:val="32"/>
          <w:szCs w:val="22"/>
        </w:rPr>
        <w:t xml:space="preserve">lanuje je dwa razy więcej firm niż </w:t>
      </w:r>
      <w:r w:rsidR="00D64860" w:rsidRPr="003C6281">
        <w:rPr>
          <w:rFonts w:ascii="Calibri" w:hAnsi="Calibri" w:cs="Calibri"/>
          <w:b/>
          <w:color w:val="26744D"/>
          <w:sz w:val="32"/>
          <w:szCs w:val="22"/>
        </w:rPr>
        <w:t>w 2019</w:t>
      </w:r>
      <w:r w:rsidR="009B2C16" w:rsidRPr="003C6281">
        <w:rPr>
          <w:rFonts w:ascii="Calibri" w:hAnsi="Calibri" w:cs="Calibri"/>
          <w:b/>
          <w:color w:val="26744D"/>
          <w:sz w:val="32"/>
          <w:szCs w:val="22"/>
        </w:rPr>
        <w:t xml:space="preserve"> </w:t>
      </w:r>
    </w:p>
    <w:p w14:paraId="03681925" w14:textId="56B4A38A" w:rsidR="00587E6B" w:rsidRPr="003C6281" w:rsidRDefault="009B2C16" w:rsidP="00C94F9B">
      <w:pPr>
        <w:spacing w:after="120" w:line="276" w:lineRule="auto"/>
        <w:jc w:val="both"/>
        <w:rPr>
          <w:rFonts w:ascii="Calibri" w:hAnsi="Calibri" w:cs="Calibri"/>
          <w:b/>
          <w:color w:val="26744D"/>
          <w:sz w:val="20"/>
          <w:szCs w:val="22"/>
        </w:rPr>
      </w:pPr>
      <w:r w:rsidRPr="003C6281">
        <w:rPr>
          <w:rFonts w:ascii="Calibri" w:hAnsi="Calibri" w:cs="Calibri"/>
          <w:b/>
          <w:color w:val="26744D"/>
          <w:sz w:val="20"/>
          <w:szCs w:val="22"/>
        </w:rPr>
        <w:t>Pierwszy w 20</w:t>
      </w:r>
      <w:r w:rsidR="00F7027C" w:rsidRPr="003C6281">
        <w:rPr>
          <w:rFonts w:ascii="Calibri" w:hAnsi="Calibri" w:cs="Calibri"/>
          <w:b/>
          <w:color w:val="26744D"/>
          <w:sz w:val="20"/>
          <w:szCs w:val="22"/>
        </w:rPr>
        <w:t>20</w:t>
      </w:r>
      <w:r w:rsidRPr="003C6281">
        <w:rPr>
          <w:rFonts w:ascii="Calibri" w:hAnsi="Calibri" w:cs="Calibri"/>
          <w:b/>
          <w:color w:val="26744D"/>
          <w:sz w:val="20"/>
          <w:szCs w:val="22"/>
        </w:rPr>
        <w:t xml:space="preserve"> roku pomiar Barometru EFL wskazuje, że </w:t>
      </w:r>
      <w:r w:rsidR="00F7027C" w:rsidRPr="003C6281">
        <w:rPr>
          <w:rFonts w:ascii="Calibri" w:hAnsi="Calibri" w:cs="Calibri"/>
          <w:b/>
          <w:color w:val="26744D"/>
          <w:sz w:val="20"/>
          <w:szCs w:val="22"/>
        </w:rPr>
        <w:t xml:space="preserve">wciąż </w:t>
      </w:r>
      <w:r w:rsidR="003B3ABA" w:rsidRPr="003C6281">
        <w:rPr>
          <w:rFonts w:ascii="Calibri" w:hAnsi="Calibri" w:cs="Calibri"/>
          <w:b/>
          <w:color w:val="26744D"/>
          <w:sz w:val="20"/>
          <w:szCs w:val="22"/>
        </w:rPr>
        <w:t>utrzymują</w:t>
      </w:r>
      <w:r w:rsidR="00F7027C" w:rsidRPr="003C6281">
        <w:rPr>
          <w:rFonts w:ascii="Calibri" w:hAnsi="Calibri" w:cs="Calibri"/>
          <w:b/>
          <w:color w:val="26744D"/>
          <w:sz w:val="20"/>
          <w:szCs w:val="22"/>
        </w:rPr>
        <w:t xml:space="preserve"> się pesymistyczne nastroje wśród </w:t>
      </w:r>
      <w:r w:rsidRPr="003C6281">
        <w:rPr>
          <w:rFonts w:ascii="Calibri" w:hAnsi="Calibri" w:cs="Calibri"/>
          <w:b/>
          <w:color w:val="26744D"/>
          <w:sz w:val="20"/>
          <w:szCs w:val="22"/>
        </w:rPr>
        <w:t>przedstawiciel</w:t>
      </w:r>
      <w:r w:rsidR="00F7027C" w:rsidRPr="003C6281">
        <w:rPr>
          <w:rFonts w:ascii="Calibri" w:hAnsi="Calibri" w:cs="Calibri"/>
          <w:b/>
          <w:color w:val="26744D"/>
          <w:sz w:val="20"/>
          <w:szCs w:val="22"/>
        </w:rPr>
        <w:t>i</w:t>
      </w:r>
      <w:r w:rsidRPr="003C6281">
        <w:rPr>
          <w:rFonts w:ascii="Calibri" w:hAnsi="Calibri" w:cs="Calibri"/>
          <w:b/>
          <w:color w:val="26744D"/>
          <w:sz w:val="20"/>
          <w:szCs w:val="22"/>
        </w:rPr>
        <w:t xml:space="preserve"> sektora MŚP</w:t>
      </w:r>
      <w:r w:rsidR="00F7027C" w:rsidRPr="003C6281">
        <w:rPr>
          <w:rFonts w:ascii="Calibri" w:hAnsi="Calibri" w:cs="Calibri"/>
          <w:b/>
          <w:color w:val="26744D"/>
          <w:sz w:val="20"/>
          <w:szCs w:val="22"/>
        </w:rPr>
        <w:t xml:space="preserve">. </w:t>
      </w:r>
      <w:r w:rsidR="003C39AA" w:rsidRPr="003C6281">
        <w:rPr>
          <w:rFonts w:ascii="Calibri" w:hAnsi="Calibri" w:cs="Calibri"/>
          <w:b/>
          <w:color w:val="26744D"/>
          <w:sz w:val="20"/>
          <w:szCs w:val="22"/>
        </w:rPr>
        <w:t>Główny</w:t>
      </w:r>
      <w:r w:rsidRPr="003C6281">
        <w:rPr>
          <w:rFonts w:ascii="Calibri" w:hAnsi="Calibri" w:cs="Calibri"/>
          <w:b/>
          <w:color w:val="26744D"/>
          <w:sz w:val="20"/>
          <w:szCs w:val="22"/>
        </w:rPr>
        <w:t xml:space="preserve"> indeks</w:t>
      </w:r>
      <w:r w:rsidR="00F7027C" w:rsidRPr="003C6281">
        <w:rPr>
          <w:rFonts w:ascii="Calibri" w:hAnsi="Calibri" w:cs="Calibri"/>
          <w:b/>
          <w:color w:val="26744D"/>
          <w:sz w:val="20"/>
          <w:szCs w:val="22"/>
        </w:rPr>
        <w:t>, już</w:t>
      </w:r>
      <w:r w:rsidRPr="003C6281">
        <w:rPr>
          <w:rFonts w:ascii="Calibri" w:hAnsi="Calibri" w:cs="Calibri"/>
          <w:b/>
          <w:color w:val="26744D"/>
          <w:sz w:val="20"/>
          <w:szCs w:val="22"/>
        </w:rPr>
        <w:t xml:space="preserve"> po raz </w:t>
      </w:r>
      <w:r w:rsidR="00F7027C" w:rsidRPr="003C6281">
        <w:rPr>
          <w:rFonts w:ascii="Calibri" w:hAnsi="Calibri" w:cs="Calibri"/>
          <w:b/>
          <w:color w:val="26744D"/>
          <w:sz w:val="20"/>
          <w:szCs w:val="22"/>
        </w:rPr>
        <w:t>trzeci</w:t>
      </w:r>
      <w:r w:rsidRPr="003C6281">
        <w:rPr>
          <w:rFonts w:ascii="Calibri" w:hAnsi="Calibri" w:cs="Calibri"/>
          <w:b/>
          <w:color w:val="26744D"/>
          <w:sz w:val="20"/>
          <w:szCs w:val="22"/>
        </w:rPr>
        <w:t xml:space="preserve"> w historii pomiarów (od początku roku 2015)</w:t>
      </w:r>
      <w:r w:rsidR="00F7027C" w:rsidRPr="003C6281">
        <w:rPr>
          <w:rFonts w:ascii="Calibri" w:hAnsi="Calibri" w:cs="Calibri"/>
          <w:b/>
          <w:color w:val="26744D"/>
          <w:sz w:val="20"/>
          <w:szCs w:val="22"/>
        </w:rPr>
        <w:t>,</w:t>
      </w:r>
      <w:r w:rsidRPr="003C6281">
        <w:rPr>
          <w:rFonts w:ascii="Calibri" w:hAnsi="Calibri" w:cs="Calibri"/>
          <w:b/>
          <w:color w:val="26744D"/>
          <w:sz w:val="20"/>
          <w:szCs w:val="22"/>
        </w:rPr>
        <w:t xml:space="preserve"> osiągnął wartość niższą niż 50 pkt. (49,9 pkt.)</w:t>
      </w:r>
      <w:r w:rsidR="00F7027C" w:rsidRPr="003C6281">
        <w:rPr>
          <w:rFonts w:ascii="Calibri" w:hAnsi="Calibri" w:cs="Calibri"/>
          <w:b/>
          <w:color w:val="26744D"/>
          <w:sz w:val="20"/>
          <w:szCs w:val="22"/>
        </w:rPr>
        <w:t xml:space="preserve">, </w:t>
      </w:r>
      <w:r w:rsidR="002B13DA" w:rsidRPr="003C6281">
        <w:rPr>
          <w:rFonts w:ascii="Calibri" w:hAnsi="Calibri" w:cs="Calibri"/>
          <w:b/>
          <w:color w:val="26744D"/>
          <w:sz w:val="20"/>
          <w:szCs w:val="22"/>
        </w:rPr>
        <w:t>o 0,2 pkt. więcej niż w</w:t>
      </w:r>
      <w:r w:rsidR="00F7027C" w:rsidRPr="003C6281">
        <w:rPr>
          <w:rFonts w:ascii="Calibri" w:hAnsi="Calibri" w:cs="Calibri"/>
          <w:b/>
          <w:color w:val="26744D"/>
          <w:sz w:val="20"/>
          <w:szCs w:val="22"/>
        </w:rPr>
        <w:t xml:space="preserve"> ostatnim kwartale ubiegłego roku.</w:t>
      </w:r>
      <w:r w:rsidRPr="003C6281">
        <w:rPr>
          <w:rFonts w:ascii="Calibri" w:hAnsi="Calibri" w:cs="Calibri"/>
          <w:b/>
          <w:color w:val="26744D"/>
          <w:sz w:val="20"/>
          <w:szCs w:val="22"/>
        </w:rPr>
        <w:t xml:space="preserve"> </w:t>
      </w:r>
      <w:r w:rsidR="00F7027C" w:rsidRPr="003C6281">
        <w:rPr>
          <w:rFonts w:ascii="Calibri" w:hAnsi="Calibri" w:cs="Calibri"/>
          <w:b/>
          <w:color w:val="26744D"/>
          <w:sz w:val="20"/>
          <w:szCs w:val="22"/>
        </w:rPr>
        <w:t>Taki wynik o</w:t>
      </w:r>
      <w:r w:rsidRPr="003C6281">
        <w:rPr>
          <w:rFonts w:ascii="Calibri" w:hAnsi="Calibri" w:cs="Calibri"/>
          <w:b/>
          <w:color w:val="26744D"/>
          <w:sz w:val="20"/>
          <w:szCs w:val="22"/>
        </w:rPr>
        <w:t xml:space="preserve">znacza, że warunki do rozwoju firm w Polsce </w:t>
      </w:r>
      <w:r w:rsidR="00390091" w:rsidRPr="003C6281">
        <w:rPr>
          <w:rFonts w:ascii="Calibri" w:hAnsi="Calibri" w:cs="Calibri"/>
          <w:b/>
          <w:color w:val="26744D"/>
          <w:sz w:val="20"/>
          <w:szCs w:val="22"/>
        </w:rPr>
        <w:t>pozostają</w:t>
      </w:r>
      <w:r w:rsidRPr="003C6281">
        <w:rPr>
          <w:rFonts w:ascii="Calibri" w:hAnsi="Calibri" w:cs="Calibri"/>
          <w:b/>
          <w:color w:val="26744D"/>
          <w:sz w:val="20"/>
          <w:szCs w:val="22"/>
        </w:rPr>
        <w:t xml:space="preserve"> niekorzystne.</w:t>
      </w:r>
      <w:r w:rsidR="00696A78" w:rsidRPr="003C6281">
        <w:rPr>
          <w:rFonts w:ascii="Calibri" w:hAnsi="Calibri" w:cs="Calibri"/>
          <w:b/>
          <w:color w:val="26744D"/>
          <w:sz w:val="20"/>
          <w:szCs w:val="22"/>
        </w:rPr>
        <w:t xml:space="preserve"> Eksperci EFL zwracają </w:t>
      </w:r>
      <w:r w:rsidR="00F7027C" w:rsidRPr="003C6281">
        <w:rPr>
          <w:rFonts w:ascii="Calibri" w:hAnsi="Calibri" w:cs="Calibri"/>
          <w:b/>
          <w:color w:val="26744D"/>
          <w:sz w:val="20"/>
          <w:szCs w:val="22"/>
        </w:rPr>
        <w:t xml:space="preserve">jednak </w:t>
      </w:r>
      <w:r w:rsidR="00587E6B" w:rsidRPr="003C6281">
        <w:rPr>
          <w:rFonts w:ascii="Calibri" w:hAnsi="Calibri" w:cs="Calibri"/>
          <w:b/>
          <w:color w:val="26744D"/>
          <w:sz w:val="20"/>
          <w:szCs w:val="22"/>
        </w:rPr>
        <w:t>uwagę</w:t>
      </w:r>
      <w:r w:rsidR="00F7027C" w:rsidRPr="003C6281">
        <w:rPr>
          <w:rFonts w:ascii="Calibri" w:hAnsi="Calibri" w:cs="Calibri"/>
          <w:b/>
          <w:color w:val="26744D"/>
          <w:sz w:val="20"/>
          <w:szCs w:val="22"/>
        </w:rPr>
        <w:t xml:space="preserve"> na odbicie w obszarze inwestycji. 35,1 proc. przedsiębiorców prognozuje więcej inwestować – to najwięcej od prawie 2 lat (II kwartał 2018 – 35,1 proc.). </w:t>
      </w:r>
    </w:p>
    <w:p w14:paraId="2CE8DFCA" w14:textId="286DAFF7" w:rsidR="001710D9" w:rsidRPr="003C6281" w:rsidRDefault="00587E6B" w:rsidP="00C94F9B">
      <w:pPr>
        <w:spacing w:after="120" w:line="276" w:lineRule="auto"/>
        <w:jc w:val="both"/>
        <w:rPr>
          <w:rFonts w:ascii="Calibri" w:hAnsi="Calibri" w:cs="Calibri"/>
          <w:b/>
          <w:sz w:val="20"/>
          <w:szCs w:val="20"/>
        </w:rPr>
      </w:pPr>
      <w:r w:rsidRPr="003C6281">
        <w:rPr>
          <w:rFonts w:ascii="Calibri" w:hAnsi="Calibri" w:cs="Calibri"/>
          <w:b/>
          <w:sz w:val="20"/>
          <w:szCs w:val="20"/>
        </w:rPr>
        <w:t>Wartość głównego indeksu Barometru EFL wyniosła w I kwartale 20</w:t>
      </w:r>
      <w:r w:rsidR="001710D9" w:rsidRPr="003C6281">
        <w:rPr>
          <w:rFonts w:ascii="Calibri" w:hAnsi="Calibri" w:cs="Calibri"/>
          <w:b/>
          <w:sz w:val="20"/>
          <w:szCs w:val="20"/>
        </w:rPr>
        <w:t>20</w:t>
      </w:r>
      <w:r w:rsidRPr="003C6281">
        <w:rPr>
          <w:rFonts w:ascii="Calibri" w:hAnsi="Calibri" w:cs="Calibri"/>
          <w:b/>
          <w:sz w:val="20"/>
          <w:szCs w:val="20"/>
        </w:rPr>
        <w:t xml:space="preserve"> roku 49,9 pkt. </w:t>
      </w:r>
      <w:r w:rsidR="001710D9" w:rsidRPr="003C6281">
        <w:rPr>
          <w:rFonts w:ascii="Calibri" w:hAnsi="Calibri" w:cs="Calibri"/>
          <w:b/>
          <w:sz w:val="20"/>
          <w:szCs w:val="20"/>
        </w:rPr>
        <w:t>Osiągnięty poziom jest o 0,2 pkt. wyższy niż w ostatnim kwartale ubiegłego roku i taki sam jak w pierwszym pomiarze w 2019 roku.</w:t>
      </w:r>
    </w:p>
    <w:p w14:paraId="05291444" w14:textId="6A676A14" w:rsidR="00973315" w:rsidRDefault="00EE7E52" w:rsidP="00C94F9B">
      <w:pPr>
        <w:spacing w:after="120" w:line="276" w:lineRule="auto"/>
        <w:jc w:val="both"/>
        <w:rPr>
          <w:rFonts w:ascii="Calibri" w:hAnsi="Calibri" w:cs="Calibri"/>
          <w:b/>
          <w:color w:val="26744D"/>
          <w:sz w:val="20"/>
          <w:szCs w:val="22"/>
        </w:rPr>
      </w:pPr>
      <w:r w:rsidRPr="003C6281">
        <w:rPr>
          <w:rFonts w:ascii="Calibri" w:hAnsi="Calibri" w:cs="Calibri"/>
          <w:sz w:val="20"/>
          <w:szCs w:val="20"/>
        </w:rPr>
        <w:t>–</w:t>
      </w:r>
      <w:r w:rsidR="00973315" w:rsidRPr="003C6281">
        <w:rPr>
          <w:rFonts w:ascii="Calibri" w:hAnsi="Calibri" w:cs="Calibri"/>
          <w:sz w:val="20"/>
          <w:szCs w:val="20"/>
        </w:rPr>
        <w:t xml:space="preserve"> </w:t>
      </w:r>
      <w:r w:rsidR="00A37DF2" w:rsidRPr="003C6281">
        <w:rPr>
          <w:rFonts w:ascii="Calibri" w:hAnsi="Calibri" w:cs="Calibri"/>
          <w:i/>
          <w:sz w:val="20"/>
          <w:szCs w:val="20"/>
        </w:rPr>
        <w:t>Wbrew tendencjom z poprzednich lat, zgodnie z którymi na przełomie roku nastroje przedsiębiorców spadają osiągając najniższą wartość w ciągu roku, tym razem wynik Barometru jest nieco wyższy niż w ostatnim kwartale ubiegłego roku, jednak wciąż utrzymuje się na wyjątkowo niskim poziomie. Już po raz trzeci w historii pomiarów wartość wskaźnika nie osiągnęła granicy 50 pkt., a wszystkie sytuacje miały miejsce w ciągu nieco ponad roku. To niestety świadczy o utrzymywaniu się pesymistycznych nastrojów wśród M</w:t>
      </w:r>
      <w:r w:rsidR="000E71C3" w:rsidRPr="003C6281">
        <w:rPr>
          <w:rFonts w:ascii="Calibri" w:hAnsi="Calibri" w:cs="Calibri"/>
          <w:i/>
          <w:sz w:val="20"/>
          <w:szCs w:val="20"/>
        </w:rPr>
        <w:t>ŚP, c</w:t>
      </w:r>
      <w:r w:rsidR="00EA2D9F" w:rsidRPr="003C6281">
        <w:rPr>
          <w:rFonts w:ascii="Calibri" w:hAnsi="Calibri" w:cs="Calibri"/>
          <w:i/>
          <w:sz w:val="20"/>
          <w:szCs w:val="20"/>
        </w:rPr>
        <w:t>o koresponduje z trudniejszym otoczeniem zewnętrznym. Jednak należy podkreślić, że polska gospodarka pozostaje relatywnie odporna na zewnętrzne negatywne czynniki takie jak problemy niemieckiego przemysłu czy niższą dynamikę PKB w strefie euro. W 2019 roku zrealizowaliśmy wariant łagodnego wyhamowania tempa rozwoju naszej gospodarki.</w:t>
      </w:r>
      <w:r w:rsidR="002075AC" w:rsidRPr="003C6281">
        <w:rPr>
          <w:rFonts w:ascii="Calibri" w:hAnsi="Calibri" w:cs="Calibri"/>
          <w:i/>
          <w:sz w:val="20"/>
          <w:szCs w:val="20"/>
        </w:rPr>
        <w:t xml:space="preserve"> W 2020 trudno będzie utrzymać wysoki wzrost gospodarczy, jeśli będziemy mieć do czynienia z niskim udziałem inwestycji. Sama </w:t>
      </w:r>
      <w:r w:rsidR="003B3ABA" w:rsidRPr="003C6281">
        <w:rPr>
          <w:rFonts w:ascii="Calibri" w:hAnsi="Calibri" w:cs="Calibri"/>
          <w:i/>
          <w:sz w:val="20"/>
          <w:szCs w:val="20"/>
        </w:rPr>
        <w:t>konsumpcja</w:t>
      </w:r>
      <w:r w:rsidR="002075AC" w:rsidRPr="003C6281">
        <w:rPr>
          <w:rFonts w:ascii="Calibri" w:hAnsi="Calibri" w:cs="Calibri"/>
          <w:i/>
          <w:sz w:val="20"/>
          <w:szCs w:val="20"/>
        </w:rPr>
        <w:t xml:space="preserve"> tego nie zrekompensuje</w:t>
      </w:r>
      <w:r w:rsidR="002075AC" w:rsidRPr="003C6281">
        <w:rPr>
          <w:rFonts w:ascii="Calibri" w:hAnsi="Calibri" w:cs="Calibri"/>
          <w:sz w:val="20"/>
          <w:szCs w:val="22"/>
        </w:rPr>
        <w:t xml:space="preserve"> </w:t>
      </w:r>
      <w:r w:rsidR="007F739D" w:rsidRPr="003C6281">
        <w:rPr>
          <w:rFonts w:ascii="Calibri" w:hAnsi="Calibri" w:cs="Calibri"/>
          <w:sz w:val="20"/>
          <w:szCs w:val="22"/>
        </w:rPr>
        <w:t>– mówi</w:t>
      </w:r>
      <w:r w:rsidR="007F739D" w:rsidRPr="003C6281">
        <w:rPr>
          <w:rFonts w:ascii="Calibri" w:hAnsi="Calibri" w:cs="Calibri"/>
          <w:i/>
          <w:sz w:val="20"/>
          <w:szCs w:val="22"/>
        </w:rPr>
        <w:t xml:space="preserve"> </w:t>
      </w:r>
      <w:r w:rsidR="007F739D" w:rsidRPr="003C6281">
        <w:rPr>
          <w:rFonts w:ascii="Calibri" w:hAnsi="Calibri" w:cs="Calibri"/>
          <w:b/>
          <w:color w:val="26744D"/>
          <w:sz w:val="20"/>
          <w:szCs w:val="22"/>
        </w:rPr>
        <w:t xml:space="preserve">Radosław </w:t>
      </w:r>
      <w:r w:rsidR="002075AC" w:rsidRPr="003C6281">
        <w:rPr>
          <w:rFonts w:ascii="Calibri" w:hAnsi="Calibri" w:cs="Calibri"/>
          <w:b/>
          <w:color w:val="26744D"/>
          <w:sz w:val="20"/>
          <w:szCs w:val="22"/>
        </w:rPr>
        <w:t>Woźniak</w:t>
      </w:r>
      <w:r w:rsidR="007F739D" w:rsidRPr="003C6281">
        <w:rPr>
          <w:rFonts w:ascii="Calibri" w:hAnsi="Calibri" w:cs="Calibri"/>
          <w:b/>
          <w:color w:val="26744D"/>
          <w:sz w:val="20"/>
          <w:szCs w:val="22"/>
        </w:rPr>
        <w:t xml:space="preserve">, prezes EFL. </w:t>
      </w:r>
    </w:p>
    <w:p w14:paraId="1C5D73E9" w14:textId="763341F2" w:rsidR="007A30EA" w:rsidRPr="003C6281" w:rsidRDefault="007A30EA" w:rsidP="00C94F9B">
      <w:pPr>
        <w:spacing w:after="120" w:line="276" w:lineRule="auto"/>
        <w:jc w:val="both"/>
        <w:rPr>
          <w:rFonts w:ascii="Calibri" w:hAnsi="Calibri" w:cs="Calibri"/>
          <w:sz w:val="20"/>
          <w:szCs w:val="22"/>
        </w:rPr>
      </w:pPr>
      <w:r w:rsidRPr="007A30EA">
        <w:rPr>
          <w:rFonts w:ascii="Calibri" w:hAnsi="Calibri" w:cs="Calibri"/>
          <w:noProof/>
          <w:sz w:val="20"/>
          <w:szCs w:val="22"/>
          <w:lang w:eastAsia="pl-PL"/>
        </w:rPr>
        <w:drawing>
          <wp:inline distT="0" distB="0" distL="0" distR="0" wp14:anchorId="037A3806" wp14:editId="0969AA16">
            <wp:extent cx="6692900" cy="2051250"/>
            <wp:effectExtent l="0" t="0" r="0" b="6350"/>
            <wp:docPr id="2" name="Obraz 2" descr="D:\Users\malid\Documents\PR\2020\IP\Barometr\I kw\wykres głowny wskaź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alid\Documents\PR\2020\IP\Barometr\I kw\wykres głowny wskaźni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0" cy="2051250"/>
                    </a:xfrm>
                    <a:prstGeom prst="rect">
                      <a:avLst/>
                    </a:prstGeom>
                    <a:noFill/>
                    <a:ln>
                      <a:noFill/>
                    </a:ln>
                  </pic:spPr>
                </pic:pic>
              </a:graphicData>
            </a:graphic>
          </wp:inline>
        </w:drawing>
      </w:r>
      <w:bookmarkStart w:id="0" w:name="_GoBack"/>
      <w:bookmarkEnd w:id="0"/>
    </w:p>
    <w:p w14:paraId="2BEB174E" w14:textId="79CE102F" w:rsidR="00281BB2" w:rsidRPr="003C6281" w:rsidRDefault="009C69A0" w:rsidP="00C94F9B">
      <w:pPr>
        <w:spacing w:after="120" w:line="276" w:lineRule="auto"/>
        <w:jc w:val="both"/>
        <w:rPr>
          <w:rFonts w:ascii="Calibri" w:hAnsi="Calibri" w:cs="Calibri"/>
          <w:b/>
          <w:color w:val="26744D"/>
          <w:sz w:val="20"/>
          <w:szCs w:val="22"/>
        </w:rPr>
      </w:pPr>
      <w:r w:rsidRPr="003C6281">
        <w:rPr>
          <w:rFonts w:ascii="Calibri" w:hAnsi="Calibri" w:cs="Calibri"/>
          <w:b/>
          <w:color w:val="26744D"/>
          <w:sz w:val="20"/>
          <w:szCs w:val="22"/>
        </w:rPr>
        <w:t>Poniżej progu</w:t>
      </w:r>
    </w:p>
    <w:p w14:paraId="74E9E0D4" w14:textId="26F6A9D0" w:rsidR="00281BB2" w:rsidRPr="003C6281" w:rsidRDefault="00281BB2" w:rsidP="00C94F9B">
      <w:pPr>
        <w:spacing w:after="120" w:line="276" w:lineRule="auto"/>
        <w:jc w:val="both"/>
        <w:rPr>
          <w:rFonts w:ascii="Calibri" w:hAnsi="Calibri" w:cs="Calibri"/>
          <w:sz w:val="20"/>
          <w:szCs w:val="20"/>
        </w:rPr>
      </w:pPr>
      <w:r w:rsidRPr="003C6281">
        <w:rPr>
          <w:rFonts w:ascii="Calibri" w:hAnsi="Calibri" w:cs="Calibri"/>
          <w:sz w:val="20"/>
          <w:szCs w:val="20"/>
        </w:rPr>
        <w:t xml:space="preserve">Próg OR to poziom ograniczonego rozwoju firm z sektora MŚP, który wynosi co najmniej 50 pkt. w Barometrze EFL. </w:t>
      </w:r>
      <w:r w:rsidR="00A300E2" w:rsidRPr="003C6281">
        <w:rPr>
          <w:rFonts w:ascii="Calibri" w:hAnsi="Calibri" w:cs="Calibri"/>
          <w:sz w:val="20"/>
          <w:szCs w:val="20"/>
        </w:rPr>
        <w:t>S</w:t>
      </w:r>
      <w:r w:rsidRPr="003C6281">
        <w:rPr>
          <w:rFonts w:ascii="Calibri" w:hAnsi="Calibri" w:cs="Calibri"/>
          <w:sz w:val="20"/>
          <w:szCs w:val="20"/>
        </w:rPr>
        <w:t xml:space="preserve">tanowi algorytm stworzony na podstawie danych zgromadzonych w trakcie badania przedsiębiorców dotyczących 4 sfer: poziomu sprzedaży, planowanych inwestycji w środki trwałe, płynności finansowej i zapotrzebowania na zewnętrzne finansowanie. </w:t>
      </w:r>
      <w:r w:rsidR="00A300E2" w:rsidRPr="003C6281">
        <w:rPr>
          <w:rFonts w:ascii="Calibri" w:hAnsi="Calibri" w:cs="Calibri"/>
          <w:sz w:val="20"/>
          <w:szCs w:val="20"/>
        </w:rPr>
        <w:t xml:space="preserve">Przyjmuje </w:t>
      </w:r>
      <w:r w:rsidRPr="003C6281">
        <w:rPr>
          <w:rFonts w:ascii="Calibri" w:hAnsi="Calibri" w:cs="Calibri"/>
          <w:sz w:val="20"/>
          <w:szCs w:val="20"/>
        </w:rPr>
        <w:t xml:space="preserve">wartości od 0 do 100, przy czym zagregowany wynik powyżej 50 pkt. oznacza, że występują sprzyjające warunki do rozwoju sektora MŚP, natomiast wynik niższy oznacza, że warunki te są niekorzystne. </w:t>
      </w:r>
      <w:r w:rsidR="00355157" w:rsidRPr="003C6281">
        <w:rPr>
          <w:rFonts w:ascii="Calibri" w:hAnsi="Calibri" w:cs="Calibri"/>
          <w:sz w:val="20"/>
          <w:szCs w:val="20"/>
        </w:rPr>
        <w:t>P</w:t>
      </w:r>
      <w:r w:rsidRPr="003C6281">
        <w:rPr>
          <w:rFonts w:ascii="Calibri" w:hAnsi="Calibri" w:cs="Calibri"/>
          <w:sz w:val="20"/>
          <w:szCs w:val="20"/>
        </w:rPr>
        <w:t xml:space="preserve">oziom 49,9 pkt. osiągnięty na początku tego </w:t>
      </w:r>
      <w:r w:rsidRPr="003C6281">
        <w:rPr>
          <w:rFonts w:ascii="Calibri" w:hAnsi="Calibri" w:cs="Calibri"/>
          <w:sz w:val="20"/>
          <w:szCs w:val="20"/>
        </w:rPr>
        <w:lastRenderedPageBreak/>
        <w:t xml:space="preserve">roku nie przekroczył progu OR, co </w:t>
      </w:r>
      <w:r w:rsidRPr="003C6281">
        <w:rPr>
          <w:rFonts w:ascii="Calibri" w:hAnsi="Calibri" w:cs="Calibri"/>
          <w:sz w:val="20"/>
          <w:szCs w:val="22"/>
        </w:rPr>
        <w:t>o</w:t>
      </w:r>
      <w:r w:rsidRPr="003C6281">
        <w:rPr>
          <w:rFonts w:ascii="Calibri" w:hAnsi="Calibri" w:cs="Calibri"/>
          <w:sz w:val="20"/>
          <w:szCs w:val="20"/>
        </w:rPr>
        <w:t>znacza, że mikro, małe i średnie przedsiębiorstwa widzą mniejsze szanse na rozwój w najbliższych miesiącach.</w:t>
      </w:r>
      <w:r w:rsidR="00355157" w:rsidRPr="003C6281">
        <w:rPr>
          <w:rFonts w:ascii="Calibri" w:hAnsi="Calibri" w:cs="Calibri"/>
          <w:sz w:val="20"/>
          <w:szCs w:val="20"/>
        </w:rPr>
        <w:t xml:space="preserve"> Z podobną sytuacją mieliśmy do czynienia na początku 2019 roku.</w:t>
      </w:r>
    </w:p>
    <w:p w14:paraId="11269709" w14:textId="4F8A0113" w:rsidR="00281BB2" w:rsidRPr="003C6281" w:rsidRDefault="0052001E" w:rsidP="00C94F9B">
      <w:pPr>
        <w:spacing w:after="120" w:line="276" w:lineRule="auto"/>
        <w:jc w:val="both"/>
        <w:rPr>
          <w:rFonts w:ascii="Calibri" w:hAnsi="Calibri" w:cs="Calibri"/>
          <w:b/>
          <w:color w:val="26744D"/>
          <w:sz w:val="20"/>
          <w:szCs w:val="22"/>
        </w:rPr>
      </w:pPr>
      <w:r w:rsidRPr="003C6281">
        <w:rPr>
          <w:rFonts w:ascii="Calibri" w:hAnsi="Calibri" w:cs="Calibri"/>
          <w:b/>
          <w:color w:val="26744D"/>
          <w:sz w:val="20"/>
          <w:szCs w:val="22"/>
        </w:rPr>
        <w:t>Odbicie w inwe</w:t>
      </w:r>
      <w:r w:rsidR="0002721D" w:rsidRPr="003C6281">
        <w:rPr>
          <w:rFonts w:ascii="Calibri" w:hAnsi="Calibri" w:cs="Calibri"/>
          <w:b/>
          <w:color w:val="26744D"/>
          <w:sz w:val="20"/>
          <w:szCs w:val="22"/>
        </w:rPr>
        <w:t>st</w:t>
      </w:r>
      <w:r w:rsidRPr="003C6281">
        <w:rPr>
          <w:rFonts w:ascii="Calibri" w:hAnsi="Calibri" w:cs="Calibri"/>
          <w:b/>
          <w:color w:val="26744D"/>
          <w:sz w:val="20"/>
          <w:szCs w:val="22"/>
        </w:rPr>
        <w:t>ycjach</w:t>
      </w:r>
    </w:p>
    <w:p w14:paraId="23946F1C" w14:textId="46B02803" w:rsidR="0052001E" w:rsidRPr="003C6281" w:rsidRDefault="007D72D0" w:rsidP="00C94F9B">
      <w:pPr>
        <w:spacing w:after="120" w:line="276" w:lineRule="auto"/>
        <w:jc w:val="both"/>
        <w:rPr>
          <w:rFonts w:ascii="Calibri" w:hAnsi="Calibri" w:cs="Calibri"/>
          <w:sz w:val="20"/>
          <w:szCs w:val="20"/>
        </w:rPr>
      </w:pPr>
      <w:r w:rsidRPr="003C6281">
        <w:rPr>
          <w:rFonts w:ascii="Calibri" w:hAnsi="Calibri" w:cs="Calibri"/>
          <w:sz w:val="20"/>
          <w:szCs w:val="20"/>
        </w:rPr>
        <w:t xml:space="preserve">Mimo ogólnego pesymizmu </w:t>
      </w:r>
      <w:r w:rsidR="0052001E" w:rsidRPr="003C6281">
        <w:rPr>
          <w:rFonts w:ascii="Calibri" w:hAnsi="Calibri" w:cs="Calibri"/>
          <w:sz w:val="20"/>
          <w:szCs w:val="20"/>
        </w:rPr>
        <w:t xml:space="preserve">w sektorze </w:t>
      </w:r>
      <w:r w:rsidRPr="003C6281">
        <w:rPr>
          <w:rFonts w:ascii="Calibri" w:hAnsi="Calibri" w:cs="Calibri"/>
          <w:sz w:val="20"/>
          <w:szCs w:val="20"/>
        </w:rPr>
        <w:t>M</w:t>
      </w:r>
      <w:r w:rsidR="0052001E" w:rsidRPr="003C6281">
        <w:rPr>
          <w:rFonts w:ascii="Calibri" w:hAnsi="Calibri" w:cs="Calibri"/>
          <w:sz w:val="20"/>
          <w:szCs w:val="20"/>
        </w:rPr>
        <w:t>Ś</w:t>
      </w:r>
      <w:r w:rsidRPr="003C6281">
        <w:rPr>
          <w:rFonts w:ascii="Calibri" w:hAnsi="Calibri" w:cs="Calibri"/>
          <w:sz w:val="20"/>
          <w:szCs w:val="20"/>
        </w:rPr>
        <w:t>P</w:t>
      </w:r>
      <w:r w:rsidR="0052001E" w:rsidRPr="003C6281">
        <w:rPr>
          <w:rFonts w:ascii="Calibri" w:hAnsi="Calibri" w:cs="Calibri"/>
          <w:sz w:val="20"/>
          <w:szCs w:val="20"/>
        </w:rPr>
        <w:t>,</w:t>
      </w:r>
      <w:r w:rsidRPr="003C6281">
        <w:rPr>
          <w:rFonts w:ascii="Calibri" w:hAnsi="Calibri" w:cs="Calibri"/>
          <w:sz w:val="20"/>
          <w:szCs w:val="20"/>
        </w:rPr>
        <w:t xml:space="preserve"> pozytywnie należy ocenić wysoki odsetek przedsiębiorców przewidujących wzrost inwestycji w I kwartale 2020. Jest ich ponad 35</w:t>
      </w:r>
      <w:r w:rsidR="0052001E" w:rsidRPr="003C6281">
        <w:rPr>
          <w:rFonts w:ascii="Calibri" w:hAnsi="Calibri" w:cs="Calibri"/>
          <w:sz w:val="20"/>
          <w:szCs w:val="20"/>
        </w:rPr>
        <w:t xml:space="preserve"> proc. Jest to wynik nie tylko lepszy niż kwartał wcześniej (IV kwartał 2019 – 16 proc.) i rok temu (I kwartał 2019 – 18,3 proc.), ale najlepszy od prawie 2 lat (II kwartał 2018 – 35,1 proc.).</w:t>
      </w:r>
      <w:r w:rsidR="0002721D" w:rsidRPr="003C6281">
        <w:rPr>
          <w:rFonts w:ascii="Calibri" w:hAnsi="Calibri" w:cs="Calibri"/>
          <w:sz w:val="20"/>
          <w:szCs w:val="20"/>
        </w:rPr>
        <w:t xml:space="preserve"> Po najgorszym wyniku w historii badania (czyli od początku 2015 roku),</w:t>
      </w:r>
      <w:r w:rsidR="00491522" w:rsidRPr="003C6281">
        <w:rPr>
          <w:rFonts w:ascii="Calibri" w:hAnsi="Calibri" w:cs="Calibri"/>
          <w:sz w:val="20"/>
          <w:szCs w:val="20"/>
        </w:rPr>
        <w:t xml:space="preserve"> z jakim mieliśmy do czynienia w ostatnim kwartale 2019 roku,</w:t>
      </w:r>
      <w:r w:rsidR="0002721D" w:rsidRPr="003C6281">
        <w:rPr>
          <w:rFonts w:ascii="Calibri" w:hAnsi="Calibri" w:cs="Calibri"/>
          <w:sz w:val="20"/>
          <w:szCs w:val="20"/>
        </w:rPr>
        <w:t xml:space="preserve"> taki odsetek daje nadzieje na odbicie </w:t>
      </w:r>
      <w:r w:rsidR="00491522" w:rsidRPr="003C6281">
        <w:rPr>
          <w:rFonts w:ascii="Calibri" w:hAnsi="Calibri" w:cs="Calibri"/>
          <w:sz w:val="20"/>
          <w:szCs w:val="20"/>
        </w:rPr>
        <w:t xml:space="preserve">segmentu MŚP </w:t>
      </w:r>
      <w:r w:rsidR="0002721D" w:rsidRPr="003C6281">
        <w:rPr>
          <w:rFonts w:ascii="Calibri" w:hAnsi="Calibri" w:cs="Calibri"/>
          <w:sz w:val="20"/>
          <w:szCs w:val="20"/>
        </w:rPr>
        <w:t xml:space="preserve">w tym obszarze. </w:t>
      </w:r>
    </w:p>
    <w:p w14:paraId="107CF2C3" w14:textId="6547C68D" w:rsidR="00281BB2" w:rsidRPr="003C6281" w:rsidRDefault="001B6C8B" w:rsidP="00C94F9B">
      <w:pPr>
        <w:spacing w:after="120" w:line="276" w:lineRule="auto"/>
        <w:jc w:val="both"/>
        <w:rPr>
          <w:rFonts w:ascii="Calibri" w:hAnsi="Calibri" w:cs="Calibri"/>
          <w:sz w:val="20"/>
          <w:szCs w:val="20"/>
        </w:rPr>
      </w:pPr>
      <w:r w:rsidRPr="003C6281">
        <w:rPr>
          <w:rFonts w:ascii="Calibri" w:hAnsi="Calibri" w:cs="Calibri"/>
          <w:sz w:val="20"/>
          <w:szCs w:val="20"/>
        </w:rPr>
        <w:t>Co ciekawe, p</w:t>
      </w:r>
      <w:r w:rsidR="00281BB2" w:rsidRPr="003C6281">
        <w:rPr>
          <w:rFonts w:ascii="Calibri" w:hAnsi="Calibri" w:cs="Calibri"/>
          <w:sz w:val="20"/>
          <w:szCs w:val="20"/>
        </w:rPr>
        <w:t xml:space="preserve">lanowany </w:t>
      </w:r>
      <w:r w:rsidRPr="003C6281">
        <w:rPr>
          <w:rFonts w:ascii="Calibri" w:hAnsi="Calibri" w:cs="Calibri"/>
          <w:sz w:val="20"/>
          <w:szCs w:val="20"/>
        </w:rPr>
        <w:t>wzrost</w:t>
      </w:r>
      <w:r w:rsidR="00281BB2" w:rsidRPr="003C6281">
        <w:rPr>
          <w:rFonts w:ascii="Calibri" w:hAnsi="Calibri" w:cs="Calibri"/>
          <w:sz w:val="20"/>
          <w:szCs w:val="20"/>
        </w:rPr>
        <w:t xml:space="preserve"> poziomu inwestycji </w:t>
      </w:r>
      <w:r w:rsidRPr="003C6281">
        <w:rPr>
          <w:rFonts w:ascii="Calibri" w:hAnsi="Calibri" w:cs="Calibri"/>
          <w:sz w:val="20"/>
          <w:szCs w:val="20"/>
        </w:rPr>
        <w:t xml:space="preserve">nie </w:t>
      </w:r>
      <w:r w:rsidR="00281BB2" w:rsidRPr="003C6281">
        <w:rPr>
          <w:rFonts w:ascii="Calibri" w:hAnsi="Calibri" w:cs="Calibri"/>
          <w:sz w:val="20"/>
          <w:szCs w:val="20"/>
        </w:rPr>
        <w:t xml:space="preserve">sprawia, że MŚP wyrażają </w:t>
      </w:r>
      <w:r w:rsidRPr="003C6281">
        <w:rPr>
          <w:rFonts w:ascii="Calibri" w:hAnsi="Calibri" w:cs="Calibri"/>
          <w:sz w:val="20"/>
          <w:szCs w:val="20"/>
        </w:rPr>
        <w:t>większe</w:t>
      </w:r>
      <w:r w:rsidR="00281BB2" w:rsidRPr="003C6281">
        <w:rPr>
          <w:rFonts w:ascii="Calibri" w:hAnsi="Calibri" w:cs="Calibri"/>
          <w:sz w:val="20"/>
          <w:szCs w:val="20"/>
        </w:rPr>
        <w:t xml:space="preserve"> zapotrzebowanie</w:t>
      </w:r>
      <w:r w:rsidR="00013546" w:rsidRPr="003C6281">
        <w:rPr>
          <w:rFonts w:ascii="Calibri" w:hAnsi="Calibri" w:cs="Calibri"/>
          <w:sz w:val="20"/>
          <w:szCs w:val="20"/>
        </w:rPr>
        <w:t xml:space="preserve"> na finansowanie zewnętrzne</w:t>
      </w:r>
      <w:r w:rsidRPr="003C6281">
        <w:rPr>
          <w:rFonts w:ascii="Calibri" w:hAnsi="Calibri" w:cs="Calibri"/>
          <w:sz w:val="20"/>
          <w:szCs w:val="20"/>
        </w:rPr>
        <w:t xml:space="preserve">. Wręcz przeciwnie, odsetek przedsiębiorców, którzy planują więcej pożyczyć od </w:t>
      </w:r>
      <w:r w:rsidR="003B3ABA" w:rsidRPr="003C6281">
        <w:rPr>
          <w:rFonts w:ascii="Calibri" w:hAnsi="Calibri" w:cs="Calibri"/>
          <w:sz w:val="20"/>
          <w:szCs w:val="20"/>
        </w:rPr>
        <w:t>instytucji</w:t>
      </w:r>
      <w:r w:rsidRPr="003C6281">
        <w:rPr>
          <w:rFonts w:ascii="Calibri" w:hAnsi="Calibri" w:cs="Calibri"/>
          <w:sz w:val="20"/>
          <w:szCs w:val="20"/>
        </w:rPr>
        <w:t xml:space="preserve"> finansowych, jest najniższy od początku realizacji badania i wynosi tylko 7,7 proc.</w:t>
      </w:r>
    </w:p>
    <w:p w14:paraId="18EA0824" w14:textId="3E92735C" w:rsidR="00281BB2" w:rsidRPr="003C6281" w:rsidRDefault="00A261FF" w:rsidP="00C94F9B">
      <w:pPr>
        <w:spacing w:after="120" w:line="276" w:lineRule="auto"/>
        <w:jc w:val="both"/>
        <w:rPr>
          <w:rFonts w:ascii="Calibri" w:hAnsi="Calibri" w:cs="Calibri"/>
          <w:b/>
          <w:color w:val="26744D"/>
          <w:sz w:val="20"/>
          <w:szCs w:val="22"/>
        </w:rPr>
      </w:pPr>
      <w:r w:rsidRPr="003C6281">
        <w:rPr>
          <w:rFonts w:ascii="Calibri" w:hAnsi="Calibri" w:cs="Calibri"/>
          <w:b/>
          <w:color w:val="26744D"/>
          <w:sz w:val="20"/>
          <w:szCs w:val="22"/>
        </w:rPr>
        <w:t>Niższa sprzedaż</w:t>
      </w:r>
    </w:p>
    <w:p w14:paraId="654705F2" w14:textId="0C516B76" w:rsidR="00281BB2" w:rsidRPr="003C6281" w:rsidRDefault="00281BB2" w:rsidP="00C94F9B">
      <w:pPr>
        <w:spacing w:after="120" w:line="276" w:lineRule="auto"/>
        <w:jc w:val="both"/>
        <w:rPr>
          <w:rFonts w:ascii="Calibri" w:hAnsi="Calibri" w:cs="Calibri"/>
          <w:sz w:val="20"/>
          <w:szCs w:val="22"/>
        </w:rPr>
      </w:pPr>
      <w:r w:rsidRPr="003C6281">
        <w:rPr>
          <w:rFonts w:ascii="Calibri" w:hAnsi="Calibri" w:cs="Calibri"/>
          <w:sz w:val="20"/>
          <w:szCs w:val="20"/>
        </w:rPr>
        <w:t>Odsetek osób, które spodziewają się większych</w:t>
      </w:r>
      <w:r w:rsidR="00013546" w:rsidRPr="003C6281">
        <w:rPr>
          <w:rFonts w:ascii="Calibri" w:hAnsi="Calibri" w:cs="Calibri"/>
          <w:sz w:val="20"/>
          <w:szCs w:val="20"/>
        </w:rPr>
        <w:t xml:space="preserve"> zamówień w ciągu I</w:t>
      </w:r>
      <w:r w:rsidRPr="003C6281">
        <w:rPr>
          <w:rFonts w:ascii="Calibri" w:hAnsi="Calibri" w:cs="Calibri"/>
          <w:sz w:val="20"/>
          <w:szCs w:val="20"/>
        </w:rPr>
        <w:t xml:space="preserve"> kwartału, </w:t>
      </w:r>
      <w:r w:rsidR="00185875" w:rsidRPr="003C6281">
        <w:rPr>
          <w:rFonts w:ascii="Calibri" w:hAnsi="Calibri" w:cs="Calibri"/>
          <w:sz w:val="20"/>
          <w:szCs w:val="20"/>
        </w:rPr>
        <w:t xml:space="preserve">lekko </w:t>
      </w:r>
      <w:r w:rsidRPr="003C6281">
        <w:rPr>
          <w:rFonts w:ascii="Calibri" w:hAnsi="Calibri" w:cs="Calibri"/>
          <w:sz w:val="20"/>
          <w:szCs w:val="20"/>
        </w:rPr>
        <w:t xml:space="preserve">spadł (z </w:t>
      </w:r>
      <w:r w:rsidR="00013546" w:rsidRPr="003C6281">
        <w:rPr>
          <w:rFonts w:ascii="Calibri" w:hAnsi="Calibri" w:cs="Calibri"/>
          <w:sz w:val="20"/>
          <w:szCs w:val="20"/>
        </w:rPr>
        <w:t>2</w:t>
      </w:r>
      <w:r w:rsidR="00185875" w:rsidRPr="003C6281">
        <w:rPr>
          <w:rFonts w:ascii="Calibri" w:hAnsi="Calibri" w:cs="Calibri"/>
          <w:sz w:val="20"/>
          <w:szCs w:val="20"/>
        </w:rPr>
        <w:t>6,2</w:t>
      </w:r>
      <w:r w:rsidRPr="003C6281">
        <w:rPr>
          <w:rFonts w:ascii="Calibri" w:hAnsi="Calibri" w:cs="Calibri"/>
          <w:sz w:val="20"/>
          <w:szCs w:val="20"/>
        </w:rPr>
        <w:t xml:space="preserve"> proc. do </w:t>
      </w:r>
      <w:r w:rsidR="00013546" w:rsidRPr="003C6281">
        <w:rPr>
          <w:rFonts w:ascii="Calibri" w:hAnsi="Calibri" w:cs="Calibri"/>
          <w:sz w:val="20"/>
          <w:szCs w:val="20"/>
        </w:rPr>
        <w:t>2</w:t>
      </w:r>
      <w:r w:rsidR="00185875" w:rsidRPr="003C6281">
        <w:rPr>
          <w:rFonts w:ascii="Calibri" w:hAnsi="Calibri" w:cs="Calibri"/>
          <w:sz w:val="20"/>
          <w:szCs w:val="20"/>
        </w:rPr>
        <w:t>5,3</w:t>
      </w:r>
      <w:r w:rsidR="00013546" w:rsidRPr="003C6281">
        <w:rPr>
          <w:rFonts w:ascii="Calibri" w:hAnsi="Calibri" w:cs="Calibri"/>
          <w:sz w:val="20"/>
          <w:szCs w:val="20"/>
        </w:rPr>
        <w:t xml:space="preserve"> proc.)</w:t>
      </w:r>
      <w:r w:rsidR="00356651" w:rsidRPr="003C6281">
        <w:rPr>
          <w:rFonts w:ascii="Calibri" w:hAnsi="Calibri" w:cs="Calibri"/>
          <w:sz w:val="20"/>
          <w:szCs w:val="20"/>
        </w:rPr>
        <w:t xml:space="preserve"> w porównaniu do IV kwartału ubiegłego roku</w:t>
      </w:r>
      <w:r w:rsidR="00013546" w:rsidRPr="003C6281">
        <w:rPr>
          <w:rFonts w:ascii="Calibri" w:hAnsi="Calibri" w:cs="Calibri"/>
          <w:sz w:val="20"/>
          <w:szCs w:val="20"/>
        </w:rPr>
        <w:t xml:space="preserve">. </w:t>
      </w:r>
      <w:r w:rsidR="00356651" w:rsidRPr="003C6281">
        <w:rPr>
          <w:rFonts w:ascii="Calibri" w:hAnsi="Calibri" w:cs="Calibri"/>
          <w:sz w:val="20"/>
          <w:szCs w:val="20"/>
        </w:rPr>
        <w:t xml:space="preserve">W porównaniu do sytuacji sprzed roku odsetek optymistów jest </w:t>
      </w:r>
      <w:r w:rsidR="00185875" w:rsidRPr="003C6281">
        <w:rPr>
          <w:rFonts w:ascii="Calibri" w:hAnsi="Calibri" w:cs="Calibri"/>
          <w:sz w:val="20"/>
          <w:szCs w:val="20"/>
        </w:rPr>
        <w:t>nieco wyższy – o 2,3 p.p.</w:t>
      </w:r>
      <w:r w:rsidR="00356651" w:rsidRPr="003C6281">
        <w:rPr>
          <w:rFonts w:ascii="Calibri" w:hAnsi="Calibri" w:cs="Calibri"/>
          <w:sz w:val="20"/>
          <w:szCs w:val="20"/>
        </w:rPr>
        <w:t xml:space="preserve"> </w:t>
      </w:r>
      <w:r w:rsidRPr="003C6281">
        <w:rPr>
          <w:rFonts w:ascii="Calibri" w:hAnsi="Calibri" w:cs="Calibri"/>
          <w:sz w:val="20"/>
          <w:szCs w:val="22"/>
        </w:rPr>
        <w:t xml:space="preserve">Szacowany </w:t>
      </w:r>
      <w:r w:rsidR="00185875" w:rsidRPr="003C6281">
        <w:rPr>
          <w:rFonts w:ascii="Calibri" w:hAnsi="Calibri" w:cs="Calibri"/>
          <w:sz w:val="20"/>
          <w:szCs w:val="22"/>
        </w:rPr>
        <w:t xml:space="preserve">lekki </w:t>
      </w:r>
      <w:r w:rsidRPr="003C6281">
        <w:rPr>
          <w:rFonts w:ascii="Calibri" w:hAnsi="Calibri" w:cs="Calibri"/>
          <w:sz w:val="20"/>
          <w:szCs w:val="22"/>
        </w:rPr>
        <w:t xml:space="preserve">spadek sprzedaży </w:t>
      </w:r>
      <w:r w:rsidR="00013546" w:rsidRPr="003C6281">
        <w:rPr>
          <w:rFonts w:ascii="Calibri" w:hAnsi="Calibri" w:cs="Calibri"/>
          <w:sz w:val="20"/>
          <w:szCs w:val="22"/>
        </w:rPr>
        <w:t xml:space="preserve">nie </w:t>
      </w:r>
      <w:r w:rsidRPr="003C6281">
        <w:rPr>
          <w:rFonts w:ascii="Calibri" w:hAnsi="Calibri" w:cs="Calibri"/>
          <w:sz w:val="20"/>
          <w:szCs w:val="22"/>
        </w:rPr>
        <w:t>pociągnął</w:t>
      </w:r>
      <w:r w:rsidR="00013546" w:rsidRPr="003C6281">
        <w:rPr>
          <w:rFonts w:ascii="Calibri" w:hAnsi="Calibri" w:cs="Calibri"/>
          <w:sz w:val="20"/>
          <w:szCs w:val="22"/>
        </w:rPr>
        <w:t xml:space="preserve"> jednak</w:t>
      </w:r>
      <w:r w:rsidRPr="003C6281">
        <w:rPr>
          <w:rFonts w:ascii="Calibri" w:hAnsi="Calibri" w:cs="Calibri"/>
          <w:sz w:val="20"/>
          <w:szCs w:val="22"/>
        </w:rPr>
        <w:t xml:space="preserve"> za sobą </w:t>
      </w:r>
      <w:r w:rsidR="00013546" w:rsidRPr="003C6281">
        <w:rPr>
          <w:rFonts w:ascii="Calibri" w:hAnsi="Calibri" w:cs="Calibri"/>
          <w:sz w:val="20"/>
          <w:szCs w:val="22"/>
        </w:rPr>
        <w:t>ocen dotyczących</w:t>
      </w:r>
      <w:r w:rsidRPr="003C6281">
        <w:rPr>
          <w:rFonts w:ascii="Calibri" w:hAnsi="Calibri" w:cs="Calibri"/>
          <w:sz w:val="20"/>
          <w:szCs w:val="22"/>
        </w:rPr>
        <w:t xml:space="preserve"> płynności finansowej w porównaniu do ubiegłego kwartału. Odsetek osób spodziewających się wzrostu płynno</w:t>
      </w:r>
      <w:r w:rsidR="00013546" w:rsidRPr="003C6281">
        <w:rPr>
          <w:rFonts w:ascii="Calibri" w:hAnsi="Calibri" w:cs="Calibri"/>
          <w:sz w:val="20"/>
          <w:szCs w:val="22"/>
        </w:rPr>
        <w:t xml:space="preserve">ści finansowej wyniósł </w:t>
      </w:r>
      <w:r w:rsidR="00185875" w:rsidRPr="003C6281">
        <w:rPr>
          <w:rFonts w:ascii="Calibri" w:hAnsi="Calibri" w:cs="Calibri"/>
          <w:sz w:val="20"/>
          <w:szCs w:val="22"/>
        </w:rPr>
        <w:t>20</w:t>
      </w:r>
      <w:r w:rsidR="00013546" w:rsidRPr="003C6281">
        <w:rPr>
          <w:rFonts w:ascii="Calibri" w:hAnsi="Calibri" w:cs="Calibri"/>
          <w:sz w:val="20"/>
          <w:szCs w:val="22"/>
        </w:rPr>
        <w:t xml:space="preserve"> proc., </w:t>
      </w:r>
      <w:r w:rsidRPr="003C6281">
        <w:rPr>
          <w:rFonts w:ascii="Calibri" w:hAnsi="Calibri" w:cs="Calibri"/>
          <w:sz w:val="20"/>
          <w:szCs w:val="22"/>
        </w:rPr>
        <w:t xml:space="preserve">o </w:t>
      </w:r>
      <w:r w:rsidR="00185875" w:rsidRPr="003C6281">
        <w:rPr>
          <w:rFonts w:ascii="Calibri" w:hAnsi="Calibri" w:cs="Calibri"/>
          <w:sz w:val="20"/>
          <w:szCs w:val="22"/>
        </w:rPr>
        <w:t>3,2</w:t>
      </w:r>
      <w:r w:rsidRPr="003C6281">
        <w:rPr>
          <w:rFonts w:ascii="Calibri" w:hAnsi="Calibri" w:cs="Calibri"/>
          <w:sz w:val="20"/>
          <w:szCs w:val="22"/>
        </w:rPr>
        <w:t xml:space="preserve"> p.p. </w:t>
      </w:r>
      <w:r w:rsidR="00013546" w:rsidRPr="003C6281">
        <w:rPr>
          <w:rFonts w:ascii="Calibri" w:hAnsi="Calibri" w:cs="Calibri"/>
          <w:sz w:val="20"/>
          <w:szCs w:val="22"/>
        </w:rPr>
        <w:t xml:space="preserve">więcej </w:t>
      </w:r>
      <w:r w:rsidRPr="003C6281">
        <w:rPr>
          <w:rFonts w:ascii="Calibri" w:hAnsi="Calibri" w:cs="Calibri"/>
          <w:sz w:val="20"/>
          <w:szCs w:val="22"/>
        </w:rPr>
        <w:t>w ujęciu kwartalnym.</w:t>
      </w:r>
    </w:p>
    <w:p w14:paraId="13F74BE0" w14:textId="52B03084" w:rsidR="00281BB2" w:rsidRPr="003C6281" w:rsidRDefault="003B3ABA" w:rsidP="00C94F9B">
      <w:pPr>
        <w:spacing w:after="120" w:line="276" w:lineRule="auto"/>
        <w:jc w:val="both"/>
        <w:rPr>
          <w:rFonts w:ascii="Calibri" w:hAnsi="Calibri" w:cs="Calibri"/>
          <w:b/>
          <w:color w:val="26744D"/>
          <w:sz w:val="20"/>
          <w:szCs w:val="22"/>
        </w:rPr>
      </w:pPr>
      <w:r w:rsidRPr="003C6281">
        <w:rPr>
          <w:rFonts w:ascii="Calibri" w:hAnsi="Calibri" w:cs="Calibri"/>
          <w:b/>
          <w:color w:val="26744D"/>
          <w:sz w:val="20"/>
          <w:szCs w:val="22"/>
        </w:rPr>
        <w:t>Wiosna bardziej kolorowa?</w:t>
      </w:r>
    </w:p>
    <w:p w14:paraId="7BDDEC9F" w14:textId="6648300B" w:rsidR="00281BB2" w:rsidRPr="003C6281" w:rsidRDefault="003B3ABA" w:rsidP="00C94F9B">
      <w:pPr>
        <w:spacing w:after="120" w:line="276" w:lineRule="auto"/>
        <w:jc w:val="both"/>
        <w:rPr>
          <w:rFonts w:ascii="Calibri" w:hAnsi="Calibri" w:cs="Calibri"/>
          <w:sz w:val="20"/>
          <w:szCs w:val="20"/>
        </w:rPr>
      </w:pPr>
      <w:r w:rsidRPr="003C6281">
        <w:rPr>
          <w:rFonts w:ascii="Calibri" w:hAnsi="Calibri" w:cs="Calibri"/>
          <w:i/>
          <w:sz w:val="20"/>
          <w:szCs w:val="20"/>
        </w:rPr>
        <w:t xml:space="preserve">– W dotychczasowych pomiarach zawsze pomiędzy I a II kwartałem nastroje wśród MŚP wyraźnie się poprawiały, o około 5 pkt. </w:t>
      </w:r>
      <w:r w:rsidR="00A261FF" w:rsidRPr="003C6281">
        <w:rPr>
          <w:rFonts w:ascii="Calibri" w:hAnsi="Calibri" w:cs="Calibri"/>
          <w:i/>
          <w:sz w:val="20"/>
          <w:szCs w:val="20"/>
        </w:rPr>
        <w:t xml:space="preserve">W związku z tym liczymy, że w kolejnym pomiarze wartość wskaźnika powróci powyżej progu 50 pkt. </w:t>
      </w:r>
      <w:r w:rsidR="00E420BC" w:rsidRPr="003C6281">
        <w:rPr>
          <w:rFonts w:ascii="Calibri" w:hAnsi="Calibri" w:cs="Calibri"/>
          <w:sz w:val="20"/>
          <w:szCs w:val="20"/>
        </w:rPr>
        <w:t xml:space="preserve">– mówi </w:t>
      </w:r>
      <w:r w:rsidR="00E420BC" w:rsidRPr="003C6281">
        <w:rPr>
          <w:rFonts w:ascii="Calibri" w:hAnsi="Calibri" w:cs="Calibri"/>
          <w:b/>
          <w:color w:val="26744D"/>
          <w:sz w:val="20"/>
          <w:szCs w:val="22"/>
        </w:rPr>
        <w:t>prezes EFL.</w:t>
      </w:r>
    </w:p>
    <w:p w14:paraId="6B04AB89" w14:textId="77777777" w:rsidR="00AB761F" w:rsidRPr="003C6281" w:rsidRDefault="00AB761F" w:rsidP="00C94F9B">
      <w:pPr>
        <w:spacing w:after="120" w:line="276" w:lineRule="auto"/>
        <w:jc w:val="both"/>
        <w:rPr>
          <w:rFonts w:ascii="Calibri" w:hAnsi="Calibri" w:cs="Calibri"/>
          <w:b/>
          <w:color w:val="26744D"/>
          <w:sz w:val="20"/>
          <w:szCs w:val="22"/>
        </w:rPr>
      </w:pPr>
      <w:r w:rsidRPr="003C6281">
        <w:rPr>
          <w:rFonts w:ascii="Calibri" w:hAnsi="Calibri" w:cs="Calibri"/>
          <w:b/>
          <w:color w:val="26744D"/>
          <w:sz w:val="20"/>
          <w:szCs w:val="22"/>
        </w:rPr>
        <w:t>***</w:t>
      </w:r>
    </w:p>
    <w:p w14:paraId="2D359AAF" w14:textId="61BA74DC" w:rsidR="00AB761F" w:rsidRPr="003C6281" w:rsidRDefault="00AB761F" w:rsidP="00C94F9B">
      <w:pPr>
        <w:spacing w:after="120" w:line="276" w:lineRule="auto"/>
        <w:jc w:val="both"/>
        <w:rPr>
          <w:rFonts w:ascii="Calibri" w:hAnsi="Calibri" w:cs="Calibri"/>
          <w:sz w:val="18"/>
        </w:rPr>
      </w:pPr>
      <w:r w:rsidRPr="003C6281">
        <w:rPr>
          <w:rFonts w:ascii="Calibri" w:hAnsi="Calibri" w:cs="Calibri"/>
          <w:b/>
          <w:sz w:val="18"/>
        </w:rPr>
        <w:t>Barometr EFL</w:t>
      </w:r>
      <w:r w:rsidRPr="003C6281">
        <w:rPr>
          <w:rFonts w:ascii="Calibri" w:hAnsi="Calibri" w:cs="Calibri"/>
          <w:sz w:val="18"/>
        </w:rPr>
        <w:t xml:space="preserve"> jest syntetycznym wskaźnikiem informującym o skłonności firm z sektora MŚP do wzrostu (tj. rozwoju rozumianego, jako stawianie sobie przez przedsiębiorstwa celów związanych ze wzrostem sprzedaży i produkcji, ekspansją na nowe rynki i maksymalizacją zysków, co jest związane z inwestycjami w środki trwałe). Prognozowana na dany kwartał kondycja finansowa firm MŚP daje punkt odniesienia do wnioskowania o zakładanym kierunku zmian, które sprzyjają wzrostowi lub działają hamująco na rozwój firm. Badanie przygotowywane jest przez Ecorys na zlecenie Europejskiego Funduszu Leasingowego SA., a jego wyniki są publikowane co kwartał. Jego uczestnicy to mikro, małe i średnie firmy terenu całej Polski. W badaniu wzięła udział reprezentatywna grupa 600 mikro, małych i średnich firm. Aktualna edycja badania odbyła się w dniach </w:t>
      </w:r>
      <w:r w:rsidR="00F27150" w:rsidRPr="003C6281">
        <w:rPr>
          <w:rFonts w:ascii="Calibri" w:hAnsi="Calibri" w:cs="Calibri"/>
          <w:sz w:val="18"/>
        </w:rPr>
        <w:t>16 grudnia 2019</w:t>
      </w:r>
      <w:r w:rsidR="005A71D6" w:rsidRPr="003C6281">
        <w:rPr>
          <w:rFonts w:ascii="Calibri" w:hAnsi="Calibri" w:cs="Calibri"/>
          <w:sz w:val="18"/>
        </w:rPr>
        <w:t xml:space="preserve"> – 7 stycznia 2020.</w:t>
      </w:r>
    </w:p>
    <w:p w14:paraId="4921F8E8" w14:textId="36757A2D" w:rsidR="007732DD" w:rsidRPr="003C6281" w:rsidRDefault="007732DD" w:rsidP="00C94F9B">
      <w:pPr>
        <w:spacing w:after="120" w:line="276" w:lineRule="auto"/>
        <w:jc w:val="both"/>
        <w:rPr>
          <w:rFonts w:ascii="Calibri" w:hAnsi="Calibri" w:cs="Calibri"/>
          <w:sz w:val="21"/>
        </w:rPr>
      </w:pPr>
      <w:r w:rsidRPr="003C6281">
        <w:rPr>
          <w:rFonts w:ascii="Calibri" w:eastAsia="Times New Roman" w:hAnsi="Calibri" w:cs="Calibri"/>
          <w:b/>
          <w:iCs/>
          <w:color w:val="0A0A0A"/>
          <w:sz w:val="18"/>
          <w:szCs w:val="22"/>
          <w:shd w:val="clear" w:color="auto" w:fill="FEFEFE"/>
          <w:lang w:eastAsia="pl-PL"/>
        </w:rPr>
        <w:t>OR</w:t>
      </w:r>
      <w:r w:rsidRPr="003C6281">
        <w:rPr>
          <w:rFonts w:ascii="Calibri" w:eastAsia="Times New Roman" w:hAnsi="Calibri" w:cs="Calibri"/>
          <w:iCs/>
          <w:color w:val="0A0A0A"/>
          <w:sz w:val="18"/>
          <w:szCs w:val="22"/>
          <w:shd w:val="clear" w:color="auto" w:fill="FEFEFE"/>
          <w:lang w:eastAsia="pl-PL"/>
        </w:rPr>
        <w:t>, czyli próg ograniczonego rozwoju, to algorytm stworzony na podstawie danych zgromadzonych w trakcie badania przedsiębiorców. Przyjmuje on wartości od 0 do 100, przy czym zagregowany wynik powyżej 50 pkt. oznacza, że występują sprzyjające warunki do rozwoju sektora MŚP, natomiast wynik niższy oznacza, że warunki te są niekorzystne. Zatem poziom 50 pkt. stanowi próg OR, czyli poziom ograniczonego rozwoju.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632"/>
      </w:tblGrid>
      <w:tr w:rsidR="00AB761F" w:rsidRPr="003C6281" w14:paraId="1737E66A" w14:textId="77777777" w:rsidTr="00C5621E">
        <w:tc>
          <w:tcPr>
            <w:tcW w:w="9632" w:type="dxa"/>
            <w:shd w:val="clear" w:color="auto" w:fill="22744F"/>
          </w:tcPr>
          <w:p w14:paraId="3F4A0F40" w14:textId="77777777" w:rsidR="00AB761F" w:rsidRPr="003C6281" w:rsidRDefault="00AB761F" w:rsidP="00C5621E">
            <w:pPr>
              <w:tabs>
                <w:tab w:val="left" w:pos="4248"/>
                <w:tab w:val="left" w:pos="6684"/>
              </w:tabs>
              <w:outlineLvl w:val="0"/>
              <w:rPr>
                <w:rFonts w:ascii="Calibri" w:hAnsi="Calibri" w:cs="Calibri"/>
                <w:color w:val="FFFFFF"/>
                <w:sz w:val="20"/>
                <w:szCs w:val="20"/>
              </w:rPr>
            </w:pPr>
            <w:r w:rsidRPr="003C6281">
              <w:rPr>
                <w:rFonts w:ascii="Calibri" w:hAnsi="Calibri" w:cs="Calibri"/>
                <w:color w:val="FFFFFF"/>
                <w:sz w:val="20"/>
                <w:szCs w:val="20"/>
              </w:rPr>
              <w:t>Więcej informacji udziela:</w:t>
            </w:r>
            <w:r w:rsidRPr="003C6281">
              <w:rPr>
                <w:rFonts w:ascii="Calibri" w:hAnsi="Calibri" w:cs="Calibri"/>
                <w:color w:val="FFFFFF"/>
                <w:sz w:val="20"/>
                <w:szCs w:val="20"/>
              </w:rPr>
              <w:tab/>
            </w:r>
            <w:r w:rsidRPr="003C6281">
              <w:rPr>
                <w:rFonts w:ascii="Calibri" w:hAnsi="Calibri" w:cs="Calibri"/>
                <w:color w:val="FFFFFF"/>
                <w:sz w:val="20"/>
                <w:szCs w:val="20"/>
              </w:rPr>
              <w:tab/>
            </w:r>
          </w:p>
        </w:tc>
      </w:tr>
      <w:tr w:rsidR="00AB761F" w:rsidRPr="003C6281" w14:paraId="0A9F1C8D" w14:textId="77777777" w:rsidTr="00C5621E">
        <w:trPr>
          <w:trHeight w:val="964"/>
        </w:trPr>
        <w:tc>
          <w:tcPr>
            <w:tcW w:w="9632" w:type="dxa"/>
            <w:shd w:val="clear" w:color="auto" w:fill="auto"/>
            <w:vAlign w:val="center"/>
          </w:tcPr>
          <w:p w14:paraId="568F3404" w14:textId="77777777" w:rsidR="00AB761F" w:rsidRPr="003C6281" w:rsidRDefault="00AB761F" w:rsidP="00C5621E">
            <w:pPr>
              <w:outlineLvl w:val="0"/>
              <w:rPr>
                <w:rFonts w:ascii="Calibri" w:hAnsi="Calibri" w:cs="Calibri"/>
                <w:sz w:val="20"/>
                <w:szCs w:val="20"/>
              </w:rPr>
            </w:pPr>
            <w:r w:rsidRPr="003C6281">
              <w:rPr>
                <w:rFonts w:ascii="Calibri" w:hAnsi="Calibri" w:cs="Calibri"/>
                <w:b/>
                <w:sz w:val="20"/>
                <w:szCs w:val="20"/>
              </w:rPr>
              <w:t>Maja Lidke</w:t>
            </w:r>
          </w:p>
          <w:p w14:paraId="4ECB708B" w14:textId="77777777" w:rsidR="00AB761F" w:rsidRPr="003C6281" w:rsidRDefault="00AB761F" w:rsidP="00C5621E">
            <w:pPr>
              <w:outlineLvl w:val="0"/>
              <w:rPr>
                <w:rFonts w:ascii="Calibri" w:hAnsi="Calibri" w:cs="Calibri"/>
                <w:sz w:val="20"/>
                <w:szCs w:val="20"/>
              </w:rPr>
            </w:pPr>
            <w:r w:rsidRPr="003C6281">
              <w:rPr>
                <w:rFonts w:ascii="Calibri" w:hAnsi="Calibri" w:cs="Calibri"/>
                <w:sz w:val="20"/>
                <w:szCs w:val="20"/>
              </w:rPr>
              <w:t>Europejski Fundusz Leasingowy</w:t>
            </w:r>
          </w:p>
          <w:p w14:paraId="6DA95E55" w14:textId="77777777" w:rsidR="00AB761F" w:rsidRPr="003C6281" w:rsidRDefault="00AB761F" w:rsidP="00C5621E">
            <w:pPr>
              <w:rPr>
                <w:rFonts w:ascii="Calibri" w:hAnsi="Calibri" w:cs="Calibri"/>
                <w:sz w:val="20"/>
                <w:szCs w:val="20"/>
              </w:rPr>
            </w:pPr>
            <w:r w:rsidRPr="003C6281">
              <w:rPr>
                <w:rFonts w:ascii="Calibri" w:hAnsi="Calibri" w:cs="Calibri"/>
                <w:sz w:val="20"/>
                <w:szCs w:val="20"/>
              </w:rPr>
              <w:t>Tel.: 603 630 166</w:t>
            </w:r>
          </w:p>
          <w:p w14:paraId="1594DAEB" w14:textId="77777777" w:rsidR="00AB761F" w:rsidRPr="003C6281" w:rsidRDefault="00AB761F" w:rsidP="00C5621E">
            <w:pPr>
              <w:outlineLvl w:val="0"/>
              <w:rPr>
                <w:rFonts w:ascii="Calibri" w:hAnsi="Calibri" w:cs="Calibri"/>
                <w:b/>
                <w:sz w:val="20"/>
                <w:szCs w:val="20"/>
                <w:lang w:val="en-GB"/>
              </w:rPr>
            </w:pPr>
            <w:r w:rsidRPr="003C6281">
              <w:rPr>
                <w:rFonts w:ascii="Calibri" w:hAnsi="Calibri" w:cs="Calibri"/>
                <w:sz w:val="20"/>
                <w:szCs w:val="20"/>
                <w:lang w:val="en-GB"/>
              </w:rPr>
              <w:t xml:space="preserve">E-mail: </w:t>
            </w:r>
            <w:hyperlink r:id="rId12" w:history="1">
              <w:r w:rsidRPr="003C6281">
                <w:rPr>
                  <w:rStyle w:val="Hipercze"/>
                  <w:rFonts w:ascii="Calibri" w:hAnsi="Calibri" w:cs="Calibri"/>
                  <w:sz w:val="20"/>
                  <w:szCs w:val="20"/>
                  <w:lang w:val="en-GB"/>
                </w:rPr>
                <w:t>maja.lidke@efl.com.pl</w:t>
              </w:r>
            </w:hyperlink>
          </w:p>
        </w:tc>
      </w:tr>
    </w:tbl>
    <w:p w14:paraId="15170306" w14:textId="77777777" w:rsidR="008F77BF" w:rsidRPr="00575566" w:rsidRDefault="008F77BF" w:rsidP="00FB4128">
      <w:pPr>
        <w:spacing w:after="120" w:line="276" w:lineRule="auto"/>
        <w:jc w:val="both"/>
        <w:rPr>
          <w:rFonts w:ascii="Arial" w:hAnsi="Arial" w:cs="Arial"/>
          <w:b/>
          <w:color w:val="26744D"/>
          <w:sz w:val="20"/>
          <w:szCs w:val="22"/>
          <w:lang w:val="en-GB"/>
        </w:rPr>
      </w:pPr>
    </w:p>
    <w:p w14:paraId="3F7C1307" w14:textId="77777777" w:rsidR="00F623C2" w:rsidRPr="00575566" w:rsidRDefault="00F623C2" w:rsidP="0090356A">
      <w:pPr>
        <w:rPr>
          <w:lang w:val="en-GB"/>
        </w:rPr>
      </w:pPr>
    </w:p>
    <w:sectPr w:rsidR="00F623C2" w:rsidRPr="00575566" w:rsidSect="0090356A">
      <w:headerReference w:type="even" r:id="rId13"/>
      <w:headerReference w:type="default" r:id="rId14"/>
      <w:headerReference w:type="first" r:id="rId15"/>
      <w:pgSz w:w="11900" w:h="16840"/>
      <w:pgMar w:top="1985" w:right="680" w:bottom="1985"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0DDE" w14:textId="77777777" w:rsidR="00751706" w:rsidRDefault="00751706" w:rsidP="00E55FF4">
      <w:r>
        <w:separator/>
      </w:r>
    </w:p>
  </w:endnote>
  <w:endnote w:type="continuationSeparator" w:id="0">
    <w:p w14:paraId="3DAD5D5D" w14:textId="77777777" w:rsidR="00751706" w:rsidRDefault="00751706" w:rsidP="00E5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B814" w14:textId="77777777" w:rsidR="00751706" w:rsidRDefault="00751706" w:rsidP="00E55FF4">
      <w:r>
        <w:separator/>
      </w:r>
    </w:p>
  </w:footnote>
  <w:footnote w:type="continuationSeparator" w:id="0">
    <w:p w14:paraId="59678EE5" w14:textId="77777777" w:rsidR="00751706" w:rsidRDefault="00751706" w:rsidP="00E5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DC9A" w14:textId="77777777" w:rsidR="00C570A9" w:rsidRDefault="00751706">
    <w:pPr>
      <w:pStyle w:val="Nagwek"/>
    </w:pPr>
    <w:r>
      <w:rPr>
        <w:noProof/>
        <w:lang w:eastAsia="pl-PL"/>
      </w:rPr>
      <w:pict w14:anchorId="70DFA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FL-To-Sie-Uda-PapierFirmowy" style="position:absolute;margin-left:0;margin-top:0;width:595.75pt;height:842pt;z-index:-251657216;mso-wrap-edited:f;mso-width-percent:0;mso-height-percent:0;mso-position-horizontal:center;mso-position-horizontal-relative:margin;mso-position-vertical:center;mso-position-vertical-relative:margin;mso-width-percent:0;mso-height-percent:0" o:allowincell="f">
          <v:imagedata r:id="rId1" o:title="EFL-To-Sie-Uda-Papier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2B50" w14:textId="444B61B7" w:rsidR="00E55FF4" w:rsidRDefault="00751706">
    <w:pPr>
      <w:pStyle w:val="Nagwek"/>
    </w:pPr>
    <w:r>
      <w:rPr>
        <w:noProof/>
        <w:lang w:eastAsia="pl-PL"/>
      </w:rPr>
      <w:pict w14:anchorId="4F9E2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FL-To-Sie-Uda-PapierFirmowy" style="position:absolute;margin-left:-35.15pt;margin-top:-87.4pt;width:595.75pt;height:842pt;z-index:-251655168;mso-wrap-edited:f;mso-width-percent:0;mso-height-percent:0;mso-position-horizontal-relative:margin;mso-position-vertical-relative:margin;mso-width-percent:0;mso-height-percent:0" o:allowincell="f">
          <v:imagedata r:id="rId1" o:title="EFL-To-Sie-Uda-Papier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6DE4" w14:textId="77777777" w:rsidR="00C570A9" w:rsidRDefault="00751706">
    <w:pPr>
      <w:pStyle w:val="Nagwek"/>
    </w:pPr>
    <w:r>
      <w:rPr>
        <w:noProof/>
        <w:lang w:eastAsia="pl-PL"/>
      </w:rPr>
      <w:pict w14:anchorId="01CB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FL-To-Sie-Uda-PapierFirmowy" style="position:absolute;margin-left:0;margin-top:0;width:595.75pt;height:842pt;z-index:-251656192;mso-wrap-edited:f;mso-width-percent:0;mso-height-percent:0;mso-position-horizontal:center;mso-position-horizontal-relative:margin;mso-position-vertical:center;mso-position-vertical-relative:margin;mso-width-percent:0;mso-height-percent:0" o:allowincell="f">
          <v:imagedata r:id="rId1" o:title="EFL-To-Sie-Uda-Papier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029C6"/>
    <w:multiLevelType w:val="hybridMultilevel"/>
    <w:tmpl w:val="9A1CB698"/>
    <w:lvl w:ilvl="0" w:tplc="90F8239E">
      <w:start w:val="1"/>
      <w:numFmt w:val="bullet"/>
      <w:lvlText w:val="•"/>
      <w:lvlJc w:val="left"/>
      <w:pPr>
        <w:tabs>
          <w:tab w:val="num" w:pos="720"/>
        </w:tabs>
        <w:ind w:left="720" w:hanging="360"/>
      </w:pPr>
      <w:rPr>
        <w:rFonts w:ascii="Arial" w:hAnsi="Arial" w:hint="default"/>
      </w:rPr>
    </w:lvl>
    <w:lvl w:ilvl="1" w:tplc="E76E08A6" w:tentative="1">
      <w:start w:val="1"/>
      <w:numFmt w:val="bullet"/>
      <w:lvlText w:val="•"/>
      <w:lvlJc w:val="left"/>
      <w:pPr>
        <w:tabs>
          <w:tab w:val="num" w:pos="1440"/>
        </w:tabs>
        <w:ind w:left="1440" w:hanging="360"/>
      </w:pPr>
      <w:rPr>
        <w:rFonts w:ascii="Arial" w:hAnsi="Arial" w:hint="default"/>
      </w:rPr>
    </w:lvl>
    <w:lvl w:ilvl="2" w:tplc="3D10F694" w:tentative="1">
      <w:start w:val="1"/>
      <w:numFmt w:val="bullet"/>
      <w:lvlText w:val="•"/>
      <w:lvlJc w:val="left"/>
      <w:pPr>
        <w:tabs>
          <w:tab w:val="num" w:pos="2160"/>
        </w:tabs>
        <w:ind w:left="2160" w:hanging="360"/>
      </w:pPr>
      <w:rPr>
        <w:rFonts w:ascii="Arial" w:hAnsi="Arial" w:hint="default"/>
      </w:rPr>
    </w:lvl>
    <w:lvl w:ilvl="3" w:tplc="0F988A2E" w:tentative="1">
      <w:start w:val="1"/>
      <w:numFmt w:val="bullet"/>
      <w:lvlText w:val="•"/>
      <w:lvlJc w:val="left"/>
      <w:pPr>
        <w:tabs>
          <w:tab w:val="num" w:pos="2880"/>
        </w:tabs>
        <w:ind w:left="2880" w:hanging="360"/>
      </w:pPr>
      <w:rPr>
        <w:rFonts w:ascii="Arial" w:hAnsi="Arial" w:hint="default"/>
      </w:rPr>
    </w:lvl>
    <w:lvl w:ilvl="4" w:tplc="7E52AD0C" w:tentative="1">
      <w:start w:val="1"/>
      <w:numFmt w:val="bullet"/>
      <w:lvlText w:val="•"/>
      <w:lvlJc w:val="left"/>
      <w:pPr>
        <w:tabs>
          <w:tab w:val="num" w:pos="3600"/>
        </w:tabs>
        <w:ind w:left="3600" w:hanging="360"/>
      </w:pPr>
      <w:rPr>
        <w:rFonts w:ascii="Arial" w:hAnsi="Arial" w:hint="default"/>
      </w:rPr>
    </w:lvl>
    <w:lvl w:ilvl="5" w:tplc="10E699EE" w:tentative="1">
      <w:start w:val="1"/>
      <w:numFmt w:val="bullet"/>
      <w:lvlText w:val="•"/>
      <w:lvlJc w:val="left"/>
      <w:pPr>
        <w:tabs>
          <w:tab w:val="num" w:pos="4320"/>
        </w:tabs>
        <w:ind w:left="4320" w:hanging="360"/>
      </w:pPr>
      <w:rPr>
        <w:rFonts w:ascii="Arial" w:hAnsi="Arial" w:hint="default"/>
      </w:rPr>
    </w:lvl>
    <w:lvl w:ilvl="6" w:tplc="B274BE36" w:tentative="1">
      <w:start w:val="1"/>
      <w:numFmt w:val="bullet"/>
      <w:lvlText w:val="•"/>
      <w:lvlJc w:val="left"/>
      <w:pPr>
        <w:tabs>
          <w:tab w:val="num" w:pos="5040"/>
        </w:tabs>
        <w:ind w:left="5040" w:hanging="360"/>
      </w:pPr>
      <w:rPr>
        <w:rFonts w:ascii="Arial" w:hAnsi="Arial" w:hint="default"/>
      </w:rPr>
    </w:lvl>
    <w:lvl w:ilvl="7" w:tplc="9072CD9C" w:tentative="1">
      <w:start w:val="1"/>
      <w:numFmt w:val="bullet"/>
      <w:lvlText w:val="•"/>
      <w:lvlJc w:val="left"/>
      <w:pPr>
        <w:tabs>
          <w:tab w:val="num" w:pos="5760"/>
        </w:tabs>
        <w:ind w:left="5760" w:hanging="360"/>
      </w:pPr>
      <w:rPr>
        <w:rFonts w:ascii="Arial" w:hAnsi="Arial" w:hint="default"/>
      </w:rPr>
    </w:lvl>
    <w:lvl w:ilvl="8" w:tplc="7EF4EE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1"/>
    <w:rsid w:val="00013546"/>
    <w:rsid w:val="0002721D"/>
    <w:rsid w:val="00097B6C"/>
    <w:rsid w:val="000C2D2F"/>
    <w:rsid w:val="000E71C3"/>
    <w:rsid w:val="0015641E"/>
    <w:rsid w:val="00163717"/>
    <w:rsid w:val="001710D9"/>
    <w:rsid w:val="00185875"/>
    <w:rsid w:val="00195C3D"/>
    <w:rsid w:val="001960AB"/>
    <w:rsid w:val="0019656C"/>
    <w:rsid w:val="001B6C8B"/>
    <w:rsid w:val="001C7529"/>
    <w:rsid w:val="001E43E1"/>
    <w:rsid w:val="001E5191"/>
    <w:rsid w:val="002075AC"/>
    <w:rsid w:val="00281BB2"/>
    <w:rsid w:val="002A7699"/>
    <w:rsid w:val="002B13DA"/>
    <w:rsid w:val="002C2F8A"/>
    <w:rsid w:val="002F34E3"/>
    <w:rsid w:val="00355157"/>
    <w:rsid w:val="00356651"/>
    <w:rsid w:val="003643EC"/>
    <w:rsid w:val="00390091"/>
    <w:rsid w:val="00395F6C"/>
    <w:rsid w:val="003A7143"/>
    <w:rsid w:val="003B3ABA"/>
    <w:rsid w:val="003C39AA"/>
    <w:rsid w:val="003C6281"/>
    <w:rsid w:val="004064E1"/>
    <w:rsid w:val="00421F4E"/>
    <w:rsid w:val="00427876"/>
    <w:rsid w:val="00450EDB"/>
    <w:rsid w:val="00462841"/>
    <w:rsid w:val="00491522"/>
    <w:rsid w:val="004A48B2"/>
    <w:rsid w:val="004C14C8"/>
    <w:rsid w:val="004C1E52"/>
    <w:rsid w:val="00504743"/>
    <w:rsid w:val="00505A17"/>
    <w:rsid w:val="00515563"/>
    <w:rsid w:val="0052001E"/>
    <w:rsid w:val="00551B3E"/>
    <w:rsid w:val="00575566"/>
    <w:rsid w:val="0058157A"/>
    <w:rsid w:val="00587E6B"/>
    <w:rsid w:val="00592069"/>
    <w:rsid w:val="005A71D6"/>
    <w:rsid w:val="00617848"/>
    <w:rsid w:val="00637E9B"/>
    <w:rsid w:val="00652A31"/>
    <w:rsid w:val="00683F60"/>
    <w:rsid w:val="00696A78"/>
    <w:rsid w:val="006B1576"/>
    <w:rsid w:val="006D691D"/>
    <w:rsid w:val="0073610C"/>
    <w:rsid w:val="00750EBF"/>
    <w:rsid w:val="00751706"/>
    <w:rsid w:val="007732DD"/>
    <w:rsid w:val="00773FBF"/>
    <w:rsid w:val="0078402B"/>
    <w:rsid w:val="007A30EA"/>
    <w:rsid w:val="007D72D0"/>
    <w:rsid w:val="007F46E4"/>
    <w:rsid w:val="007F739D"/>
    <w:rsid w:val="0080030A"/>
    <w:rsid w:val="008012C1"/>
    <w:rsid w:val="00836747"/>
    <w:rsid w:val="00883DF4"/>
    <w:rsid w:val="00885633"/>
    <w:rsid w:val="008D06D2"/>
    <w:rsid w:val="008F24A2"/>
    <w:rsid w:val="008F77BF"/>
    <w:rsid w:val="00902893"/>
    <w:rsid w:val="0090356A"/>
    <w:rsid w:val="0092694F"/>
    <w:rsid w:val="00960365"/>
    <w:rsid w:val="00973315"/>
    <w:rsid w:val="009A24E6"/>
    <w:rsid w:val="009B2C16"/>
    <w:rsid w:val="009C2990"/>
    <w:rsid w:val="009C69A0"/>
    <w:rsid w:val="009E3E29"/>
    <w:rsid w:val="009F0FF2"/>
    <w:rsid w:val="009F25C4"/>
    <w:rsid w:val="00A261FF"/>
    <w:rsid w:val="00A300E2"/>
    <w:rsid w:val="00A3544C"/>
    <w:rsid w:val="00A37DF2"/>
    <w:rsid w:val="00A504D8"/>
    <w:rsid w:val="00A51BC3"/>
    <w:rsid w:val="00A57D55"/>
    <w:rsid w:val="00A77BFC"/>
    <w:rsid w:val="00A83C83"/>
    <w:rsid w:val="00AA1A56"/>
    <w:rsid w:val="00AB761F"/>
    <w:rsid w:val="00AD771D"/>
    <w:rsid w:val="00AE5DFF"/>
    <w:rsid w:val="00AF2925"/>
    <w:rsid w:val="00B00840"/>
    <w:rsid w:val="00B302F1"/>
    <w:rsid w:val="00BA58C5"/>
    <w:rsid w:val="00BB3210"/>
    <w:rsid w:val="00C221AE"/>
    <w:rsid w:val="00C36346"/>
    <w:rsid w:val="00C570A9"/>
    <w:rsid w:val="00C66E31"/>
    <w:rsid w:val="00C93103"/>
    <w:rsid w:val="00C94F9B"/>
    <w:rsid w:val="00C964AB"/>
    <w:rsid w:val="00CB1512"/>
    <w:rsid w:val="00CD38BA"/>
    <w:rsid w:val="00CD55D8"/>
    <w:rsid w:val="00CF705D"/>
    <w:rsid w:val="00D64860"/>
    <w:rsid w:val="00DB64C4"/>
    <w:rsid w:val="00DC0B2B"/>
    <w:rsid w:val="00DE09C6"/>
    <w:rsid w:val="00DF6619"/>
    <w:rsid w:val="00E07578"/>
    <w:rsid w:val="00E105D7"/>
    <w:rsid w:val="00E26D5D"/>
    <w:rsid w:val="00E301AC"/>
    <w:rsid w:val="00E420BC"/>
    <w:rsid w:val="00E53439"/>
    <w:rsid w:val="00E55FF4"/>
    <w:rsid w:val="00E800B7"/>
    <w:rsid w:val="00EA2D9F"/>
    <w:rsid w:val="00ED0AEC"/>
    <w:rsid w:val="00ED3203"/>
    <w:rsid w:val="00ED4DE4"/>
    <w:rsid w:val="00ED5E8A"/>
    <w:rsid w:val="00EE7E52"/>
    <w:rsid w:val="00EF1301"/>
    <w:rsid w:val="00F01868"/>
    <w:rsid w:val="00F1269C"/>
    <w:rsid w:val="00F27150"/>
    <w:rsid w:val="00F560A3"/>
    <w:rsid w:val="00F623C2"/>
    <w:rsid w:val="00F7027C"/>
    <w:rsid w:val="00FB4128"/>
    <w:rsid w:val="00FC66E1"/>
    <w:rsid w:val="00FF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469CA"/>
  <w15:docId w15:val="{9B461992-E81A-4407-A250-EA579B6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7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5FF4"/>
    <w:pPr>
      <w:tabs>
        <w:tab w:val="center" w:pos="4536"/>
        <w:tab w:val="right" w:pos="9072"/>
      </w:tabs>
    </w:pPr>
  </w:style>
  <w:style w:type="character" w:customStyle="1" w:styleId="NagwekZnak">
    <w:name w:val="Nagłówek Znak"/>
    <w:basedOn w:val="Domylnaczcionkaakapitu"/>
    <w:link w:val="Nagwek"/>
    <w:uiPriority w:val="99"/>
    <w:rsid w:val="00E55FF4"/>
  </w:style>
  <w:style w:type="paragraph" w:styleId="Stopka">
    <w:name w:val="footer"/>
    <w:basedOn w:val="Normalny"/>
    <w:link w:val="StopkaZnak"/>
    <w:uiPriority w:val="99"/>
    <w:unhideWhenUsed/>
    <w:rsid w:val="00E55FF4"/>
    <w:pPr>
      <w:tabs>
        <w:tab w:val="center" w:pos="4536"/>
        <w:tab w:val="right" w:pos="9072"/>
      </w:tabs>
    </w:pPr>
  </w:style>
  <w:style w:type="character" w:customStyle="1" w:styleId="StopkaZnak">
    <w:name w:val="Stopka Znak"/>
    <w:basedOn w:val="Domylnaczcionkaakapitu"/>
    <w:link w:val="Stopka"/>
    <w:uiPriority w:val="99"/>
    <w:rsid w:val="00E55FF4"/>
  </w:style>
  <w:style w:type="paragraph" w:styleId="Tekstprzypisudolnego">
    <w:name w:val="footnote text"/>
    <w:basedOn w:val="Normalny"/>
    <w:link w:val="TekstprzypisudolnegoZnak"/>
    <w:uiPriority w:val="99"/>
    <w:semiHidden/>
    <w:unhideWhenUsed/>
    <w:rsid w:val="00AB761F"/>
    <w:rPr>
      <w:sz w:val="20"/>
      <w:szCs w:val="20"/>
    </w:rPr>
  </w:style>
  <w:style w:type="character" w:customStyle="1" w:styleId="TekstprzypisudolnegoZnak">
    <w:name w:val="Tekst przypisu dolnego Znak"/>
    <w:basedOn w:val="Domylnaczcionkaakapitu"/>
    <w:link w:val="Tekstprzypisudolnego"/>
    <w:uiPriority w:val="99"/>
    <w:semiHidden/>
    <w:rsid w:val="00AB761F"/>
    <w:rPr>
      <w:sz w:val="20"/>
      <w:szCs w:val="20"/>
    </w:rPr>
  </w:style>
  <w:style w:type="character" w:styleId="Odwoanieprzypisudolnego">
    <w:name w:val="footnote reference"/>
    <w:basedOn w:val="Domylnaczcionkaakapitu"/>
    <w:uiPriority w:val="99"/>
    <w:semiHidden/>
    <w:unhideWhenUsed/>
    <w:rsid w:val="00AB761F"/>
    <w:rPr>
      <w:vertAlign w:val="superscript"/>
    </w:rPr>
  </w:style>
  <w:style w:type="character" w:styleId="Hipercze">
    <w:name w:val="Hyperlink"/>
    <w:unhideWhenUsed/>
    <w:rsid w:val="00AB761F"/>
    <w:rPr>
      <w:color w:val="0000FF"/>
      <w:u w:val="single"/>
    </w:rPr>
  </w:style>
  <w:style w:type="character" w:styleId="Odwoaniedokomentarza">
    <w:name w:val="annotation reference"/>
    <w:basedOn w:val="Domylnaczcionkaakapitu"/>
    <w:uiPriority w:val="99"/>
    <w:semiHidden/>
    <w:unhideWhenUsed/>
    <w:rsid w:val="00A504D8"/>
    <w:rPr>
      <w:sz w:val="16"/>
      <w:szCs w:val="16"/>
    </w:rPr>
  </w:style>
  <w:style w:type="paragraph" w:styleId="Tekstkomentarza">
    <w:name w:val="annotation text"/>
    <w:basedOn w:val="Normalny"/>
    <w:link w:val="TekstkomentarzaZnak"/>
    <w:uiPriority w:val="99"/>
    <w:semiHidden/>
    <w:unhideWhenUsed/>
    <w:rsid w:val="00A504D8"/>
    <w:rPr>
      <w:sz w:val="20"/>
      <w:szCs w:val="20"/>
    </w:rPr>
  </w:style>
  <w:style w:type="character" w:customStyle="1" w:styleId="TekstkomentarzaZnak">
    <w:name w:val="Tekst komentarza Znak"/>
    <w:basedOn w:val="Domylnaczcionkaakapitu"/>
    <w:link w:val="Tekstkomentarza"/>
    <w:uiPriority w:val="99"/>
    <w:semiHidden/>
    <w:rsid w:val="00A504D8"/>
    <w:rPr>
      <w:sz w:val="20"/>
      <w:szCs w:val="20"/>
    </w:rPr>
  </w:style>
  <w:style w:type="paragraph" w:styleId="Tematkomentarza">
    <w:name w:val="annotation subject"/>
    <w:basedOn w:val="Tekstkomentarza"/>
    <w:next w:val="Tekstkomentarza"/>
    <w:link w:val="TematkomentarzaZnak"/>
    <w:uiPriority w:val="99"/>
    <w:semiHidden/>
    <w:unhideWhenUsed/>
    <w:rsid w:val="00A504D8"/>
    <w:rPr>
      <w:b/>
      <w:bCs/>
    </w:rPr>
  </w:style>
  <w:style w:type="character" w:customStyle="1" w:styleId="TematkomentarzaZnak">
    <w:name w:val="Temat komentarza Znak"/>
    <w:basedOn w:val="TekstkomentarzaZnak"/>
    <w:link w:val="Tematkomentarza"/>
    <w:uiPriority w:val="99"/>
    <w:semiHidden/>
    <w:rsid w:val="00A504D8"/>
    <w:rPr>
      <w:b/>
      <w:bCs/>
      <w:sz w:val="20"/>
      <w:szCs w:val="20"/>
    </w:rPr>
  </w:style>
  <w:style w:type="paragraph" w:styleId="Tekstdymka">
    <w:name w:val="Balloon Text"/>
    <w:basedOn w:val="Normalny"/>
    <w:link w:val="TekstdymkaZnak"/>
    <w:uiPriority w:val="99"/>
    <w:semiHidden/>
    <w:unhideWhenUsed/>
    <w:rsid w:val="00A504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8261">
      <w:bodyDiv w:val="1"/>
      <w:marLeft w:val="0"/>
      <w:marRight w:val="0"/>
      <w:marTop w:val="0"/>
      <w:marBottom w:val="0"/>
      <w:divBdr>
        <w:top w:val="none" w:sz="0" w:space="0" w:color="auto"/>
        <w:left w:val="none" w:sz="0" w:space="0" w:color="auto"/>
        <w:bottom w:val="none" w:sz="0" w:space="0" w:color="auto"/>
        <w:right w:val="none" w:sz="0" w:space="0" w:color="auto"/>
      </w:divBdr>
    </w:div>
    <w:div w:id="1142381939">
      <w:bodyDiv w:val="1"/>
      <w:marLeft w:val="0"/>
      <w:marRight w:val="0"/>
      <w:marTop w:val="0"/>
      <w:marBottom w:val="0"/>
      <w:divBdr>
        <w:top w:val="none" w:sz="0" w:space="0" w:color="auto"/>
        <w:left w:val="none" w:sz="0" w:space="0" w:color="auto"/>
        <w:bottom w:val="none" w:sz="0" w:space="0" w:color="auto"/>
        <w:right w:val="none" w:sz="0" w:space="0" w:color="auto"/>
      </w:divBdr>
      <w:divsChild>
        <w:div w:id="1591352924">
          <w:marLeft w:val="446"/>
          <w:marRight w:val="0"/>
          <w:marTop w:val="0"/>
          <w:marBottom w:val="0"/>
          <w:divBdr>
            <w:top w:val="none" w:sz="0" w:space="0" w:color="auto"/>
            <w:left w:val="none" w:sz="0" w:space="0" w:color="auto"/>
            <w:bottom w:val="none" w:sz="0" w:space="0" w:color="auto"/>
            <w:right w:val="none" w:sz="0" w:space="0" w:color="auto"/>
          </w:divBdr>
        </w:div>
      </w:divsChild>
    </w:div>
    <w:div w:id="193149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ja.lidke@efl.com.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23C6362C0D64A8EA9BBCE3467C3FA" ma:contentTypeVersion="1" ma:contentTypeDescription="Utwórz nowy dokument." ma:contentTypeScope="" ma:versionID="e278c82fb55b059082948336e2a5926c">
  <xsd:schema xmlns:xsd="http://www.w3.org/2001/XMLSchema" xmlns:xs="http://www.w3.org/2001/XMLSchema" xmlns:p="http://schemas.microsoft.com/office/2006/metadata/properties" xmlns:ns2="f9654d01-3c3b-4dd3-abec-1afffd83b5ce" targetNamespace="http://schemas.microsoft.com/office/2006/metadata/properties" ma:root="true" ma:fieldsID="231a1ae8981fb99cbaa102e510d84ee2" ns2:_="">
    <xsd:import namespace="f9654d01-3c3b-4dd3-abec-1afffd83b5ce"/>
    <xsd:element name="properties">
      <xsd:complexType>
        <xsd:sequence>
          <xsd:element name="documentManagement">
            <xsd:complexType>
              <xsd:all>
                <xsd:element ref="ns2:Rodza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54d01-3c3b-4dd3-abec-1afffd83b5ce" elementFormDefault="qualified">
    <xsd:import namespace="http://schemas.microsoft.com/office/2006/documentManagement/types"/>
    <xsd:import namespace="http://schemas.microsoft.com/office/infopath/2007/PartnerControls"/>
    <xsd:element name="Rodzaj" ma:index="8" nillable="true" ma:displayName="Rodzaj" ma:internalName="Rodza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dzaj xmlns="f9654d01-3c3b-4dd3-abec-1afffd83b5ce">Logo i szablony dokumentów</Rodzaj>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1BF218-2C33-47DE-BA81-D34E9A5706D1}">
  <ds:schemaRefs>
    <ds:schemaRef ds:uri="http://schemas.microsoft.com/sharepoint/v3/contenttype/forms"/>
  </ds:schemaRefs>
</ds:datastoreItem>
</file>

<file path=customXml/itemProps2.xml><?xml version="1.0" encoding="utf-8"?>
<ds:datastoreItem xmlns:ds="http://schemas.openxmlformats.org/officeDocument/2006/customXml" ds:itemID="{E30296A1-1FEB-41BC-B5B4-55175037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54d01-3c3b-4dd3-abec-1afffd83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C1008-E18C-4962-AD19-2870D490DCAE}">
  <ds:schemaRefs>
    <ds:schemaRef ds:uri="http://schemas.microsoft.com/office/2006/metadata/properties"/>
    <ds:schemaRef ds:uri="http://schemas.microsoft.com/office/infopath/2007/PartnerControls"/>
    <ds:schemaRef ds:uri="f9654d01-3c3b-4dd3-abec-1afffd83b5ce"/>
  </ds:schemaRefs>
</ds:datastoreItem>
</file>

<file path=customXml/itemProps4.xml><?xml version="1.0" encoding="utf-8"?>
<ds:datastoreItem xmlns:ds="http://schemas.openxmlformats.org/officeDocument/2006/customXml" ds:itemID="{6D970F22-DB34-45E2-B976-8DA7E781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850</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Europejski Fundusz Leasingowy SA</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Przemyslaw Lorenc</dc:creator>
  <cp:lastModifiedBy>Maja Lidke</cp:lastModifiedBy>
  <cp:revision>91</cp:revision>
  <dcterms:created xsi:type="dcterms:W3CDTF">2018-06-18T07:02:00Z</dcterms:created>
  <dcterms:modified xsi:type="dcterms:W3CDTF">2020-01-17T10:56:00Z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0x010100C2523C6362C0D64A8EA9BBCE3467C3FA</vt:lpwstr>
  </property>
</Properties>
</file>