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56A2" w14:textId="77777777" w:rsidR="007B6CE4" w:rsidRPr="00F303A7" w:rsidRDefault="007B6CE4" w:rsidP="007B6CE4">
      <w:pPr>
        <w:jc w:val="both"/>
        <w:rPr>
          <w:szCs w:val="23"/>
        </w:rPr>
      </w:pPr>
    </w:p>
    <w:p w14:paraId="56C738A0" w14:textId="485260C6" w:rsidR="007B6CE4" w:rsidRPr="000558A6" w:rsidRDefault="00665852" w:rsidP="007B6CE4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47C4">
        <w:rPr>
          <w:sz w:val="20"/>
          <w:szCs w:val="20"/>
        </w:rPr>
        <w:t xml:space="preserve"> </w:t>
      </w:r>
      <w:r w:rsidR="002F435A">
        <w:rPr>
          <w:sz w:val="20"/>
          <w:szCs w:val="20"/>
        </w:rPr>
        <w:t xml:space="preserve">     </w:t>
      </w:r>
      <w:r w:rsidR="007B6CE4">
        <w:rPr>
          <w:sz w:val="20"/>
          <w:szCs w:val="20"/>
        </w:rPr>
        <w:t xml:space="preserve">Warszawa, </w:t>
      </w:r>
      <w:r w:rsidR="0035467C">
        <w:rPr>
          <w:sz w:val="20"/>
          <w:szCs w:val="20"/>
        </w:rPr>
        <w:t>0</w:t>
      </w:r>
      <w:r w:rsidR="00260BDE">
        <w:rPr>
          <w:sz w:val="20"/>
          <w:szCs w:val="20"/>
        </w:rPr>
        <w:t>6</w:t>
      </w:r>
      <w:r w:rsidR="007B6CE4">
        <w:rPr>
          <w:sz w:val="20"/>
          <w:szCs w:val="20"/>
        </w:rPr>
        <w:t xml:space="preserve"> </w:t>
      </w:r>
      <w:r w:rsidR="0035467C">
        <w:rPr>
          <w:sz w:val="20"/>
          <w:szCs w:val="20"/>
        </w:rPr>
        <w:t>marca</w:t>
      </w:r>
      <w:r w:rsidR="000A1ABB">
        <w:rPr>
          <w:sz w:val="20"/>
          <w:szCs w:val="20"/>
        </w:rPr>
        <w:t xml:space="preserve"> 2020</w:t>
      </w:r>
      <w:r w:rsidR="007B6CE4" w:rsidRPr="000558A6">
        <w:rPr>
          <w:sz w:val="20"/>
          <w:szCs w:val="20"/>
        </w:rPr>
        <w:t xml:space="preserve"> r.</w:t>
      </w:r>
    </w:p>
    <w:p w14:paraId="33D43FAC" w14:textId="77777777" w:rsidR="007B6CE4" w:rsidRDefault="007B6CE4" w:rsidP="007B6CE4">
      <w:pPr>
        <w:spacing w:after="120"/>
        <w:jc w:val="both"/>
        <w:rPr>
          <w:rFonts w:cs="Arial"/>
          <w:i/>
          <w:szCs w:val="23"/>
        </w:rPr>
      </w:pPr>
      <w:r w:rsidRPr="00F303A7">
        <w:rPr>
          <w:rFonts w:cs="Arial"/>
          <w:i/>
          <w:szCs w:val="23"/>
        </w:rPr>
        <w:t xml:space="preserve"> </w:t>
      </w:r>
    </w:p>
    <w:p w14:paraId="7A864404" w14:textId="40D5DB1F" w:rsidR="0035467C" w:rsidRDefault="00101438" w:rsidP="00354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Kobiety zasługują na zniżki, bo </w:t>
      </w:r>
      <w:r w:rsidR="002722CF">
        <w:rPr>
          <w:b/>
          <w:bCs/>
          <w:sz w:val="28"/>
          <w:szCs w:val="28"/>
        </w:rPr>
        <w:t xml:space="preserve">mają tylko 25 mld zł </w:t>
      </w:r>
      <w:r w:rsidR="00F14C20">
        <w:rPr>
          <w:b/>
          <w:bCs/>
          <w:sz w:val="28"/>
          <w:szCs w:val="28"/>
        </w:rPr>
        <w:t>zaległości</w:t>
      </w:r>
    </w:p>
    <w:p w14:paraId="073553A1" w14:textId="77777777" w:rsidR="0035467C" w:rsidRPr="001E5CD7" w:rsidRDefault="0035467C" w:rsidP="0035467C">
      <w:pPr>
        <w:jc w:val="both"/>
        <w:rPr>
          <w:b/>
          <w:bCs/>
          <w:sz w:val="28"/>
          <w:szCs w:val="28"/>
        </w:rPr>
      </w:pPr>
    </w:p>
    <w:p w14:paraId="0BEC389B" w14:textId="367646CB" w:rsidR="0035467C" w:rsidRPr="00E83827" w:rsidRDefault="00AB15B0" w:rsidP="0035467C">
      <w:pPr>
        <w:jc w:val="both"/>
        <w:rPr>
          <w:b/>
          <w:bCs/>
        </w:rPr>
      </w:pPr>
      <w:r>
        <w:rPr>
          <w:b/>
          <w:bCs/>
        </w:rPr>
        <w:t xml:space="preserve">Impulsywne zakupy za spore sumy? Wydaje się, że </w:t>
      </w:r>
      <w:r w:rsidR="002A4D64">
        <w:rPr>
          <w:b/>
          <w:bCs/>
        </w:rPr>
        <w:t xml:space="preserve">to atrybut </w:t>
      </w:r>
      <w:r>
        <w:rPr>
          <w:b/>
          <w:bCs/>
        </w:rPr>
        <w:t>kobiet</w:t>
      </w:r>
      <w:r w:rsidR="00044265">
        <w:rPr>
          <w:b/>
          <w:bCs/>
        </w:rPr>
        <w:t>, ale b</w:t>
      </w:r>
      <w:r w:rsidR="00210656">
        <w:rPr>
          <w:b/>
          <w:bCs/>
        </w:rPr>
        <w:t>adania pokazują</w:t>
      </w:r>
      <w:r w:rsidR="002A4D64">
        <w:rPr>
          <w:b/>
          <w:bCs/>
        </w:rPr>
        <w:t xml:space="preserve"> co innego</w:t>
      </w:r>
      <w:r w:rsidR="00044265">
        <w:rPr>
          <w:b/>
          <w:bCs/>
        </w:rPr>
        <w:t>. P</w:t>
      </w:r>
      <w:r>
        <w:rPr>
          <w:b/>
          <w:bCs/>
        </w:rPr>
        <w:t xml:space="preserve">okusie </w:t>
      </w:r>
      <w:r w:rsidR="00192006">
        <w:rPr>
          <w:b/>
          <w:bCs/>
        </w:rPr>
        <w:t xml:space="preserve">szalonych </w:t>
      </w:r>
      <w:r w:rsidR="000B546F">
        <w:rPr>
          <w:b/>
          <w:bCs/>
        </w:rPr>
        <w:t xml:space="preserve">wydatków </w:t>
      </w:r>
      <w:r w:rsidR="002A4D64">
        <w:rPr>
          <w:b/>
          <w:bCs/>
        </w:rPr>
        <w:t xml:space="preserve">częściej </w:t>
      </w:r>
      <w:r>
        <w:rPr>
          <w:b/>
          <w:bCs/>
        </w:rPr>
        <w:t>ulega</w:t>
      </w:r>
      <w:r w:rsidR="002A4D64">
        <w:rPr>
          <w:b/>
          <w:bCs/>
        </w:rPr>
        <w:t>ją</w:t>
      </w:r>
      <w:r>
        <w:rPr>
          <w:b/>
          <w:bCs/>
        </w:rPr>
        <w:t xml:space="preserve"> mężczy</w:t>
      </w:r>
      <w:r w:rsidR="002A4D64">
        <w:rPr>
          <w:b/>
          <w:bCs/>
        </w:rPr>
        <w:t>ź</w:t>
      </w:r>
      <w:r>
        <w:rPr>
          <w:b/>
          <w:bCs/>
        </w:rPr>
        <w:t>n</w:t>
      </w:r>
      <w:r w:rsidR="002A4D64">
        <w:rPr>
          <w:b/>
          <w:bCs/>
        </w:rPr>
        <w:t>i</w:t>
      </w:r>
      <w:r w:rsidR="00192006">
        <w:rPr>
          <w:b/>
          <w:bCs/>
        </w:rPr>
        <w:t>. Finansowych lekkoduchów</w:t>
      </w:r>
      <w:r w:rsidR="000B546F">
        <w:rPr>
          <w:b/>
          <w:bCs/>
        </w:rPr>
        <w:t xml:space="preserve">, których pieniądze się nie trzymają, </w:t>
      </w:r>
      <w:r w:rsidR="00192006">
        <w:rPr>
          <w:b/>
          <w:bCs/>
        </w:rPr>
        <w:t xml:space="preserve">każda z płci ma </w:t>
      </w:r>
      <w:r w:rsidR="000B546F">
        <w:rPr>
          <w:b/>
          <w:bCs/>
        </w:rPr>
        <w:t xml:space="preserve">jednak prawie tyle samo. </w:t>
      </w:r>
      <w:r w:rsidR="00F14C20">
        <w:rPr>
          <w:b/>
          <w:bCs/>
        </w:rPr>
        <w:t>Ale o</w:t>
      </w:r>
      <w:r w:rsidR="000B546F">
        <w:rPr>
          <w:b/>
          <w:bCs/>
        </w:rPr>
        <w:t xml:space="preserve">statecznie to </w:t>
      </w:r>
      <w:r w:rsidR="00F14C20">
        <w:rPr>
          <w:b/>
          <w:bCs/>
        </w:rPr>
        <w:t>panie,</w:t>
      </w:r>
      <w:r w:rsidR="000B546F">
        <w:rPr>
          <w:b/>
          <w:bCs/>
        </w:rPr>
        <w:t xml:space="preserve"> z tytułu nieopłaconych rachunków i rat kredytowych</w:t>
      </w:r>
      <w:r w:rsidR="002A4D64">
        <w:rPr>
          <w:b/>
          <w:bCs/>
        </w:rPr>
        <w:t xml:space="preserve"> mają </w:t>
      </w:r>
      <w:r w:rsidR="00BC21F3">
        <w:rPr>
          <w:b/>
          <w:bCs/>
        </w:rPr>
        <w:t xml:space="preserve">dwa razy niższe zaległości niż </w:t>
      </w:r>
      <w:r w:rsidR="002A4D64">
        <w:rPr>
          <w:b/>
          <w:bCs/>
        </w:rPr>
        <w:t>panowie</w:t>
      </w:r>
      <w:r w:rsidR="00BC21F3">
        <w:rPr>
          <w:b/>
          <w:bCs/>
        </w:rPr>
        <w:t>. Na ko</w:t>
      </w:r>
      <w:r w:rsidR="00E800B2">
        <w:rPr>
          <w:b/>
          <w:bCs/>
        </w:rPr>
        <w:t>niec minionego roku było to 25,7</w:t>
      </w:r>
      <w:r w:rsidR="00BC21F3">
        <w:rPr>
          <w:b/>
          <w:bCs/>
        </w:rPr>
        <w:t xml:space="preserve"> mld zł, wobec 5</w:t>
      </w:r>
      <w:r w:rsidR="00E800B2">
        <w:rPr>
          <w:b/>
          <w:bCs/>
        </w:rPr>
        <w:t>1,9</w:t>
      </w:r>
      <w:r w:rsidR="00BC21F3">
        <w:rPr>
          <w:b/>
          <w:bCs/>
        </w:rPr>
        <w:t xml:space="preserve"> mld zł </w:t>
      </w:r>
      <w:r w:rsidR="00101438">
        <w:rPr>
          <w:b/>
          <w:bCs/>
        </w:rPr>
        <w:t xml:space="preserve">zaległości </w:t>
      </w:r>
      <w:r w:rsidR="00BC21F3">
        <w:rPr>
          <w:b/>
          <w:bCs/>
        </w:rPr>
        <w:t xml:space="preserve">płci przeciwnej – wynika z danych Rejestru Dłużników </w:t>
      </w:r>
      <w:r w:rsidR="0035467C" w:rsidRPr="00E83827">
        <w:rPr>
          <w:b/>
          <w:bCs/>
        </w:rPr>
        <w:t>BIG InfoMonitor</w:t>
      </w:r>
      <w:r w:rsidR="00620826">
        <w:rPr>
          <w:b/>
          <w:bCs/>
        </w:rPr>
        <w:t xml:space="preserve"> i BIK</w:t>
      </w:r>
      <w:r w:rsidR="0035467C" w:rsidRPr="00E83827">
        <w:rPr>
          <w:b/>
          <w:bCs/>
        </w:rPr>
        <w:t xml:space="preserve">. </w:t>
      </w:r>
      <w:r w:rsidR="000B546F">
        <w:rPr>
          <w:b/>
          <w:bCs/>
        </w:rPr>
        <w:t xml:space="preserve">Może kobiety zasługują na </w:t>
      </w:r>
      <w:r w:rsidR="001160CA">
        <w:rPr>
          <w:b/>
          <w:bCs/>
        </w:rPr>
        <w:t xml:space="preserve">korzystniejsze </w:t>
      </w:r>
      <w:r w:rsidR="000B546F">
        <w:rPr>
          <w:b/>
          <w:bCs/>
        </w:rPr>
        <w:t>warunki cenowe ze względu na lepszą solidność płatniczą?</w:t>
      </w:r>
    </w:p>
    <w:p w14:paraId="00443C33" w14:textId="77777777" w:rsidR="0035467C" w:rsidRDefault="0035467C" w:rsidP="0035467C">
      <w:pPr>
        <w:jc w:val="both"/>
      </w:pPr>
    </w:p>
    <w:p w14:paraId="4E0E08E6" w14:textId="0022DCCE" w:rsidR="00345A6B" w:rsidRDefault="003E6A21" w:rsidP="003E6A21">
      <w:pPr>
        <w:jc w:val="both"/>
      </w:pPr>
      <w:r>
        <w:t>Być może płeć piękna wydaje nieco</w:t>
      </w:r>
      <w:r w:rsidR="00044265">
        <w:t xml:space="preserve"> więcej podczas zakupów, robi to </w:t>
      </w:r>
      <w:r>
        <w:t>jednak w bardziej przemyślany sposób. Połowa pań wskazuje, że nigdy nie</w:t>
      </w:r>
      <w:r w:rsidR="00BC21F3">
        <w:t xml:space="preserve"> dokonała impulsywnego zakupu za co najmniej 500 zł</w:t>
      </w:r>
      <w:r>
        <w:t>. Wśród panów ten odsetek jest zdecydowanie niższy</w:t>
      </w:r>
      <w:r w:rsidR="007D57D4">
        <w:t xml:space="preserve"> i wynosi</w:t>
      </w:r>
      <w:r w:rsidR="002722CF">
        <w:t xml:space="preserve"> </w:t>
      </w:r>
      <w:r>
        <w:t>38 proc.</w:t>
      </w:r>
      <w:r w:rsidR="00345A6B">
        <w:t xml:space="preserve"> - pokazuje badanie Quality Watch </w:t>
      </w:r>
      <w:r w:rsidR="000B546F">
        <w:t xml:space="preserve">wykonane </w:t>
      </w:r>
      <w:r w:rsidR="00345A6B">
        <w:t>dla</w:t>
      </w:r>
      <w:r w:rsidR="000B546F">
        <w:t xml:space="preserve"> Rejestru Dłużników</w:t>
      </w:r>
      <w:r w:rsidR="00345A6B">
        <w:t xml:space="preserve"> BIG InfoMonitor.</w:t>
      </w:r>
      <w:r>
        <w:t xml:space="preserve"> </w:t>
      </w:r>
      <w:r w:rsidR="00345A6B">
        <w:t>Jeszcze większe różnice</w:t>
      </w:r>
      <w:r w:rsidR="00260BDE">
        <w:t xml:space="preserve"> </w:t>
      </w:r>
      <w:r w:rsidR="00345A6B">
        <w:t>widać w</w:t>
      </w:r>
      <w:r w:rsidR="002722CF">
        <w:t xml:space="preserve"> </w:t>
      </w:r>
      <w:r w:rsidR="00345A6B">
        <w:t xml:space="preserve">grupie respondentów z naprawdę </w:t>
      </w:r>
      <w:r w:rsidR="007D57D4">
        <w:t xml:space="preserve">słabą </w:t>
      </w:r>
      <w:r w:rsidR="00345A6B">
        <w:t>„</w:t>
      </w:r>
      <w:r w:rsidR="007D57D4">
        <w:t>silną</w:t>
      </w:r>
      <w:r w:rsidR="00345A6B">
        <w:t>”</w:t>
      </w:r>
      <w:r w:rsidR="007D57D4">
        <w:t xml:space="preserve"> wolą </w:t>
      </w:r>
      <w:r w:rsidR="00345A6B">
        <w:t>zakupową</w:t>
      </w:r>
      <w:r w:rsidR="007D57D4">
        <w:t xml:space="preserve">. </w:t>
      </w:r>
      <w:r w:rsidR="00FD1863">
        <w:t>Ra</w:t>
      </w:r>
      <w:r w:rsidR="00345A6B">
        <w:t xml:space="preserve">z w miesiącu, albo nawet częściej niż raz na miesiąc pozwala sobie na kosztowne impulsywne </w:t>
      </w:r>
      <w:r w:rsidR="00044265">
        <w:t>wydatki</w:t>
      </w:r>
      <w:r w:rsidR="00E800B2">
        <w:t xml:space="preserve"> 3 proc. kobiet i</w:t>
      </w:r>
      <w:r w:rsidR="005504CD">
        <w:t xml:space="preserve"> </w:t>
      </w:r>
      <w:r w:rsidR="00345A6B">
        <w:t>10 proc.</w:t>
      </w:r>
      <w:r w:rsidR="00E800B2">
        <w:t xml:space="preserve"> mężczyzn.</w:t>
      </w:r>
    </w:p>
    <w:p w14:paraId="103FD364" w14:textId="2BD7484A" w:rsidR="003E6A21" w:rsidRDefault="00345A6B" w:rsidP="003E6A21">
      <w:pPr>
        <w:jc w:val="both"/>
      </w:pPr>
      <w:r>
        <w:t xml:space="preserve"> </w:t>
      </w:r>
    </w:p>
    <w:p w14:paraId="7B9D5DB2" w14:textId="475EFE4E" w:rsidR="003E6A21" w:rsidRDefault="003E6A21" w:rsidP="003E6A21">
      <w:pPr>
        <w:rPr>
          <w:i/>
          <w:iCs/>
        </w:rPr>
      </w:pPr>
      <w:r w:rsidRPr="0080127E">
        <w:rPr>
          <w:noProof/>
          <w:color w:val="FFFFFF" w:themeColor="background1"/>
        </w:rPr>
        <w:drawing>
          <wp:inline distT="0" distB="0" distL="0" distR="0" wp14:anchorId="7873D8B4" wp14:editId="5458E8BA">
            <wp:extent cx="5928360" cy="232410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CEA53F-AE50-4CBA-9FA9-38A5318B9B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br/>
      </w:r>
      <w:r w:rsidRPr="00DE593A">
        <w:rPr>
          <w:i/>
          <w:iCs/>
          <w:sz w:val="18"/>
          <w:szCs w:val="18"/>
        </w:rPr>
        <w:t>Źródło: BIG InfoMoni</w:t>
      </w:r>
      <w:r w:rsidR="00DE593A" w:rsidRPr="00DE593A">
        <w:rPr>
          <w:i/>
          <w:iCs/>
          <w:sz w:val="18"/>
          <w:szCs w:val="18"/>
        </w:rPr>
        <w:t>tor</w:t>
      </w:r>
    </w:p>
    <w:p w14:paraId="5F20629C" w14:textId="77777777" w:rsidR="003E6A21" w:rsidRDefault="003E6A21" w:rsidP="003E6A21"/>
    <w:p w14:paraId="54C6123E" w14:textId="1B08512D" w:rsidR="0035467C" w:rsidRDefault="00753D68" w:rsidP="0035467C">
      <w:pPr>
        <w:jc w:val="both"/>
      </w:pPr>
      <w:r>
        <w:t>Mimo</w:t>
      </w:r>
      <w:r w:rsidR="002722CF">
        <w:t xml:space="preserve"> </w:t>
      </w:r>
      <w:r>
        <w:t xml:space="preserve">takich odpowiedzi, </w:t>
      </w:r>
      <w:r w:rsidR="0035467C">
        <w:t xml:space="preserve">kobiety </w:t>
      </w:r>
      <w:r w:rsidR="0028573B">
        <w:t>są wobec siebie bardziej krytyczne</w:t>
      </w:r>
      <w:r w:rsidR="00FD1863">
        <w:t>.</w:t>
      </w:r>
      <w:r w:rsidR="0028573B">
        <w:t xml:space="preserve"> </w:t>
      </w:r>
      <w:r w:rsidR="00FD1863">
        <w:t>Niżej niż mężczyźni</w:t>
      </w:r>
      <w:r w:rsidR="002722CF">
        <w:t xml:space="preserve"> </w:t>
      </w:r>
      <w:r w:rsidR="0035467C">
        <w:t xml:space="preserve">oceniają </w:t>
      </w:r>
      <w:r w:rsidR="00260BDE">
        <w:t xml:space="preserve">np. </w:t>
      </w:r>
      <w:r w:rsidR="0035467C">
        <w:t>swoje</w:t>
      </w:r>
      <w:r w:rsidR="002F435A">
        <w:t xml:space="preserve"> </w:t>
      </w:r>
      <w:r w:rsidR="0035467C">
        <w:t>zdolności do oszczęd</w:t>
      </w:r>
      <w:r w:rsidR="00600FFE">
        <w:t>zania</w:t>
      </w:r>
      <w:r w:rsidR="00FD1863">
        <w:t xml:space="preserve"> </w:t>
      </w:r>
      <w:r w:rsidR="005504CD">
        <w:t>- 16</w:t>
      </w:r>
      <w:r w:rsidR="00665852">
        <w:t xml:space="preserve"> </w:t>
      </w:r>
      <w:r w:rsidR="005504CD">
        <w:t>proc. wobec 20 proc. mężczyzn,</w:t>
      </w:r>
      <w:r w:rsidR="00FD1863">
        <w:t xml:space="preserve"> nieznacznie częściej </w:t>
      </w:r>
      <w:r w:rsidR="00DA7B93">
        <w:t xml:space="preserve">niż panowie </w:t>
      </w:r>
      <w:r w:rsidR="00FD1863">
        <w:t>postrzegają się za rozrzutne.</w:t>
      </w:r>
      <w:r w:rsidR="00C41227">
        <w:t xml:space="preserve"> P</w:t>
      </w:r>
      <w:r>
        <w:t>rzyznaj</w:t>
      </w:r>
      <w:r w:rsidR="00C41227">
        <w:t xml:space="preserve">ących </w:t>
      </w:r>
      <w:r>
        <w:t>wprost: pieniądze</w:t>
      </w:r>
      <w:r w:rsidR="00386B7A">
        <w:t xml:space="preserve"> </w:t>
      </w:r>
      <w:r>
        <w:t>się mnie nie trzymają</w:t>
      </w:r>
      <w:r w:rsidR="00C41227">
        <w:t xml:space="preserve"> jest</w:t>
      </w:r>
      <w:r w:rsidR="002722CF">
        <w:t xml:space="preserve"> </w:t>
      </w:r>
      <w:r w:rsidR="00C41227">
        <w:t>12 proc. wśród kobiet i ponad 11 proc. wśród</w:t>
      </w:r>
      <w:r w:rsidR="002722CF">
        <w:t xml:space="preserve"> </w:t>
      </w:r>
      <w:r w:rsidR="00DA7B93">
        <w:t xml:space="preserve">mężczyzn. </w:t>
      </w:r>
      <w:r>
        <w:t>Odsetek finansowych lekkoduchów</w:t>
      </w:r>
      <w:r w:rsidR="00DA7B93">
        <w:t xml:space="preserve">, przynajmniej w samoocenie </w:t>
      </w:r>
      <w:r>
        <w:t>jest więc zbliżony</w:t>
      </w:r>
      <w:r w:rsidR="00DA7B93">
        <w:t xml:space="preserve"> po obu stronach</w:t>
      </w:r>
      <w:r>
        <w:t>.</w:t>
      </w:r>
      <w:r w:rsidR="002722CF">
        <w:t xml:space="preserve"> </w:t>
      </w:r>
    </w:p>
    <w:p w14:paraId="0C3D1552" w14:textId="77777777" w:rsidR="0035467C" w:rsidRPr="00DF235D" w:rsidRDefault="0035467C" w:rsidP="0035467C">
      <w:pPr>
        <w:jc w:val="both"/>
      </w:pPr>
    </w:p>
    <w:p w14:paraId="4DB6CAB0" w14:textId="2CF1F80A" w:rsidR="0035467C" w:rsidRDefault="0035467C" w:rsidP="0035467C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4F46570E" wp14:editId="61CB7552">
            <wp:extent cx="5913120" cy="230886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995A53-6252-440B-A213-C9A121CFE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/>
      </w:r>
      <w:r w:rsidRPr="00DE593A">
        <w:rPr>
          <w:i/>
          <w:iCs/>
          <w:sz w:val="18"/>
          <w:szCs w:val="18"/>
        </w:rPr>
        <w:t>Źródło: BIG InfoMonito</w:t>
      </w:r>
      <w:r w:rsidR="00F25969" w:rsidRPr="00DE593A">
        <w:rPr>
          <w:i/>
          <w:iCs/>
          <w:sz w:val="18"/>
          <w:szCs w:val="18"/>
        </w:rPr>
        <w:t>r</w:t>
      </w:r>
    </w:p>
    <w:p w14:paraId="788A94F4" w14:textId="77777777" w:rsidR="0035467C" w:rsidRDefault="0035467C" w:rsidP="0035467C">
      <w:pPr>
        <w:rPr>
          <w:i/>
          <w:iCs/>
        </w:rPr>
      </w:pPr>
    </w:p>
    <w:p w14:paraId="77815EBB" w14:textId="5A744F04" w:rsidR="0035467C" w:rsidRPr="00CB3C4D" w:rsidRDefault="0035467C" w:rsidP="0035467C">
      <w:pPr>
        <w:jc w:val="both"/>
        <w:rPr>
          <w:i/>
          <w:iCs/>
        </w:rPr>
      </w:pPr>
      <w:r>
        <w:t xml:space="preserve">- </w:t>
      </w:r>
      <w:r w:rsidRPr="00F127FE">
        <w:rPr>
          <w:i/>
          <w:iCs/>
        </w:rPr>
        <w:t xml:space="preserve">Obiegowa opinia na temat kobiet wskazuje, że są one rozrzutne i gorzej niż mężczyźni zarządzają domowym budżetem. </w:t>
      </w:r>
      <w:r>
        <w:rPr>
          <w:i/>
          <w:iCs/>
        </w:rPr>
        <w:t>Rzeczywistoś</w:t>
      </w:r>
      <w:r w:rsidR="00C55612">
        <w:rPr>
          <w:i/>
          <w:iCs/>
        </w:rPr>
        <w:t>ć jest jednak bardziej złożona. P</w:t>
      </w:r>
      <w:r w:rsidR="00210656">
        <w:rPr>
          <w:i/>
          <w:iCs/>
        </w:rPr>
        <w:t>anie</w:t>
      </w:r>
      <w:r w:rsidR="00C55612">
        <w:rPr>
          <w:i/>
          <w:iCs/>
        </w:rPr>
        <w:t xml:space="preserve"> rzadziej pozwalają sobie na </w:t>
      </w:r>
      <w:r w:rsidR="00210656">
        <w:rPr>
          <w:i/>
          <w:iCs/>
        </w:rPr>
        <w:t>impulsywne drogie zakupy</w:t>
      </w:r>
      <w:r w:rsidR="00F14C20">
        <w:rPr>
          <w:i/>
          <w:iCs/>
        </w:rPr>
        <w:t>, ale mimo to surowiej się oceniają</w:t>
      </w:r>
      <w:r w:rsidR="00BE51D8">
        <w:rPr>
          <w:i/>
          <w:iCs/>
        </w:rPr>
        <w:t>. U</w:t>
      </w:r>
      <w:r w:rsidR="00DA7B93">
        <w:rPr>
          <w:i/>
          <w:iCs/>
        </w:rPr>
        <w:t>dział osób, których pieniądze się nie trzymają</w:t>
      </w:r>
      <w:r w:rsidR="00BE51D8">
        <w:rPr>
          <w:i/>
          <w:iCs/>
        </w:rPr>
        <w:t xml:space="preserve"> przynajmniej w deklaracjach </w:t>
      </w:r>
      <w:r w:rsidR="00DA7B93">
        <w:rPr>
          <w:i/>
          <w:iCs/>
        </w:rPr>
        <w:t>jest niemal identyczny</w:t>
      </w:r>
      <w:r w:rsidR="00BE51D8">
        <w:rPr>
          <w:i/>
          <w:iCs/>
        </w:rPr>
        <w:t xml:space="preserve"> dla każdej płci</w:t>
      </w:r>
      <w:r w:rsidR="00DA7B93">
        <w:rPr>
          <w:i/>
          <w:iCs/>
        </w:rPr>
        <w:t>.</w:t>
      </w:r>
      <w:r w:rsidR="004814C2">
        <w:rPr>
          <w:i/>
          <w:iCs/>
        </w:rPr>
        <w:t xml:space="preserve"> I można byłoby założyć, że problemy finansowe kobiet i mężczyzn są podobne, ale statystyki z Rejestru Dłużników BIG InfoMonitor oraz BIK zupełnie tego nie potwierdzają</w:t>
      </w:r>
      <w:r w:rsidR="001160CA">
        <w:rPr>
          <w:i/>
          <w:iCs/>
        </w:rPr>
        <w:t xml:space="preserve"> –</w:t>
      </w:r>
      <w:r w:rsidR="001160CA" w:rsidRPr="001160CA">
        <w:rPr>
          <w:iCs/>
        </w:rPr>
        <w:t xml:space="preserve"> zwraca uwagę </w:t>
      </w:r>
      <w:r w:rsidR="001160CA" w:rsidRPr="00F127FE">
        <w:t>Halina Kochalska, ekspert BIG InfoMonitor</w:t>
      </w:r>
      <w:r w:rsidR="001160CA">
        <w:t xml:space="preserve">. </w:t>
      </w:r>
      <w:r w:rsidR="00260BDE">
        <w:rPr>
          <w:iCs/>
        </w:rPr>
        <w:t>O</w:t>
      </w:r>
      <w:r w:rsidR="004814C2" w:rsidRPr="00260BDE">
        <w:rPr>
          <w:iCs/>
        </w:rPr>
        <w:t xml:space="preserve">późnione o co najmniej 30 dni na min. 500 zł raty kredytów w BIK oraz nieopłacone </w:t>
      </w:r>
      <w:r w:rsidR="00BE51D8" w:rsidRPr="00260BDE">
        <w:rPr>
          <w:iCs/>
        </w:rPr>
        <w:t xml:space="preserve">raty i </w:t>
      </w:r>
      <w:r w:rsidR="004814C2" w:rsidRPr="00260BDE">
        <w:rPr>
          <w:iCs/>
        </w:rPr>
        <w:t>rachunki zgłoszone do BIG InfoMonitor przez wierzycieli</w:t>
      </w:r>
      <w:r w:rsidR="00CB3C4D" w:rsidRPr="00260BDE">
        <w:rPr>
          <w:iCs/>
        </w:rPr>
        <w:t xml:space="preserve"> m.in</w:t>
      </w:r>
      <w:r w:rsidR="004814C2" w:rsidRPr="00260BDE">
        <w:rPr>
          <w:iCs/>
        </w:rPr>
        <w:t xml:space="preserve">: </w:t>
      </w:r>
      <w:r w:rsidR="00BE51D8" w:rsidRPr="00260BDE">
        <w:rPr>
          <w:iCs/>
        </w:rPr>
        <w:t xml:space="preserve">firmy pożyczkowe, </w:t>
      </w:r>
      <w:r w:rsidR="004814C2" w:rsidRPr="00260BDE">
        <w:rPr>
          <w:iCs/>
        </w:rPr>
        <w:t xml:space="preserve">telekomy, firmy windykacyjne, operatorów kablówki, zarządców nieruchomości, </w:t>
      </w:r>
      <w:r w:rsidR="00260BDE">
        <w:rPr>
          <w:iCs/>
        </w:rPr>
        <w:t>pokazują</w:t>
      </w:r>
      <w:r w:rsidR="004814C2" w:rsidRPr="00260BDE">
        <w:rPr>
          <w:iCs/>
        </w:rPr>
        <w:t>, że</w:t>
      </w:r>
      <w:r w:rsidR="002722CF" w:rsidRPr="00260BDE">
        <w:rPr>
          <w:iCs/>
        </w:rPr>
        <w:t xml:space="preserve"> </w:t>
      </w:r>
      <w:r w:rsidR="004814C2" w:rsidRPr="00260BDE">
        <w:rPr>
          <w:iCs/>
        </w:rPr>
        <w:t xml:space="preserve">odsetek kobiet z problemami w </w:t>
      </w:r>
      <w:r w:rsidR="001160CA" w:rsidRPr="00260BDE">
        <w:rPr>
          <w:iCs/>
        </w:rPr>
        <w:t xml:space="preserve">swojej pełnoletniej </w:t>
      </w:r>
      <w:r w:rsidR="004814C2" w:rsidRPr="00260BDE">
        <w:rPr>
          <w:iCs/>
        </w:rPr>
        <w:t xml:space="preserve">populacji wynosi </w:t>
      </w:r>
      <w:r w:rsidR="00F14C20" w:rsidRPr="00260BDE">
        <w:rPr>
          <w:iCs/>
        </w:rPr>
        <w:t>6,5</w:t>
      </w:r>
      <w:r w:rsidR="002722CF" w:rsidRPr="00260BDE">
        <w:rPr>
          <w:iCs/>
        </w:rPr>
        <w:t xml:space="preserve"> </w:t>
      </w:r>
      <w:r w:rsidR="00F14C20" w:rsidRPr="00260BDE">
        <w:rPr>
          <w:iCs/>
        </w:rPr>
        <w:t>proc.</w:t>
      </w:r>
      <w:r w:rsidR="00230073" w:rsidRPr="00260BDE">
        <w:rPr>
          <w:iCs/>
        </w:rPr>
        <w:t xml:space="preserve">, </w:t>
      </w:r>
      <w:r w:rsidR="00BE51D8" w:rsidRPr="00260BDE">
        <w:rPr>
          <w:iCs/>
        </w:rPr>
        <w:t>a</w:t>
      </w:r>
      <w:r w:rsidR="00230073" w:rsidRPr="00260BDE">
        <w:rPr>
          <w:iCs/>
        </w:rPr>
        <w:t xml:space="preserve"> mężczyzn </w:t>
      </w:r>
      <w:r w:rsidR="004814C2" w:rsidRPr="00260BDE">
        <w:rPr>
          <w:iCs/>
        </w:rPr>
        <w:t xml:space="preserve">dochodzi do </w:t>
      </w:r>
      <w:r w:rsidR="00230073" w:rsidRPr="00260BDE">
        <w:rPr>
          <w:iCs/>
        </w:rPr>
        <w:t>11,4 proc.</w:t>
      </w:r>
      <w:r w:rsidR="004814C2">
        <w:rPr>
          <w:i/>
          <w:iCs/>
        </w:rPr>
        <w:t xml:space="preserve"> </w:t>
      </w:r>
      <w:r w:rsidR="005504CD">
        <w:rPr>
          <w:i/>
          <w:iCs/>
        </w:rPr>
        <w:t xml:space="preserve">- </w:t>
      </w:r>
      <w:r w:rsidR="00CB3C4D">
        <w:rPr>
          <w:i/>
          <w:iCs/>
        </w:rPr>
        <w:t>Jes</w:t>
      </w:r>
      <w:r w:rsidR="00230073">
        <w:rPr>
          <w:i/>
          <w:iCs/>
        </w:rPr>
        <w:t>zcze większe dysproporcje widać</w:t>
      </w:r>
      <w:r w:rsidR="00CB3C4D">
        <w:rPr>
          <w:i/>
          <w:iCs/>
        </w:rPr>
        <w:t xml:space="preserve">, gdy </w:t>
      </w:r>
      <w:r w:rsidR="00230073">
        <w:rPr>
          <w:i/>
          <w:iCs/>
        </w:rPr>
        <w:t xml:space="preserve">analizuje się </w:t>
      </w:r>
      <w:r w:rsidR="00CB3C4D">
        <w:rPr>
          <w:i/>
          <w:iCs/>
        </w:rPr>
        <w:t>w</w:t>
      </w:r>
      <w:r w:rsidR="004814C2">
        <w:rPr>
          <w:i/>
          <w:iCs/>
        </w:rPr>
        <w:t>artość zaległości</w:t>
      </w:r>
      <w:r w:rsidR="00CB3C4D">
        <w:rPr>
          <w:i/>
          <w:iCs/>
        </w:rPr>
        <w:t>. P</w:t>
      </w:r>
      <w:r w:rsidR="004814C2">
        <w:rPr>
          <w:i/>
          <w:iCs/>
        </w:rPr>
        <w:t>a</w:t>
      </w:r>
      <w:r w:rsidR="00CB3C4D">
        <w:rPr>
          <w:i/>
          <w:iCs/>
        </w:rPr>
        <w:t xml:space="preserve">nie mają </w:t>
      </w:r>
      <w:r w:rsidR="004814C2">
        <w:rPr>
          <w:i/>
          <w:iCs/>
        </w:rPr>
        <w:t xml:space="preserve">dwa razy </w:t>
      </w:r>
      <w:r w:rsidR="00CB3C4D">
        <w:rPr>
          <w:i/>
          <w:iCs/>
        </w:rPr>
        <w:t xml:space="preserve">mniej opóźnionych i nieopłaconych zobowiązań </w:t>
      </w:r>
      <w:r w:rsidR="004814C2">
        <w:rPr>
          <w:i/>
          <w:iCs/>
        </w:rPr>
        <w:t>niż pan</w:t>
      </w:r>
      <w:r w:rsidR="00CB3C4D">
        <w:rPr>
          <w:i/>
          <w:iCs/>
        </w:rPr>
        <w:t xml:space="preserve">owie. Kwoty te </w:t>
      </w:r>
      <w:r w:rsidR="004814C2">
        <w:rPr>
          <w:i/>
          <w:iCs/>
        </w:rPr>
        <w:t>nie ma</w:t>
      </w:r>
      <w:r w:rsidR="00CB3C4D">
        <w:rPr>
          <w:i/>
          <w:iCs/>
        </w:rPr>
        <w:t>ją</w:t>
      </w:r>
      <w:r w:rsidR="004814C2">
        <w:rPr>
          <w:i/>
          <w:iCs/>
        </w:rPr>
        <w:t xml:space="preserve"> szans </w:t>
      </w:r>
      <w:r w:rsidR="00CB3C4D">
        <w:rPr>
          <w:i/>
          <w:iCs/>
        </w:rPr>
        <w:t xml:space="preserve">zrównać się </w:t>
      </w:r>
      <w:r w:rsidR="004814C2">
        <w:rPr>
          <w:i/>
          <w:iCs/>
        </w:rPr>
        <w:t xml:space="preserve">nawet po odjęciu </w:t>
      </w:r>
      <w:r w:rsidR="00230073">
        <w:rPr>
          <w:i/>
          <w:iCs/>
        </w:rPr>
        <w:t xml:space="preserve">mężczyznom niemal 12 mld zł </w:t>
      </w:r>
      <w:r w:rsidR="004814C2">
        <w:rPr>
          <w:i/>
          <w:iCs/>
        </w:rPr>
        <w:t>długów alimentacyjnych, w 95 proc. należą</w:t>
      </w:r>
      <w:r w:rsidR="00230073">
        <w:rPr>
          <w:i/>
          <w:iCs/>
        </w:rPr>
        <w:t>cych</w:t>
      </w:r>
      <w:r w:rsidR="004814C2">
        <w:rPr>
          <w:i/>
          <w:iCs/>
        </w:rPr>
        <w:t xml:space="preserve"> do ojcó</w:t>
      </w:r>
      <w:r w:rsidR="00CB3C4D">
        <w:rPr>
          <w:i/>
          <w:iCs/>
        </w:rPr>
        <w:t xml:space="preserve">w </w:t>
      </w:r>
      <w:r>
        <w:rPr>
          <w:i/>
          <w:iCs/>
        </w:rPr>
        <w:t xml:space="preserve">– </w:t>
      </w:r>
      <w:r w:rsidRPr="00F127FE">
        <w:t>mówi Halina Kochalska</w:t>
      </w:r>
      <w:r w:rsidR="00CB3C4D">
        <w:t>.</w:t>
      </w:r>
    </w:p>
    <w:p w14:paraId="391C2325" w14:textId="77777777" w:rsidR="0035467C" w:rsidRDefault="0035467C" w:rsidP="0035467C">
      <w:pPr>
        <w:jc w:val="both"/>
        <w:rPr>
          <w:b/>
          <w:bCs/>
          <w:sz w:val="24"/>
        </w:rPr>
      </w:pPr>
    </w:p>
    <w:p w14:paraId="04A8B1EF" w14:textId="57759660" w:rsidR="0035467C" w:rsidRDefault="005329A4" w:rsidP="0035467C">
      <w:pPr>
        <w:rPr>
          <w:b/>
          <w:bCs/>
        </w:rPr>
      </w:pPr>
      <w:r>
        <w:rPr>
          <w:b/>
          <w:bCs/>
        </w:rPr>
        <w:t>Przeterminowane zobowiązania</w:t>
      </w:r>
      <w:r w:rsidR="004141B2">
        <w:rPr>
          <w:b/>
          <w:bCs/>
        </w:rPr>
        <w:t xml:space="preserve"> kobiet są dwa razy niższe niż mężczyzn</w:t>
      </w:r>
    </w:p>
    <w:p w14:paraId="42F836E6" w14:textId="77777777" w:rsidR="00DE593A" w:rsidRPr="00A13001" w:rsidRDefault="00DE593A" w:rsidP="0035467C">
      <w:pPr>
        <w:rPr>
          <w:b/>
          <w:bCs/>
        </w:rPr>
      </w:pPr>
    </w:p>
    <w:p w14:paraId="56BED858" w14:textId="073D2160" w:rsidR="0035467C" w:rsidRDefault="004141B2" w:rsidP="0035467C">
      <w:pPr>
        <w:jc w:val="both"/>
      </w:pPr>
      <w:r>
        <w:t>Z</w:t>
      </w:r>
      <w:r w:rsidR="007702E5">
        <w:t xml:space="preserve">aległe zobowiązania </w:t>
      </w:r>
      <w:r w:rsidR="0035467C">
        <w:t>zarówno kredytowe</w:t>
      </w:r>
      <w:r w:rsidR="000E648E">
        <w:t>,</w:t>
      </w:r>
      <w:r w:rsidR="0035467C">
        <w:t xml:space="preserve"> jak i pozak</w:t>
      </w:r>
      <w:r w:rsidR="000E648E">
        <w:t>r</w:t>
      </w:r>
      <w:r w:rsidR="0035467C">
        <w:t>edytowe</w:t>
      </w:r>
      <w:r>
        <w:t xml:space="preserve"> kobiet</w:t>
      </w:r>
      <w:r w:rsidR="0035467C">
        <w:t xml:space="preserve"> wynos</w:t>
      </w:r>
      <w:r w:rsidR="0044403A">
        <w:t>zą 25,</w:t>
      </w:r>
      <w:r w:rsidR="005504CD">
        <w:t>7</w:t>
      </w:r>
      <w:r w:rsidR="0044403A">
        <w:t xml:space="preserve"> mld zł, </w:t>
      </w:r>
      <w:r w:rsidR="007702E5">
        <w:t xml:space="preserve">mężczyzn </w:t>
      </w:r>
      <w:r w:rsidR="0035467C">
        <w:t>5</w:t>
      </w:r>
      <w:r w:rsidR="007702E5">
        <w:t>1</w:t>
      </w:r>
      <w:r w:rsidR="005504CD">
        <w:t>,9</w:t>
      </w:r>
      <w:r w:rsidR="0035467C">
        <w:t xml:space="preserve"> mld zł</w:t>
      </w:r>
      <w:r w:rsidR="007702E5">
        <w:t xml:space="preserve">. </w:t>
      </w:r>
      <w:r w:rsidR="00230073">
        <w:t>O przewadze, n</w:t>
      </w:r>
      <w:r>
        <w:t xml:space="preserve">ie przesądzają </w:t>
      </w:r>
      <w:r w:rsidR="00230073">
        <w:t>w</w:t>
      </w:r>
      <w:r>
        <w:t>yłącznie alimenty,</w:t>
      </w:r>
      <w:r w:rsidR="002722CF">
        <w:t xml:space="preserve"> </w:t>
      </w:r>
      <w:r>
        <w:t xml:space="preserve">bo po ich odjęciu zaległości mężczyzn </w:t>
      </w:r>
      <w:r w:rsidR="005504CD">
        <w:t xml:space="preserve">to </w:t>
      </w:r>
      <w:r w:rsidR="001160CA">
        <w:t xml:space="preserve">nadal </w:t>
      </w:r>
      <w:r w:rsidR="005504CD">
        <w:t>około</w:t>
      </w:r>
      <w:r w:rsidR="007702E5">
        <w:t xml:space="preserve"> </w:t>
      </w:r>
      <w:r>
        <w:t>40 mld zł</w:t>
      </w:r>
      <w:r w:rsidR="0035467C">
        <w:t xml:space="preserve">. </w:t>
      </w:r>
      <w:r w:rsidR="00230073">
        <w:t xml:space="preserve">Przewagę mężczyzn widać też w liczbie niesolidnych dłużników, kobiet jest </w:t>
      </w:r>
      <w:r w:rsidR="00BE51D8">
        <w:t xml:space="preserve">ponad 1 mln, </w:t>
      </w:r>
      <w:r w:rsidR="00230073">
        <w:t>mężczyzn po</w:t>
      </w:r>
      <w:r w:rsidR="00260BDE">
        <w:t>wyżej</w:t>
      </w:r>
      <w:r w:rsidR="0044403A">
        <w:t xml:space="preserve"> </w:t>
      </w:r>
      <w:r w:rsidR="0035467C">
        <w:t>1,7 mln</w:t>
      </w:r>
      <w:r w:rsidR="0044403A">
        <w:t>.</w:t>
      </w:r>
    </w:p>
    <w:p w14:paraId="4F3609C2" w14:textId="672145EB" w:rsidR="00027F2F" w:rsidRDefault="00027F2F" w:rsidP="0035467C">
      <w:pPr>
        <w:jc w:val="both"/>
      </w:pPr>
    </w:p>
    <w:p w14:paraId="727E7C7C" w14:textId="5F17DE3E" w:rsidR="0035467C" w:rsidRDefault="00027F2F" w:rsidP="0035467C">
      <w:pPr>
        <w:jc w:val="both"/>
        <w:rPr>
          <w:i/>
          <w:i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6AC9A4E" wp14:editId="097F8BD3">
            <wp:extent cx="5875020" cy="192786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5467C" w:rsidRPr="008E53FE">
        <w:rPr>
          <w:i/>
          <w:iCs/>
          <w:sz w:val="18"/>
          <w:szCs w:val="18"/>
        </w:rPr>
        <w:t>Źródło: BIG InfoMonitor</w:t>
      </w:r>
      <w:r w:rsidR="0044403A" w:rsidRPr="008E53FE">
        <w:rPr>
          <w:i/>
          <w:iCs/>
          <w:sz w:val="18"/>
          <w:szCs w:val="18"/>
        </w:rPr>
        <w:t>, BIK</w:t>
      </w:r>
    </w:p>
    <w:p w14:paraId="31B5ECC1" w14:textId="72CFFD8B" w:rsidR="00027F2F" w:rsidRDefault="00027F2F" w:rsidP="0035467C">
      <w:pPr>
        <w:jc w:val="both"/>
      </w:pPr>
    </w:p>
    <w:p w14:paraId="303EA69F" w14:textId="6E8AF59B" w:rsidR="00A55371" w:rsidRDefault="00A55371" w:rsidP="0035467C">
      <w:pPr>
        <w:jc w:val="both"/>
      </w:pPr>
      <w:r>
        <w:rPr>
          <w:noProof/>
        </w:rPr>
        <w:drawing>
          <wp:inline distT="0" distB="0" distL="0" distR="0" wp14:anchorId="63FD1EF6" wp14:editId="4A351805">
            <wp:extent cx="5760720" cy="1890353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7DBD6B" w14:textId="2849184F" w:rsidR="00A55371" w:rsidRDefault="00A55371" w:rsidP="0035467C">
      <w:pPr>
        <w:jc w:val="both"/>
        <w:rPr>
          <w:i/>
          <w:iCs/>
          <w:sz w:val="18"/>
          <w:szCs w:val="18"/>
        </w:rPr>
      </w:pPr>
      <w:r w:rsidRPr="008E53FE">
        <w:rPr>
          <w:i/>
          <w:iCs/>
          <w:sz w:val="18"/>
          <w:szCs w:val="18"/>
        </w:rPr>
        <w:t>Źródło: BIG InfoMonitor, BIK</w:t>
      </w:r>
    </w:p>
    <w:p w14:paraId="17366578" w14:textId="77777777" w:rsidR="00A55371" w:rsidRPr="00027F2F" w:rsidRDefault="00A55371" w:rsidP="0035467C">
      <w:pPr>
        <w:jc w:val="both"/>
      </w:pPr>
    </w:p>
    <w:p w14:paraId="7108143E" w14:textId="77777777" w:rsidR="007E1D81" w:rsidRPr="00DD4033" w:rsidRDefault="007E1D81" w:rsidP="0035467C">
      <w:pPr>
        <w:jc w:val="both"/>
        <w:rPr>
          <w:i/>
          <w:iCs/>
        </w:rPr>
      </w:pPr>
    </w:p>
    <w:tbl>
      <w:tblPr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79"/>
      </w:tblGrid>
      <w:tr w:rsidR="007E1D81" w:rsidRPr="007E1D81" w14:paraId="527AFEF0" w14:textId="77777777" w:rsidTr="00F70AD8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80BD32" w14:textId="77777777" w:rsidR="007E1D81" w:rsidRPr="007E1D81" w:rsidRDefault="007E1D81" w:rsidP="007E1D81">
            <w:pPr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b/>
                <w:bCs/>
                <w:color w:val="000000"/>
                <w:szCs w:val="23"/>
              </w:rPr>
              <w:t>Wiek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1E6E8BA" w14:textId="1C33EA82" w:rsidR="007E1D81" w:rsidRPr="007E1D81" w:rsidRDefault="007E1D81" w:rsidP="00F70AD8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b/>
                <w:bCs/>
                <w:color w:val="000000"/>
                <w:szCs w:val="23"/>
              </w:rPr>
              <w:t xml:space="preserve">Całkowita kwota </w:t>
            </w:r>
            <w:r w:rsidR="00117D81">
              <w:rPr>
                <w:rFonts w:ascii="Calibri" w:hAnsi="Calibri" w:cs="Calibri"/>
                <w:b/>
                <w:bCs/>
                <w:color w:val="000000"/>
                <w:szCs w:val="23"/>
              </w:rPr>
              <w:t xml:space="preserve">zaległego </w:t>
            </w:r>
            <w:r w:rsidRPr="007E1D81">
              <w:rPr>
                <w:rFonts w:ascii="Calibri" w:hAnsi="Calibri" w:cs="Calibri"/>
                <w:b/>
                <w:bCs/>
                <w:color w:val="000000"/>
                <w:szCs w:val="23"/>
              </w:rPr>
              <w:t>zadłużenia (mld zł)</w:t>
            </w:r>
          </w:p>
        </w:tc>
      </w:tr>
      <w:tr w:rsidR="007E1D81" w:rsidRPr="007E1D81" w14:paraId="3462F3F6" w14:textId="77777777" w:rsidTr="00F70AD8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30F15" w14:textId="77777777" w:rsidR="007E1D81" w:rsidRPr="007E1D81" w:rsidRDefault="007E1D81" w:rsidP="007E1D81">
            <w:pPr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18-24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686EC" w14:textId="77777777" w:rsidR="007E1D81" w:rsidRPr="007E1D81" w:rsidRDefault="007E1D81" w:rsidP="007E1D81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0,45</w:t>
            </w:r>
          </w:p>
        </w:tc>
      </w:tr>
      <w:tr w:rsidR="007E1D81" w:rsidRPr="007E1D81" w14:paraId="34DBB667" w14:textId="77777777" w:rsidTr="00F70AD8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F13E" w14:textId="77777777" w:rsidR="007E1D81" w:rsidRPr="007E1D81" w:rsidRDefault="007E1D81" w:rsidP="007E1D81">
            <w:pPr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25-34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F4C" w14:textId="77777777" w:rsidR="007E1D81" w:rsidRPr="007E1D81" w:rsidRDefault="007E1D81" w:rsidP="007E1D81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3,17</w:t>
            </w:r>
          </w:p>
        </w:tc>
      </w:tr>
      <w:tr w:rsidR="007E1D81" w:rsidRPr="007E1D81" w14:paraId="5CF20168" w14:textId="77777777" w:rsidTr="00F70AD8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1678E" w14:textId="77777777" w:rsidR="007E1D81" w:rsidRPr="007E1D81" w:rsidRDefault="007E1D81" w:rsidP="007E1D81">
            <w:pPr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35-44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EA022" w14:textId="77777777" w:rsidR="007E1D81" w:rsidRPr="007E1D81" w:rsidRDefault="007E1D81" w:rsidP="007E1D81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6,68</w:t>
            </w:r>
          </w:p>
        </w:tc>
      </w:tr>
      <w:tr w:rsidR="007E1D81" w:rsidRPr="007E1D81" w14:paraId="2CBAB124" w14:textId="77777777" w:rsidTr="00F70AD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D071" w14:textId="77777777" w:rsidR="007E1D81" w:rsidRPr="007E1D81" w:rsidRDefault="007E1D81" w:rsidP="007E1D81">
            <w:pPr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45-54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5AD7" w14:textId="77777777" w:rsidR="007E1D81" w:rsidRPr="007E1D81" w:rsidRDefault="007E1D81" w:rsidP="007E1D81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6,35</w:t>
            </w:r>
          </w:p>
        </w:tc>
      </w:tr>
      <w:tr w:rsidR="007E1D81" w:rsidRPr="007E1D81" w14:paraId="3B8B7C6F" w14:textId="77777777" w:rsidTr="00F70AD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A6D0D" w14:textId="77777777" w:rsidR="007E1D81" w:rsidRPr="007E1D81" w:rsidRDefault="007E1D81" w:rsidP="007E1D81">
            <w:pPr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55-64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63D54" w14:textId="77777777" w:rsidR="007E1D81" w:rsidRPr="007E1D81" w:rsidRDefault="007E1D81" w:rsidP="007E1D81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4,8</w:t>
            </w:r>
          </w:p>
        </w:tc>
      </w:tr>
      <w:tr w:rsidR="007E1D81" w:rsidRPr="007E1D81" w14:paraId="40A6642F" w14:textId="77777777" w:rsidTr="00F70AD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7BA6" w14:textId="77777777" w:rsidR="007E1D81" w:rsidRPr="007E1D81" w:rsidRDefault="007E1D81" w:rsidP="007E1D81">
            <w:pPr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65+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7A88" w14:textId="77777777" w:rsidR="007E1D81" w:rsidRPr="007E1D81" w:rsidRDefault="007E1D81" w:rsidP="007E1D81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7E1D81">
              <w:rPr>
                <w:rFonts w:ascii="Calibri" w:hAnsi="Calibri" w:cs="Calibri"/>
                <w:color w:val="000000"/>
                <w:szCs w:val="23"/>
              </w:rPr>
              <w:t>4,29</w:t>
            </w:r>
          </w:p>
        </w:tc>
      </w:tr>
    </w:tbl>
    <w:p w14:paraId="62512CF6" w14:textId="1AD244DA" w:rsidR="0035467C" w:rsidRPr="008E53FE" w:rsidRDefault="0035467C" w:rsidP="0035467C">
      <w:pPr>
        <w:jc w:val="both"/>
        <w:rPr>
          <w:i/>
          <w:iCs/>
          <w:sz w:val="18"/>
          <w:szCs w:val="18"/>
        </w:rPr>
      </w:pPr>
      <w:r w:rsidRPr="008E53FE">
        <w:rPr>
          <w:i/>
          <w:iCs/>
          <w:sz w:val="18"/>
          <w:szCs w:val="18"/>
        </w:rPr>
        <w:t>Źródło: BIG InfoMonitor</w:t>
      </w:r>
      <w:r w:rsidR="008E53FE">
        <w:rPr>
          <w:i/>
          <w:iCs/>
          <w:sz w:val="18"/>
          <w:szCs w:val="18"/>
        </w:rPr>
        <w:t>, BIK</w:t>
      </w:r>
    </w:p>
    <w:p w14:paraId="5F36C4BD" w14:textId="77777777" w:rsidR="0035467C" w:rsidRDefault="0035467C" w:rsidP="0035467C">
      <w:pPr>
        <w:jc w:val="both"/>
      </w:pPr>
    </w:p>
    <w:p w14:paraId="0E6975EA" w14:textId="613F9966" w:rsidR="00A42DE4" w:rsidRDefault="007702E5" w:rsidP="0035467C">
      <w:pPr>
        <w:jc w:val="both"/>
      </w:pPr>
      <w:r>
        <w:t>Portret kobiety</w:t>
      </w:r>
      <w:r w:rsidR="00260BDE">
        <w:t>,</w:t>
      </w:r>
      <w:r>
        <w:t xml:space="preserve"> nie radzącej sobie z obsługą bi</w:t>
      </w:r>
      <w:r w:rsidR="003E6A21">
        <w:t>eżących rachunków i kredytów</w:t>
      </w:r>
      <w:r w:rsidR="00260BDE">
        <w:t>,</w:t>
      </w:r>
      <w:r w:rsidR="003E6A21">
        <w:t xml:space="preserve"> przedstawia osobę </w:t>
      </w:r>
      <w:r>
        <w:t>między 35</w:t>
      </w:r>
      <w:r w:rsidR="003E6A21">
        <w:t xml:space="preserve"> a 44 rokiem życia</w:t>
      </w:r>
      <w:r w:rsidR="00260BDE">
        <w:t>,</w:t>
      </w:r>
      <w:r w:rsidR="003E6A21">
        <w:t xml:space="preserve"> zamieszkującą</w:t>
      </w:r>
      <w:r>
        <w:t xml:space="preserve"> </w:t>
      </w:r>
      <w:r w:rsidR="00D76A48">
        <w:t xml:space="preserve">przede wszystkim </w:t>
      </w:r>
      <w:r>
        <w:t>woj. lubuski</w:t>
      </w:r>
      <w:r w:rsidR="001160CA">
        <w:t>e</w:t>
      </w:r>
      <w:r w:rsidR="00230073">
        <w:t>,</w:t>
      </w:r>
      <w:r w:rsidR="002722CF">
        <w:t xml:space="preserve"> </w:t>
      </w:r>
      <w:r>
        <w:t>zachodniopomorski</w:t>
      </w:r>
      <w:r w:rsidR="001160CA">
        <w:t>e</w:t>
      </w:r>
      <w:r w:rsidR="00230073">
        <w:t>, dolnośląskie</w:t>
      </w:r>
      <w:r w:rsidR="00D76A48">
        <w:t xml:space="preserve"> lub kujawsko-pomorski</w:t>
      </w:r>
      <w:r w:rsidR="001160CA">
        <w:t>e</w:t>
      </w:r>
      <w:r w:rsidR="00D76A48">
        <w:t xml:space="preserve">. </w:t>
      </w:r>
      <w:r w:rsidR="00645770">
        <w:t xml:space="preserve">Jej średnia zaległość to </w:t>
      </w:r>
      <w:r w:rsidR="00645770" w:rsidRPr="00E42E68">
        <w:t>23</w:t>
      </w:r>
      <w:r w:rsidR="0082443A">
        <w:t xml:space="preserve"> 899</w:t>
      </w:r>
      <w:r w:rsidR="00645770">
        <w:t xml:space="preserve"> zł</w:t>
      </w:r>
      <w:r w:rsidR="00BE51D8">
        <w:t xml:space="preserve">, </w:t>
      </w:r>
      <w:r w:rsidR="00645770">
        <w:t>o 6 3</w:t>
      </w:r>
      <w:r w:rsidR="0082443A">
        <w:t>52</w:t>
      </w:r>
      <w:r w:rsidR="00645770">
        <w:t xml:space="preserve"> zł</w:t>
      </w:r>
      <w:r w:rsidR="001160CA">
        <w:t xml:space="preserve"> </w:t>
      </w:r>
      <w:r w:rsidR="00BE51D8">
        <w:t xml:space="preserve">mniej </w:t>
      </w:r>
      <w:r w:rsidR="001160CA">
        <w:t>niż średnia zaległość mężczyzn</w:t>
      </w:r>
      <w:r w:rsidR="00645770">
        <w:t>. W</w:t>
      </w:r>
      <w:r w:rsidR="002C4847">
        <w:t xml:space="preserve"> czterech</w:t>
      </w:r>
      <w:r w:rsidR="001160CA">
        <w:t xml:space="preserve"> wymienionych</w:t>
      </w:r>
      <w:r w:rsidR="002C4847">
        <w:t xml:space="preserve"> </w:t>
      </w:r>
      <w:r>
        <w:t>regionach kobiet</w:t>
      </w:r>
      <w:r w:rsidR="00BE51D8">
        <w:t>,</w:t>
      </w:r>
      <w:r>
        <w:t xml:space="preserve"> niesolidnych dłużniczek jest najwięcej, na każde 100 </w:t>
      </w:r>
      <w:r w:rsidR="00D76A48">
        <w:t>dorosłych pań</w:t>
      </w:r>
      <w:r>
        <w:t xml:space="preserve"> pr</w:t>
      </w:r>
      <w:r w:rsidR="00F17345">
        <w:t xml:space="preserve">zypada ponad 8 z zaległościami, </w:t>
      </w:r>
      <w:r w:rsidR="00645770">
        <w:t xml:space="preserve">ale już </w:t>
      </w:r>
      <w:r w:rsidR="00F17345">
        <w:t>w podkarpackim, małopolskim i podlaskim</w:t>
      </w:r>
      <w:r w:rsidR="00230073">
        <w:t xml:space="preserve"> jest</w:t>
      </w:r>
      <w:r w:rsidR="002722CF">
        <w:t xml:space="preserve"> </w:t>
      </w:r>
      <w:r w:rsidR="003C0AB0">
        <w:t>co najwyżej około czterech</w:t>
      </w:r>
      <w:r w:rsidR="001160CA">
        <w:t xml:space="preserve"> na 100</w:t>
      </w:r>
      <w:r w:rsidR="003C0AB0">
        <w:t>.</w:t>
      </w:r>
      <w:r w:rsidR="001160CA">
        <w:t xml:space="preserve"> I t</w:t>
      </w:r>
      <w:r w:rsidR="00A42DE4">
        <w:t>u</w:t>
      </w:r>
      <w:r w:rsidR="001160CA">
        <w:t xml:space="preserve"> akurat </w:t>
      </w:r>
      <w:r w:rsidR="00D76A48">
        <w:t>kobiety</w:t>
      </w:r>
      <w:r w:rsidR="001160CA">
        <w:t xml:space="preserve"> nie </w:t>
      </w:r>
      <w:r w:rsidR="003C0AB0">
        <w:t>r</w:t>
      </w:r>
      <w:r w:rsidR="00F17345">
        <w:t xml:space="preserve">óżnią się </w:t>
      </w:r>
      <w:r w:rsidR="001160CA">
        <w:t>od mężczyzn</w:t>
      </w:r>
      <w:r w:rsidR="00A42DE4">
        <w:t>,</w:t>
      </w:r>
      <w:r w:rsidR="002722CF">
        <w:t xml:space="preserve"> </w:t>
      </w:r>
      <w:r w:rsidR="00A42DE4">
        <w:t xml:space="preserve">ich solidność płatniczą w dużej mierze determinuje </w:t>
      </w:r>
      <w:r w:rsidR="00230073">
        <w:t>region</w:t>
      </w:r>
      <w:r w:rsidR="002722CF">
        <w:t xml:space="preserve"> </w:t>
      </w:r>
      <w:r w:rsidR="00A42DE4">
        <w:t>zamieszkania.</w:t>
      </w:r>
      <w:r w:rsidR="002722CF">
        <w:t xml:space="preserve"> </w:t>
      </w:r>
      <w:r w:rsidR="003C0AB0">
        <w:t>Również p</w:t>
      </w:r>
      <w:r w:rsidR="00F17345">
        <w:t xml:space="preserve">anów </w:t>
      </w:r>
      <w:r w:rsidR="003C0AB0">
        <w:t>niepłacących na czas lub wcale</w:t>
      </w:r>
      <w:r w:rsidR="00645770">
        <w:t>,</w:t>
      </w:r>
      <w:r w:rsidR="003C0AB0">
        <w:t xml:space="preserve"> na Ziemi Lubuskiej, </w:t>
      </w:r>
      <w:r w:rsidR="00645770">
        <w:t xml:space="preserve">Pomorzu Zachodnim i w </w:t>
      </w:r>
      <w:r w:rsidR="003C0AB0">
        <w:t xml:space="preserve">kujawsko-pomorskim </w:t>
      </w:r>
      <w:r w:rsidR="00645770">
        <w:t xml:space="preserve">jest </w:t>
      </w:r>
      <w:r w:rsidR="003C0AB0">
        <w:t>najwięcej,</w:t>
      </w:r>
      <w:r w:rsidR="002722CF">
        <w:t xml:space="preserve"> </w:t>
      </w:r>
      <w:r w:rsidR="00A42DE4">
        <w:t xml:space="preserve">a na Podkarpaciu, czy Podlasiu najmniej. </w:t>
      </w:r>
    </w:p>
    <w:p w14:paraId="0D688D90" w14:textId="77777777" w:rsidR="00A42DE4" w:rsidRDefault="00A42DE4" w:rsidP="0035467C">
      <w:pPr>
        <w:jc w:val="both"/>
      </w:pPr>
    </w:p>
    <w:p w14:paraId="53266BAA" w14:textId="25E99FFF" w:rsidR="0035467C" w:rsidRDefault="00A42DE4" w:rsidP="0035467C">
      <w:pPr>
        <w:jc w:val="both"/>
      </w:pPr>
      <w:r>
        <w:t>Oczywiście z</w:t>
      </w:r>
      <w:r w:rsidR="003C0AB0">
        <w:t>e względu na liczbę mieszkańców</w:t>
      </w:r>
      <w:r w:rsidR="00230073">
        <w:t>,</w:t>
      </w:r>
      <w:r w:rsidR="003C0AB0">
        <w:t xml:space="preserve"> najwięcej niesolidnych dłużniczek, z największą łączną kwotą </w:t>
      </w:r>
      <w:r w:rsidR="00645770">
        <w:t>zaległości</w:t>
      </w:r>
      <w:r w:rsidR="00260BDE">
        <w:t>,</w:t>
      </w:r>
      <w:r w:rsidR="00645770">
        <w:t xml:space="preserve"> </w:t>
      </w:r>
      <w:r>
        <w:t>pochodzi z</w:t>
      </w:r>
      <w:r w:rsidR="003C0AB0">
        <w:t xml:space="preserve"> </w:t>
      </w:r>
      <w:r w:rsidR="00F17345">
        <w:t>w</w:t>
      </w:r>
      <w:r w:rsidR="003C0AB0">
        <w:t>oj. mazowiecki</w:t>
      </w:r>
      <w:r>
        <w:t>ego i</w:t>
      </w:r>
      <w:r w:rsidR="0035467C">
        <w:t xml:space="preserve"> śląski</w:t>
      </w:r>
      <w:r>
        <w:t>ego</w:t>
      </w:r>
      <w:r w:rsidR="0035467C">
        <w:t>. Na Mazowszu</w:t>
      </w:r>
      <w:r w:rsidR="00C377F9">
        <w:t xml:space="preserve"> </w:t>
      </w:r>
      <w:r>
        <w:t>jest</w:t>
      </w:r>
      <w:r w:rsidR="002722CF">
        <w:t xml:space="preserve"> </w:t>
      </w:r>
      <w:r>
        <w:t xml:space="preserve">to </w:t>
      </w:r>
      <w:r w:rsidR="003C0AB0">
        <w:t xml:space="preserve">kwota </w:t>
      </w:r>
      <w:r w:rsidR="0035467C">
        <w:t>ponad 4,7</w:t>
      </w:r>
      <w:r w:rsidR="00260BDE">
        <w:t>7</w:t>
      </w:r>
      <w:r w:rsidR="0035467C">
        <w:t xml:space="preserve"> mld zł, </w:t>
      </w:r>
      <w:r w:rsidR="003C0AB0">
        <w:t>należąca</w:t>
      </w:r>
      <w:r w:rsidR="002722CF">
        <w:t xml:space="preserve"> </w:t>
      </w:r>
      <w:r w:rsidR="00C377F9">
        <w:t>do</w:t>
      </w:r>
      <w:r w:rsidR="0035467C">
        <w:t xml:space="preserve"> </w:t>
      </w:r>
      <w:r w:rsidR="00260BDE">
        <w:t xml:space="preserve">ponad </w:t>
      </w:r>
      <w:r w:rsidR="0035467C">
        <w:t>13</w:t>
      </w:r>
      <w:r w:rsidR="00260BDE">
        <w:t>9</w:t>
      </w:r>
      <w:r w:rsidR="0035467C">
        <w:t xml:space="preserve"> tys. kobiet. Z kolei na Śląsku kobiece zaległości sięgają niemal 3,5 mld zł i </w:t>
      </w:r>
      <w:r w:rsidR="003C0AB0">
        <w:t xml:space="preserve">przypadają </w:t>
      </w:r>
      <w:r w:rsidR="0035467C">
        <w:t>na 15</w:t>
      </w:r>
      <w:r w:rsidR="00260BDE">
        <w:t>4</w:t>
      </w:r>
      <w:r w:rsidR="0035467C">
        <w:t xml:space="preserve"> tys. osób. Wysoki poziom zobowiązań jest także na Dolnym Śląsku i w Wielkopolsce. </w:t>
      </w:r>
      <w:r w:rsidR="001347A6">
        <w:t>Kobiety</w:t>
      </w:r>
      <w:r w:rsidR="0035467C">
        <w:t xml:space="preserve"> mają tam zaległ</w:t>
      </w:r>
      <w:r w:rsidR="003C0AB0">
        <w:t xml:space="preserve">ości </w:t>
      </w:r>
      <w:r w:rsidR="0035467C">
        <w:t>w wy</w:t>
      </w:r>
      <w:r>
        <w:t xml:space="preserve">noszące </w:t>
      </w:r>
      <w:r w:rsidR="0035467C">
        <w:t xml:space="preserve">odpowiednio – 2,4 mld zł i 2,3 mld zł. W obu przypadkach długi dotyczą </w:t>
      </w:r>
      <w:r w:rsidR="00260BDE">
        <w:t>ponad</w:t>
      </w:r>
      <w:r w:rsidR="0035467C">
        <w:t xml:space="preserve"> 100 tys. </w:t>
      </w:r>
      <w:r w:rsidR="00C377F9">
        <w:t>pań.</w:t>
      </w:r>
    </w:p>
    <w:p w14:paraId="39F5E3AE" w14:textId="77777777" w:rsidR="00AD2268" w:rsidRDefault="00AD2268" w:rsidP="0035467C">
      <w:pPr>
        <w:jc w:val="both"/>
      </w:pP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9"/>
        <w:gridCol w:w="134"/>
        <w:gridCol w:w="2410"/>
      </w:tblGrid>
      <w:tr w:rsidR="00AD2268" w:rsidRPr="00AD2268" w14:paraId="2D888CB3" w14:textId="77777777" w:rsidTr="00A350AE">
        <w:trPr>
          <w:trHeight w:val="6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A0A52FF" w14:textId="77777777" w:rsidR="00AD2268" w:rsidRPr="00AD2268" w:rsidRDefault="00AD2268" w:rsidP="00AD226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 w:rsidRPr="00AD2268">
              <w:rPr>
                <w:rFonts w:ascii="Calibri" w:hAnsi="Calibri" w:cs="Calibri"/>
                <w:b/>
                <w:bCs/>
                <w:color w:val="000000"/>
                <w:szCs w:val="23"/>
              </w:rPr>
              <w:t>Województwo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91EE56B" w14:textId="2161DAA5" w:rsidR="00AD2268" w:rsidRPr="00AD2268" w:rsidRDefault="00A350AE" w:rsidP="00AD226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3"/>
              </w:rPr>
              <w:t>Kwota zaległego zadłużenia</w:t>
            </w:r>
            <w:r w:rsidR="00057043">
              <w:rPr>
                <w:rFonts w:ascii="Calibri" w:hAnsi="Calibri" w:cs="Calibri"/>
                <w:b/>
                <w:bCs/>
                <w:color w:val="000000"/>
                <w:szCs w:val="23"/>
              </w:rPr>
              <w:t xml:space="preserve"> (zł)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153F91D" w14:textId="77777777" w:rsidR="00AD2268" w:rsidRPr="00AD2268" w:rsidRDefault="00AD2268" w:rsidP="00AD226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 w:rsidRPr="00AD2268">
              <w:rPr>
                <w:rFonts w:ascii="Calibri" w:hAnsi="Calibri" w:cs="Calibri"/>
                <w:b/>
                <w:bCs/>
                <w:color w:val="000000"/>
                <w:szCs w:val="23"/>
              </w:rPr>
              <w:t>Liczba zadłużonych kobiet</w:t>
            </w:r>
          </w:p>
        </w:tc>
      </w:tr>
      <w:tr w:rsidR="00AD2268" w:rsidRPr="00AD2268" w14:paraId="2C9114B6" w14:textId="77777777" w:rsidTr="00A350AE">
        <w:trPr>
          <w:trHeight w:val="310"/>
        </w:trPr>
        <w:tc>
          <w:tcPr>
            <w:tcW w:w="2268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6A8A8D96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Mazowieckie</w:t>
            </w:r>
          </w:p>
        </w:tc>
        <w:tc>
          <w:tcPr>
            <w:tcW w:w="1709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6066962C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4 773 346 877</w:t>
            </w:r>
          </w:p>
        </w:tc>
        <w:tc>
          <w:tcPr>
            <w:tcW w:w="2544" w:type="dxa"/>
            <w:gridSpan w:val="2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5A9BF84A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139 218</w:t>
            </w:r>
          </w:p>
        </w:tc>
      </w:tr>
      <w:tr w:rsidR="00AD2268" w:rsidRPr="00AD2268" w14:paraId="4D6577C6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D45E30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2E29A2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3 495 029 849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000FA7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154 302</w:t>
            </w:r>
          </w:p>
        </w:tc>
      </w:tr>
      <w:tr w:rsidR="00AD2268" w:rsidRPr="00AD2268" w14:paraId="014A48A2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48B0B561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3E2B2AE5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2 423 680 066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1919792C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105 905</w:t>
            </w:r>
          </w:p>
        </w:tc>
      </w:tr>
      <w:tr w:rsidR="00AD2268" w:rsidRPr="00AD2268" w14:paraId="3BD75867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9D11272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Wielkopolskie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4BD5D9C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2 326 486 593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FBCDF81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101 007</w:t>
            </w:r>
          </w:p>
        </w:tc>
      </w:tr>
      <w:tr w:rsidR="00AD2268" w:rsidRPr="00AD2268" w14:paraId="21ABFCD7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4F67454D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Łódzkie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47DA8BAA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1 841 910 291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262CD9CB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74 695</w:t>
            </w:r>
          </w:p>
        </w:tc>
      </w:tr>
      <w:tr w:rsidR="00AD2268" w:rsidRPr="00AD2268" w14:paraId="42DA5FAB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0F9181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Pomorskie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64DF40F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1 711 429 255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989008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72 403</w:t>
            </w:r>
          </w:p>
        </w:tc>
      </w:tr>
      <w:tr w:rsidR="00AD2268" w:rsidRPr="00AD2268" w14:paraId="71CBAF05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4E94F804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Małopolskie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43FB8393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1 619 815 781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22F37B3E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61 296</w:t>
            </w:r>
          </w:p>
        </w:tc>
      </w:tr>
      <w:tr w:rsidR="00AD2268" w:rsidRPr="00AD2268" w14:paraId="3B74AC8D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06472E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Kujawsko-Pomorskie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E58CFF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1 558 642 773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5EF1F3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75 671</w:t>
            </w:r>
          </w:p>
        </w:tc>
      </w:tr>
      <w:tr w:rsidR="00AD2268" w:rsidRPr="00AD2268" w14:paraId="0AFB8E20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060C7CAF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Zachodniopomorskie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281808C9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1 387 910 936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3D15DE3D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62 624</w:t>
            </w:r>
          </w:p>
        </w:tc>
      </w:tr>
      <w:tr w:rsidR="00AD2268" w:rsidRPr="00AD2268" w14:paraId="474E6AD2" w14:textId="77777777" w:rsidTr="00A350AE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F880B6F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Lubelskie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512B88CD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910 731 868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E2BF478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43 968</w:t>
            </w:r>
          </w:p>
        </w:tc>
      </w:tr>
      <w:tr w:rsidR="00AD2268" w:rsidRPr="00AD2268" w14:paraId="2B1D0E5E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2664E237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Warmińsko-Mazurskie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07472F5A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904 611 925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50F03B3A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47 065</w:t>
            </w:r>
          </w:p>
        </w:tc>
      </w:tr>
      <w:tr w:rsidR="00AD2268" w:rsidRPr="00AD2268" w14:paraId="16AEC0A9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BCEE03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Lubuskie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03B5F8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723 994 000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68AC82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37 007</w:t>
            </w:r>
          </w:p>
        </w:tc>
      </w:tr>
      <w:tr w:rsidR="00AD2268" w:rsidRPr="00AD2268" w14:paraId="123296C5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4921C72B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Podkarpackie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2FE2AA2B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610 041 854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25A6FC87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29 611</w:t>
            </w:r>
          </w:p>
        </w:tc>
      </w:tr>
      <w:tr w:rsidR="00AD2268" w:rsidRPr="00AD2268" w14:paraId="18D30265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CEC13C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Opolskie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D7E114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498 633 701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E2A4A4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24 830</w:t>
            </w:r>
          </w:p>
        </w:tc>
      </w:tr>
      <w:tr w:rsidR="00AD2268" w:rsidRPr="00AD2268" w14:paraId="0B3B3398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720F95DC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Świętokrzyskie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5AF50976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497 896 368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CE6F1"/>
            <w:noWrap/>
            <w:vAlign w:val="center"/>
            <w:hideMark/>
          </w:tcPr>
          <w:p w14:paraId="0578ED7B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25 682</w:t>
            </w:r>
          </w:p>
        </w:tc>
      </w:tr>
      <w:tr w:rsidR="00AD2268" w:rsidRPr="00AD2268" w14:paraId="54A821E7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3712A0" w14:textId="77777777" w:rsidR="00AD2268" w:rsidRPr="00AD2268" w:rsidRDefault="00AD2268" w:rsidP="00AD2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Podlaskie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D27E1C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444 655 574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3CC6EC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color w:val="000000"/>
                <w:sz w:val="22"/>
                <w:szCs w:val="22"/>
              </w:rPr>
              <w:t>21 292</w:t>
            </w:r>
          </w:p>
        </w:tc>
      </w:tr>
      <w:tr w:rsidR="00AD2268" w:rsidRPr="00AD2268" w14:paraId="63CFE7A0" w14:textId="77777777" w:rsidTr="00A350A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C5D9F1"/>
            <w:noWrap/>
            <w:vAlign w:val="center"/>
            <w:hideMark/>
          </w:tcPr>
          <w:p w14:paraId="51297069" w14:textId="77777777" w:rsidR="00AD2268" w:rsidRPr="00AD2268" w:rsidRDefault="00AD2268" w:rsidP="00AD22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C5D9F1"/>
            <w:noWrap/>
            <w:vAlign w:val="center"/>
            <w:hideMark/>
          </w:tcPr>
          <w:p w14:paraId="3DCA4FA6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25 728 817 711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C5D9F1"/>
            <w:noWrap/>
            <w:vAlign w:val="center"/>
            <w:hideMark/>
          </w:tcPr>
          <w:p w14:paraId="155E758A" w14:textId="77777777" w:rsidR="00AD2268" w:rsidRPr="00AD2268" w:rsidRDefault="00AD2268" w:rsidP="00AD22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2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1 076 576</w:t>
            </w:r>
          </w:p>
        </w:tc>
      </w:tr>
    </w:tbl>
    <w:p w14:paraId="47916BCA" w14:textId="072147D4" w:rsidR="0035467C" w:rsidRPr="006E5415" w:rsidRDefault="0035467C" w:rsidP="0035467C">
      <w:pPr>
        <w:jc w:val="both"/>
        <w:rPr>
          <w:i/>
          <w:iCs/>
          <w:sz w:val="18"/>
          <w:szCs w:val="18"/>
        </w:rPr>
      </w:pPr>
      <w:r w:rsidRPr="006E5415">
        <w:rPr>
          <w:i/>
          <w:iCs/>
          <w:sz w:val="18"/>
          <w:szCs w:val="18"/>
        </w:rPr>
        <w:t>Źródło: BIG InfoMonitor</w:t>
      </w:r>
      <w:r w:rsidR="00D373AF">
        <w:rPr>
          <w:i/>
          <w:iCs/>
          <w:sz w:val="18"/>
          <w:szCs w:val="18"/>
        </w:rPr>
        <w:t>, BIK</w:t>
      </w:r>
    </w:p>
    <w:p w14:paraId="30E0F861" w14:textId="77777777" w:rsidR="0035467C" w:rsidRDefault="0035467C" w:rsidP="0035467C">
      <w:pPr>
        <w:jc w:val="both"/>
      </w:pPr>
    </w:p>
    <w:p w14:paraId="41A56C77" w14:textId="304090E2" w:rsidR="0035467C" w:rsidRDefault="0035467C" w:rsidP="0035467C">
      <w:pPr>
        <w:jc w:val="both"/>
      </w:pPr>
      <w:r>
        <w:t xml:space="preserve">Na czołową pozycję Mazowsza w dużym stopniu wpływa liczba rekordowych zaległości. Siedem na dziesięć </w:t>
      </w:r>
      <w:r w:rsidR="00260BDE">
        <w:t>rekordowych</w:t>
      </w:r>
      <w:r>
        <w:t xml:space="preserve"> kobiet-d</w:t>
      </w:r>
      <w:r w:rsidR="00C377F9">
        <w:t>łużniczek pochodzi właśnie st</w:t>
      </w:r>
      <w:r>
        <w:t>ąd.</w:t>
      </w:r>
      <w:r w:rsidR="002722CF">
        <w:t xml:space="preserve"> </w:t>
      </w:r>
      <w:r>
        <w:t xml:space="preserve">Listę uzupełniają </w:t>
      </w:r>
      <w:r w:rsidR="00607DA6">
        <w:t xml:space="preserve">dwie </w:t>
      </w:r>
      <w:r>
        <w:t xml:space="preserve">panie z woj. </w:t>
      </w:r>
      <w:r w:rsidR="00C377F9">
        <w:t>d</w:t>
      </w:r>
      <w:r>
        <w:t>olnośląskiego i jedna z</w:t>
      </w:r>
      <w:r w:rsidR="00C377F9">
        <w:t xml:space="preserve"> m</w:t>
      </w:r>
      <w:r>
        <w:t>ałopolski</w:t>
      </w:r>
      <w:r w:rsidR="00C377F9">
        <w:t>ego</w:t>
      </w:r>
      <w:r>
        <w:t>.</w:t>
      </w:r>
    </w:p>
    <w:p w14:paraId="5B1B6155" w14:textId="77777777" w:rsidR="0035467C" w:rsidRPr="00160C13" w:rsidRDefault="0035467C" w:rsidP="0035467C">
      <w:pPr>
        <w:jc w:val="both"/>
      </w:pPr>
    </w:p>
    <w:p w14:paraId="023EF929" w14:textId="04A1622A" w:rsidR="0035467C" w:rsidRDefault="00665852" w:rsidP="0035467C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117B4A">
        <w:rPr>
          <w:b/>
          <w:bCs/>
        </w:rPr>
        <w:t xml:space="preserve"> </w:t>
      </w:r>
      <w:r w:rsidR="0035467C" w:rsidRPr="00110DE1">
        <w:rPr>
          <w:b/>
          <w:bCs/>
        </w:rPr>
        <w:t>TOP 10</w:t>
      </w:r>
    </w:p>
    <w:tbl>
      <w:tblPr>
        <w:tblW w:w="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860"/>
      </w:tblGrid>
      <w:tr w:rsidR="00117B4A" w:rsidRPr="00117B4A" w14:paraId="546D6A8A" w14:textId="77777777" w:rsidTr="00117B4A">
        <w:trPr>
          <w:trHeight w:val="6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1A3943B" w14:textId="77777777" w:rsidR="00117B4A" w:rsidRPr="00117B4A" w:rsidRDefault="00117B4A" w:rsidP="00117B4A">
            <w:pPr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b/>
                <w:bCs/>
                <w:color w:val="000000"/>
                <w:szCs w:val="23"/>
              </w:rPr>
              <w:t>Województwo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B7A787E" w14:textId="4665A9E8" w:rsidR="00117B4A" w:rsidRPr="00117B4A" w:rsidRDefault="00117B4A" w:rsidP="00117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b/>
                <w:bCs/>
                <w:color w:val="000000"/>
                <w:szCs w:val="23"/>
              </w:rPr>
              <w:t xml:space="preserve">Kwota </w:t>
            </w:r>
            <w:r w:rsidR="005329A4">
              <w:rPr>
                <w:rFonts w:ascii="Calibri" w:hAnsi="Calibri" w:cs="Calibri"/>
                <w:b/>
                <w:bCs/>
                <w:color w:val="000000"/>
                <w:szCs w:val="23"/>
              </w:rPr>
              <w:t xml:space="preserve">zaległego zadłużenia </w:t>
            </w:r>
            <w:r w:rsidRPr="00117B4A">
              <w:rPr>
                <w:rFonts w:ascii="Calibri" w:hAnsi="Calibri" w:cs="Calibri"/>
                <w:b/>
                <w:bCs/>
                <w:color w:val="000000"/>
                <w:szCs w:val="23"/>
              </w:rPr>
              <w:t>w zł</w:t>
            </w:r>
          </w:p>
        </w:tc>
      </w:tr>
      <w:tr w:rsidR="00117B4A" w:rsidRPr="00117B4A" w14:paraId="0B87CD9B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9D1836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B68E8F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43 379 976</w:t>
            </w:r>
          </w:p>
        </w:tc>
      </w:tr>
      <w:tr w:rsidR="00117B4A" w:rsidRPr="00117B4A" w14:paraId="3234B4D3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7BFC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7A18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26 977 224</w:t>
            </w:r>
          </w:p>
        </w:tc>
      </w:tr>
      <w:tr w:rsidR="00117B4A" w:rsidRPr="00117B4A" w14:paraId="0C07FFD1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9CEC8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E971D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25 457 118</w:t>
            </w:r>
          </w:p>
        </w:tc>
      </w:tr>
      <w:tr w:rsidR="00117B4A" w:rsidRPr="00117B4A" w14:paraId="0DF3C9C7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4F5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0F0B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25 453 604</w:t>
            </w:r>
          </w:p>
        </w:tc>
      </w:tr>
      <w:tr w:rsidR="00117B4A" w:rsidRPr="00117B4A" w14:paraId="50AE7AAA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09448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588D1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20 767 281</w:t>
            </w:r>
          </w:p>
        </w:tc>
      </w:tr>
      <w:tr w:rsidR="00117B4A" w:rsidRPr="00117B4A" w14:paraId="76B64A80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A333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DOLNOŚLĄSKIE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B464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17 143 318</w:t>
            </w:r>
          </w:p>
        </w:tc>
      </w:tr>
      <w:tr w:rsidR="00117B4A" w:rsidRPr="00117B4A" w14:paraId="499B42A5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54F919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DOLNOŚLĄSKIE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523CD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14 940 673</w:t>
            </w:r>
          </w:p>
        </w:tc>
      </w:tr>
      <w:tr w:rsidR="00117B4A" w:rsidRPr="00117B4A" w14:paraId="1EE4481E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F3E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lastRenderedPageBreak/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5C6B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11 686 178</w:t>
            </w:r>
          </w:p>
        </w:tc>
      </w:tr>
      <w:tr w:rsidR="00117B4A" w:rsidRPr="00117B4A" w14:paraId="13E76350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AF792C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MAZOWIECKIE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85166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10 721 014</w:t>
            </w:r>
          </w:p>
        </w:tc>
      </w:tr>
      <w:tr w:rsidR="00117B4A" w:rsidRPr="00117B4A" w14:paraId="4D7E8A6D" w14:textId="77777777" w:rsidTr="00117B4A">
        <w:trPr>
          <w:trHeight w:val="3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C2D0" w14:textId="77777777" w:rsidR="00117B4A" w:rsidRPr="00117B4A" w:rsidRDefault="00117B4A" w:rsidP="00117B4A">
            <w:pPr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MAŁOPOLSKIE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7BBA" w14:textId="77777777" w:rsidR="00117B4A" w:rsidRPr="00117B4A" w:rsidRDefault="00117B4A" w:rsidP="00117B4A">
            <w:pPr>
              <w:jc w:val="right"/>
              <w:rPr>
                <w:rFonts w:ascii="Calibri" w:hAnsi="Calibri" w:cs="Calibri"/>
                <w:color w:val="000000"/>
                <w:szCs w:val="23"/>
              </w:rPr>
            </w:pPr>
            <w:r w:rsidRPr="00117B4A">
              <w:rPr>
                <w:rFonts w:ascii="Calibri" w:hAnsi="Calibri" w:cs="Calibri"/>
                <w:color w:val="000000"/>
                <w:szCs w:val="23"/>
              </w:rPr>
              <w:t>10 630 970</w:t>
            </w:r>
          </w:p>
        </w:tc>
      </w:tr>
    </w:tbl>
    <w:p w14:paraId="0F446E40" w14:textId="39BF7222" w:rsidR="0035467C" w:rsidRPr="00117B4A" w:rsidRDefault="00D373AF" w:rsidP="0035467C">
      <w:pPr>
        <w:jc w:val="both"/>
        <w:rPr>
          <w:i/>
          <w:iCs/>
          <w:sz w:val="18"/>
          <w:szCs w:val="18"/>
        </w:rPr>
      </w:pPr>
      <w:bookmarkStart w:id="0" w:name="_GoBack"/>
      <w:r>
        <w:rPr>
          <w:i/>
          <w:iCs/>
          <w:sz w:val="18"/>
          <w:szCs w:val="18"/>
        </w:rPr>
        <w:t>Źródło: BIG InfoMonitor, BIK</w:t>
      </w:r>
    </w:p>
    <w:p w14:paraId="5C8C8B5A" w14:textId="77777777" w:rsidR="00A42DE4" w:rsidRDefault="00A42DE4" w:rsidP="006C23BC">
      <w:pPr>
        <w:spacing w:after="120"/>
        <w:rPr>
          <w:rFonts w:ascii="Calibri" w:hAnsi="Calibri" w:cs="Calibri"/>
        </w:rPr>
      </w:pPr>
    </w:p>
    <w:p w14:paraId="43D63F24" w14:textId="66890AB7" w:rsidR="008832B3" w:rsidRPr="006C23BC" w:rsidRDefault="00A42DE4" w:rsidP="003A190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Gdyby mężczyźni </w:t>
      </w:r>
      <w:r w:rsidR="00101438">
        <w:rPr>
          <w:rFonts w:ascii="Calibri" w:hAnsi="Calibri" w:cs="Calibri"/>
        </w:rPr>
        <w:t>spłacali swoje zobowiązania</w:t>
      </w:r>
      <w:r>
        <w:rPr>
          <w:rFonts w:ascii="Calibri" w:hAnsi="Calibri" w:cs="Calibri"/>
        </w:rPr>
        <w:t xml:space="preserve"> tak jak kobiety</w:t>
      </w:r>
      <w:r w:rsidR="001014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 dnia na dzień zniknęłoby z baz BIG InfoMonitor i BIK ponad 700 tys. </w:t>
      </w:r>
      <w:r w:rsidR="00893E56">
        <w:rPr>
          <w:rFonts w:ascii="Calibri" w:hAnsi="Calibri" w:cs="Calibri"/>
        </w:rPr>
        <w:t>niesolidnych dłużników</w:t>
      </w:r>
      <w:r>
        <w:rPr>
          <w:rFonts w:ascii="Calibri" w:hAnsi="Calibri" w:cs="Calibri"/>
        </w:rPr>
        <w:t xml:space="preserve">, a kwota zaległości stopniałaby </w:t>
      </w:r>
      <w:r w:rsidR="00101438">
        <w:rPr>
          <w:rFonts w:ascii="Calibri" w:hAnsi="Calibri" w:cs="Calibri"/>
        </w:rPr>
        <w:t>o</w:t>
      </w:r>
      <w:r w:rsidR="00665852">
        <w:rPr>
          <w:rFonts w:ascii="Calibri" w:hAnsi="Calibri" w:cs="Calibri"/>
        </w:rPr>
        <w:t xml:space="preserve"> </w:t>
      </w:r>
      <w:r w:rsidR="00101438">
        <w:rPr>
          <w:rFonts w:ascii="Calibri" w:hAnsi="Calibri" w:cs="Calibri"/>
        </w:rPr>
        <w:t>2</w:t>
      </w:r>
      <w:r w:rsidR="00230073">
        <w:rPr>
          <w:rFonts w:ascii="Calibri" w:hAnsi="Calibri" w:cs="Calibri"/>
        </w:rPr>
        <w:t>6</w:t>
      </w:r>
      <w:r w:rsidR="00101438">
        <w:rPr>
          <w:rFonts w:ascii="Calibri" w:hAnsi="Calibri" w:cs="Calibri"/>
        </w:rPr>
        <w:t xml:space="preserve"> mld zł. </w:t>
      </w:r>
      <w:r w:rsidR="00893E56">
        <w:rPr>
          <w:rFonts w:ascii="Calibri" w:hAnsi="Calibri" w:cs="Calibri"/>
        </w:rPr>
        <w:t>Wie</w:t>
      </w:r>
      <w:r w:rsidR="00101438">
        <w:rPr>
          <w:rFonts w:ascii="Calibri" w:hAnsi="Calibri" w:cs="Calibri"/>
        </w:rPr>
        <w:t>l</w:t>
      </w:r>
      <w:r w:rsidR="00893E56">
        <w:rPr>
          <w:rFonts w:ascii="Calibri" w:hAnsi="Calibri" w:cs="Calibri"/>
        </w:rPr>
        <w:t>u</w:t>
      </w:r>
      <w:r w:rsidR="00101438">
        <w:rPr>
          <w:rFonts w:ascii="Calibri" w:hAnsi="Calibri" w:cs="Calibri"/>
        </w:rPr>
        <w:t xml:space="preserve"> wierzycieli </w:t>
      </w:r>
      <w:r w:rsidR="00A350AE">
        <w:rPr>
          <w:rFonts w:ascii="Calibri" w:hAnsi="Calibri" w:cs="Calibri"/>
        </w:rPr>
        <w:t>odetchnęło</w:t>
      </w:r>
      <w:r w:rsidR="00893E56">
        <w:rPr>
          <w:rFonts w:ascii="Calibri" w:hAnsi="Calibri" w:cs="Calibri"/>
        </w:rPr>
        <w:t>by z ulgą. Na lepsze warunki cenowe,</w:t>
      </w:r>
      <w:r w:rsidR="00665852">
        <w:rPr>
          <w:rFonts w:ascii="Calibri" w:hAnsi="Calibri" w:cs="Calibri"/>
        </w:rPr>
        <w:t xml:space="preserve"> </w:t>
      </w:r>
      <w:r w:rsidR="00260BDE">
        <w:rPr>
          <w:rFonts w:ascii="Calibri" w:hAnsi="Calibri" w:cs="Calibri"/>
        </w:rPr>
        <w:t>z racji przynależności do płci, która rzetelniej reguluje</w:t>
      </w:r>
      <w:r w:rsidR="00665852">
        <w:rPr>
          <w:rFonts w:ascii="Calibri" w:hAnsi="Calibri" w:cs="Calibri"/>
        </w:rPr>
        <w:t xml:space="preserve"> </w:t>
      </w:r>
      <w:r w:rsidR="00F14C20">
        <w:rPr>
          <w:rFonts w:ascii="Calibri" w:hAnsi="Calibri" w:cs="Calibri"/>
        </w:rPr>
        <w:t>rachunk</w:t>
      </w:r>
      <w:r w:rsidR="00A350AE">
        <w:rPr>
          <w:rFonts w:ascii="Calibri" w:hAnsi="Calibri" w:cs="Calibri"/>
        </w:rPr>
        <w:t>i i raty kredytów</w:t>
      </w:r>
      <w:r w:rsidR="00260BDE">
        <w:rPr>
          <w:rFonts w:ascii="Calibri" w:hAnsi="Calibri" w:cs="Calibri"/>
        </w:rPr>
        <w:t>,</w:t>
      </w:r>
      <w:r w:rsidR="00F14C20">
        <w:rPr>
          <w:rFonts w:ascii="Calibri" w:hAnsi="Calibri" w:cs="Calibri"/>
        </w:rPr>
        <w:t xml:space="preserve"> </w:t>
      </w:r>
      <w:r w:rsidR="00893E56">
        <w:rPr>
          <w:rFonts w:ascii="Calibri" w:hAnsi="Calibri" w:cs="Calibri"/>
        </w:rPr>
        <w:t xml:space="preserve">kobiety niestety jednak </w:t>
      </w:r>
      <w:r w:rsidR="00F14C20">
        <w:rPr>
          <w:rFonts w:ascii="Calibri" w:hAnsi="Calibri" w:cs="Calibri"/>
        </w:rPr>
        <w:t>liczyć nie mogą</w:t>
      </w:r>
      <w:r w:rsidR="00893E56">
        <w:rPr>
          <w:rFonts w:ascii="Calibri" w:hAnsi="Calibri" w:cs="Calibri"/>
        </w:rPr>
        <w:t>, by</w:t>
      </w:r>
      <w:r w:rsidR="00F14C20">
        <w:rPr>
          <w:rFonts w:ascii="Calibri" w:hAnsi="Calibri" w:cs="Calibri"/>
        </w:rPr>
        <w:t xml:space="preserve">łoby to bowiem </w:t>
      </w:r>
      <w:r w:rsidR="00BE51D8">
        <w:rPr>
          <w:rFonts w:ascii="Calibri" w:hAnsi="Calibri" w:cs="Calibri"/>
        </w:rPr>
        <w:t>niezgodnym z prawem nierównym</w:t>
      </w:r>
      <w:r w:rsidR="00F14C20">
        <w:rPr>
          <w:rFonts w:ascii="Calibri" w:hAnsi="Calibri" w:cs="Calibri"/>
        </w:rPr>
        <w:t xml:space="preserve"> traktowanie</w:t>
      </w:r>
      <w:r w:rsidR="00755E60">
        <w:rPr>
          <w:rFonts w:ascii="Calibri" w:hAnsi="Calibri" w:cs="Calibri"/>
        </w:rPr>
        <w:t>m</w:t>
      </w:r>
      <w:r w:rsidR="00F14C20">
        <w:rPr>
          <w:rFonts w:ascii="Calibri" w:hAnsi="Calibri" w:cs="Calibri"/>
        </w:rPr>
        <w:t xml:space="preserve"> konsumentów</w:t>
      </w:r>
      <w:r w:rsidR="00BE51D8">
        <w:rPr>
          <w:rFonts w:ascii="Calibri" w:hAnsi="Calibri" w:cs="Calibri"/>
        </w:rPr>
        <w:t>.</w:t>
      </w:r>
      <w:r w:rsidR="002722CF">
        <w:rPr>
          <w:rFonts w:ascii="Calibri" w:hAnsi="Calibri" w:cs="Calibri"/>
        </w:rPr>
        <w:t xml:space="preserve"> </w:t>
      </w:r>
    </w:p>
    <w:bookmarkEnd w:id="0"/>
    <w:p w14:paraId="156BD54E" w14:textId="77777777" w:rsidR="007B6CE4" w:rsidRDefault="007B6CE4" w:rsidP="007B6CE4">
      <w:pPr>
        <w:spacing w:before="120"/>
        <w:jc w:val="both"/>
        <w:rPr>
          <w:b/>
          <w:bCs/>
          <w:color w:val="595959" w:themeColor="text1" w:themeTint="A6"/>
          <w:sz w:val="18"/>
          <w:szCs w:val="18"/>
        </w:rPr>
      </w:pPr>
    </w:p>
    <w:p w14:paraId="64E2DE49" w14:textId="77777777" w:rsidR="007B6CE4" w:rsidRPr="00CA6058" w:rsidRDefault="007B6CE4" w:rsidP="007B6CE4">
      <w:pPr>
        <w:spacing w:before="120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6E768543" w14:textId="77777777" w:rsidR="007B6CE4" w:rsidRPr="00CA6058" w:rsidRDefault="007B6CE4" w:rsidP="007B6CE4">
      <w:pPr>
        <w:spacing w:after="120"/>
        <w:ind w:left="1423"/>
        <w:contextualSpacing/>
        <w:jc w:val="both"/>
      </w:pPr>
    </w:p>
    <w:p w14:paraId="53E34703" w14:textId="77777777" w:rsidR="007B6CE4" w:rsidRDefault="007B6CE4" w:rsidP="007B6CE4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p w14:paraId="512818AD" w14:textId="77777777" w:rsidR="007B6CE4" w:rsidRPr="00F303A7" w:rsidRDefault="007B6CE4" w:rsidP="007B6CE4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7B6CE4" w:rsidRPr="00F303A7" w14:paraId="59078B2D" w14:textId="77777777" w:rsidTr="005419B6">
        <w:tc>
          <w:tcPr>
            <w:tcW w:w="4606" w:type="dxa"/>
            <w:hideMark/>
          </w:tcPr>
          <w:p w14:paraId="0A4795D8" w14:textId="77777777" w:rsidR="007B6CE4" w:rsidRPr="00F303A7" w:rsidRDefault="007B6CE4" w:rsidP="007B6CE4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774C2FA5" w14:textId="77777777" w:rsidR="007B6CE4" w:rsidRPr="00F303A7" w:rsidRDefault="007B6CE4" w:rsidP="007B6CE4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40CCC547" w14:textId="77777777" w:rsidR="007B6CE4" w:rsidRPr="00F303A7" w:rsidRDefault="007B6CE4" w:rsidP="007B6CE4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0AB903D9" w14:textId="77777777" w:rsidR="007B6CE4" w:rsidRPr="00F303A7" w:rsidRDefault="007B6CE4" w:rsidP="007B6CE4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14:paraId="76D54125" w14:textId="77777777" w:rsidR="007B6CE4" w:rsidRPr="00F303A7" w:rsidRDefault="00726D65" w:rsidP="007B6CE4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7B6CE4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14:paraId="6E3113D0" w14:textId="77777777" w:rsidR="007B6CE4" w:rsidRPr="00F303A7" w:rsidRDefault="007B6CE4" w:rsidP="007B6CE4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6BD1F7A3" w14:textId="77777777" w:rsidR="007B6CE4" w:rsidRPr="00F303A7" w:rsidRDefault="007B6CE4" w:rsidP="007B6CE4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711629C3" w14:textId="77777777" w:rsidR="007B6CE4" w:rsidRPr="00F303A7" w:rsidRDefault="007B6CE4" w:rsidP="007B6CE4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7A4D2049" w14:textId="77777777" w:rsidR="007B6CE4" w:rsidRPr="00F303A7" w:rsidRDefault="007B6CE4" w:rsidP="007B6CE4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7BDC99DC" w14:textId="77777777" w:rsidR="007B6CE4" w:rsidRPr="00F303A7" w:rsidRDefault="00726D65" w:rsidP="007B6CE4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3" w:history="1">
              <w:r w:rsidR="007B6CE4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7B6CE4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117319BD" w14:textId="77777777" w:rsidR="007B6CE4" w:rsidRDefault="007B6CE4" w:rsidP="007B6CE4">
      <w:pPr>
        <w:jc w:val="both"/>
      </w:pPr>
    </w:p>
    <w:p w14:paraId="07AF19B7" w14:textId="77777777" w:rsidR="007B6CE4" w:rsidRDefault="007B6CE4" w:rsidP="007B6CE4">
      <w:pPr>
        <w:jc w:val="both"/>
      </w:pPr>
    </w:p>
    <w:p w14:paraId="637A41D8" w14:textId="77777777" w:rsidR="00E24CA3" w:rsidRDefault="00E24CA3" w:rsidP="007B6CE4">
      <w:pPr>
        <w:jc w:val="both"/>
        <w:rPr>
          <w:b/>
          <w:bCs/>
        </w:rPr>
      </w:pPr>
    </w:p>
    <w:p w14:paraId="643CD66E" w14:textId="77777777" w:rsidR="00E24CA3" w:rsidRDefault="00E24CA3" w:rsidP="007B6CE4">
      <w:pPr>
        <w:jc w:val="both"/>
        <w:rPr>
          <w:b/>
          <w:bCs/>
        </w:rPr>
      </w:pPr>
    </w:p>
    <w:p w14:paraId="0CFB276F" w14:textId="77777777" w:rsidR="00E24CA3" w:rsidRDefault="00E24CA3" w:rsidP="007B6CE4">
      <w:pPr>
        <w:jc w:val="both"/>
        <w:rPr>
          <w:b/>
          <w:bCs/>
        </w:rPr>
      </w:pPr>
    </w:p>
    <w:p w14:paraId="1A248F44" w14:textId="77777777" w:rsidR="00E24CA3" w:rsidRDefault="00E24CA3" w:rsidP="007B6CE4">
      <w:pPr>
        <w:jc w:val="both"/>
        <w:rPr>
          <w:b/>
          <w:bCs/>
        </w:rPr>
      </w:pPr>
    </w:p>
    <w:p w14:paraId="0798D130" w14:textId="77777777" w:rsidR="00E24CA3" w:rsidRDefault="00E24CA3" w:rsidP="007B6CE4">
      <w:pPr>
        <w:jc w:val="both"/>
        <w:rPr>
          <w:b/>
          <w:bCs/>
        </w:rPr>
      </w:pPr>
    </w:p>
    <w:p w14:paraId="0C9DDBBB" w14:textId="77777777" w:rsidR="00E24CA3" w:rsidRDefault="00E24CA3" w:rsidP="007B6CE4">
      <w:pPr>
        <w:jc w:val="both"/>
        <w:rPr>
          <w:b/>
          <w:bCs/>
        </w:rPr>
      </w:pPr>
    </w:p>
    <w:p w14:paraId="1F035EBE" w14:textId="77777777" w:rsidR="00BF162F" w:rsidRDefault="00BF162F" w:rsidP="007B6CE4">
      <w:pPr>
        <w:jc w:val="both"/>
        <w:rPr>
          <w:b/>
          <w:bCs/>
        </w:rPr>
      </w:pPr>
    </w:p>
    <w:sectPr w:rsidR="00BF162F" w:rsidSect="005419B6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83CE8" w14:textId="77777777" w:rsidR="00726D65" w:rsidRDefault="00726D65" w:rsidP="007B6CE4">
      <w:r>
        <w:separator/>
      </w:r>
    </w:p>
  </w:endnote>
  <w:endnote w:type="continuationSeparator" w:id="0">
    <w:p w14:paraId="445FDB01" w14:textId="77777777" w:rsidR="00726D65" w:rsidRDefault="00726D65" w:rsidP="007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CC04" w14:textId="77777777" w:rsidR="005419B6" w:rsidRDefault="007E296F" w:rsidP="00541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375A3F" w14:textId="77777777" w:rsidR="005419B6" w:rsidRDefault="005419B6" w:rsidP="005419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932C" w14:textId="77777777" w:rsidR="005419B6" w:rsidRDefault="007E296F" w:rsidP="00541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21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F8D083" w14:textId="77777777" w:rsidR="005419B6" w:rsidRPr="00D94BC7" w:rsidRDefault="00541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190C6" w14:textId="77777777" w:rsidR="00726D65" w:rsidRDefault="00726D65" w:rsidP="007B6CE4">
      <w:r>
        <w:separator/>
      </w:r>
    </w:p>
  </w:footnote>
  <w:footnote w:type="continuationSeparator" w:id="0">
    <w:p w14:paraId="3F346D85" w14:textId="77777777" w:rsidR="00726D65" w:rsidRDefault="00726D65" w:rsidP="007B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739B" w14:textId="7CFAC631" w:rsidR="005419B6" w:rsidRDefault="007E296F" w:rsidP="007348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D6EF9B" wp14:editId="28B2E2E1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A9D9" w14:textId="2889B8C3" w:rsidR="009E6193" w:rsidRDefault="007E296F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  <w:r w:rsidR="002722CF">
      <w:rPr>
        <w:b/>
        <w:sz w:val="24"/>
      </w:rPr>
      <w:t xml:space="preserve"> </w:t>
    </w:r>
  </w:p>
  <w:p w14:paraId="27408937" w14:textId="2C859589" w:rsidR="005419B6" w:rsidRPr="00695EB6" w:rsidRDefault="002722CF">
    <w:pPr>
      <w:pStyle w:val="Nagwek"/>
      <w:rPr>
        <w:b/>
        <w:sz w:val="24"/>
      </w:rPr>
    </w:pPr>
    <w:r>
      <w:rPr>
        <w:b/>
        <w:sz w:val="24"/>
      </w:rPr>
      <w:t xml:space="preserve">                                                            </w:t>
    </w:r>
    <w:r>
      <w:rPr>
        <w:b/>
        <w:noProof/>
        <w:sz w:val="24"/>
        <w:lang w:eastAsia="pl-PL"/>
      </w:rPr>
      <w:t xml:space="preserve">   </w:t>
    </w:r>
    <w:r w:rsidR="009E6193">
      <w:rPr>
        <w:b/>
        <w:noProof/>
        <w:sz w:val="24"/>
        <w:lang w:eastAsia="pl-PL"/>
      </w:rPr>
      <w:drawing>
        <wp:inline distT="0" distB="0" distL="0" distR="0" wp14:anchorId="703E44C6" wp14:editId="6F12E795">
          <wp:extent cx="114617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4"/>
    <w:rsid w:val="00007891"/>
    <w:rsid w:val="00027F2F"/>
    <w:rsid w:val="000336B3"/>
    <w:rsid w:val="00041D17"/>
    <w:rsid w:val="00044265"/>
    <w:rsid w:val="00057043"/>
    <w:rsid w:val="00064BA8"/>
    <w:rsid w:val="000A1ABB"/>
    <w:rsid w:val="000A3592"/>
    <w:rsid w:val="000B546F"/>
    <w:rsid w:val="000E648E"/>
    <w:rsid w:val="00101438"/>
    <w:rsid w:val="001015B2"/>
    <w:rsid w:val="001160CA"/>
    <w:rsid w:val="00117B4A"/>
    <w:rsid w:val="00117D81"/>
    <w:rsid w:val="001347A6"/>
    <w:rsid w:val="001916CB"/>
    <w:rsid w:val="00192006"/>
    <w:rsid w:val="0019530D"/>
    <w:rsid w:val="001960F2"/>
    <w:rsid w:val="001B394B"/>
    <w:rsid w:val="001E72FC"/>
    <w:rsid w:val="001F0135"/>
    <w:rsid w:val="00201693"/>
    <w:rsid w:val="00210656"/>
    <w:rsid w:val="002172CF"/>
    <w:rsid w:val="0022496B"/>
    <w:rsid w:val="00230073"/>
    <w:rsid w:val="00232BED"/>
    <w:rsid w:val="0025356E"/>
    <w:rsid w:val="00260BDE"/>
    <w:rsid w:val="00271212"/>
    <w:rsid w:val="002722CF"/>
    <w:rsid w:val="00277389"/>
    <w:rsid w:val="00277FB1"/>
    <w:rsid w:val="00280875"/>
    <w:rsid w:val="0028573B"/>
    <w:rsid w:val="002A4D64"/>
    <w:rsid w:val="002B106C"/>
    <w:rsid w:val="002C4847"/>
    <w:rsid w:val="002D7816"/>
    <w:rsid w:val="002F0653"/>
    <w:rsid w:val="002F106C"/>
    <w:rsid w:val="002F435A"/>
    <w:rsid w:val="003007E7"/>
    <w:rsid w:val="00317C54"/>
    <w:rsid w:val="00345A6B"/>
    <w:rsid w:val="00351A3F"/>
    <w:rsid w:val="0035467C"/>
    <w:rsid w:val="003824BB"/>
    <w:rsid w:val="00386B7A"/>
    <w:rsid w:val="0039392B"/>
    <w:rsid w:val="003A1903"/>
    <w:rsid w:val="003C0AB0"/>
    <w:rsid w:val="003E6A21"/>
    <w:rsid w:val="004141B2"/>
    <w:rsid w:val="0044403A"/>
    <w:rsid w:val="00447058"/>
    <w:rsid w:val="004500C3"/>
    <w:rsid w:val="00463558"/>
    <w:rsid w:val="004814C2"/>
    <w:rsid w:val="004B5A80"/>
    <w:rsid w:val="004E06AD"/>
    <w:rsid w:val="005329A4"/>
    <w:rsid w:val="005419B6"/>
    <w:rsid w:val="00544060"/>
    <w:rsid w:val="005504CD"/>
    <w:rsid w:val="00590AFC"/>
    <w:rsid w:val="00600FFE"/>
    <w:rsid w:val="00607DA6"/>
    <w:rsid w:val="00620826"/>
    <w:rsid w:val="00645770"/>
    <w:rsid w:val="00665852"/>
    <w:rsid w:val="00670ECF"/>
    <w:rsid w:val="006741CD"/>
    <w:rsid w:val="006C1451"/>
    <w:rsid w:val="006C23BC"/>
    <w:rsid w:val="006E5415"/>
    <w:rsid w:val="006F1910"/>
    <w:rsid w:val="006F6957"/>
    <w:rsid w:val="00726D65"/>
    <w:rsid w:val="00734808"/>
    <w:rsid w:val="00753D68"/>
    <w:rsid w:val="00755E60"/>
    <w:rsid w:val="00756163"/>
    <w:rsid w:val="00757D13"/>
    <w:rsid w:val="007702E5"/>
    <w:rsid w:val="00770AB3"/>
    <w:rsid w:val="007747C4"/>
    <w:rsid w:val="0077574B"/>
    <w:rsid w:val="00776CAC"/>
    <w:rsid w:val="007B6CE4"/>
    <w:rsid w:val="007C1A6A"/>
    <w:rsid w:val="007C681E"/>
    <w:rsid w:val="007D57D4"/>
    <w:rsid w:val="007E1D81"/>
    <w:rsid w:val="007E296F"/>
    <w:rsid w:val="007F4F00"/>
    <w:rsid w:val="0080127E"/>
    <w:rsid w:val="0082443A"/>
    <w:rsid w:val="0084125A"/>
    <w:rsid w:val="0084371E"/>
    <w:rsid w:val="00851EE0"/>
    <w:rsid w:val="008832B3"/>
    <w:rsid w:val="008929E4"/>
    <w:rsid w:val="00893E56"/>
    <w:rsid w:val="00896950"/>
    <w:rsid w:val="008A0094"/>
    <w:rsid w:val="008A5341"/>
    <w:rsid w:val="008B32D3"/>
    <w:rsid w:val="008D467B"/>
    <w:rsid w:val="008E53FE"/>
    <w:rsid w:val="008F55DF"/>
    <w:rsid w:val="00917E6E"/>
    <w:rsid w:val="00934782"/>
    <w:rsid w:val="00985713"/>
    <w:rsid w:val="009A1DF7"/>
    <w:rsid w:val="009A2B54"/>
    <w:rsid w:val="009E6193"/>
    <w:rsid w:val="009F1AC0"/>
    <w:rsid w:val="00A065C2"/>
    <w:rsid w:val="00A2523F"/>
    <w:rsid w:val="00A350AE"/>
    <w:rsid w:val="00A42DE4"/>
    <w:rsid w:val="00A55371"/>
    <w:rsid w:val="00A85D0F"/>
    <w:rsid w:val="00A91D8E"/>
    <w:rsid w:val="00AB15B0"/>
    <w:rsid w:val="00AD2268"/>
    <w:rsid w:val="00AD2386"/>
    <w:rsid w:val="00B2255F"/>
    <w:rsid w:val="00B24D4A"/>
    <w:rsid w:val="00B417E4"/>
    <w:rsid w:val="00B6238A"/>
    <w:rsid w:val="00B66C8E"/>
    <w:rsid w:val="00B7418D"/>
    <w:rsid w:val="00B91D72"/>
    <w:rsid w:val="00BA26EA"/>
    <w:rsid w:val="00BC21F3"/>
    <w:rsid w:val="00BE51D8"/>
    <w:rsid w:val="00BF08C0"/>
    <w:rsid w:val="00BF162F"/>
    <w:rsid w:val="00C0147C"/>
    <w:rsid w:val="00C377F9"/>
    <w:rsid w:val="00C41227"/>
    <w:rsid w:val="00C46401"/>
    <w:rsid w:val="00C55612"/>
    <w:rsid w:val="00C617D5"/>
    <w:rsid w:val="00CB2294"/>
    <w:rsid w:val="00CB3C4D"/>
    <w:rsid w:val="00CC121E"/>
    <w:rsid w:val="00CC34BF"/>
    <w:rsid w:val="00CC3888"/>
    <w:rsid w:val="00D11148"/>
    <w:rsid w:val="00D12AD5"/>
    <w:rsid w:val="00D13053"/>
    <w:rsid w:val="00D31644"/>
    <w:rsid w:val="00D373AF"/>
    <w:rsid w:val="00D523AA"/>
    <w:rsid w:val="00D53942"/>
    <w:rsid w:val="00D76A48"/>
    <w:rsid w:val="00D84C14"/>
    <w:rsid w:val="00D9649B"/>
    <w:rsid w:val="00D975B1"/>
    <w:rsid w:val="00D97B15"/>
    <w:rsid w:val="00DA7B93"/>
    <w:rsid w:val="00DD2207"/>
    <w:rsid w:val="00DE134A"/>
    <w:rsid w:val="00DE593A"/>
    <w:rsid w:val="00DE70CD"/>
    <w:rsid w:val="00E2120B"/>
    <w:rsid w:val="00E214BA"/>
    <w:rsid w:val="00E24CA3"/>
    <w:rsid w:val="00E257ED"/>
    <w:rsid w:val="00E32007"/>
    <w:rsid w:val="00E57D7B"/>
    <w:rsid w:val="00E800B2"/>
    <w:rsid w:val="00E8278A"/>
    <w:rsid w:val="00EA3672"/>
    <w:rsid w:val="00ED78D6"/>
    <w:rsid w:val="00EE1CB3"/>
    <w:rsid w:val="00EF16A1"/>
    <w:rsid w:val="00F14C20"/>
    <w:rsid w:val="00F17345"/>
    <w:rsid w:val="00F23084"/>
    <w:rsid w:val="00F252BA"/>
    <w:rsid w:val="00F25969"/>
    <w:rsid w:val="00F26B4B"/>
    <w:rsid w:val="00F27108"/>
    <w:rsid w:val="00F453AC"/>
    <w:rsid w:val="00F70AD8"/>
    <w:rsid w:val="00FB55D8"/>
    <w:rsid w:val="00FB5FB3"/>
    <w:rsid w:val="00FC243B"/>
    <w:rsid w:val="00FC5B3B"/>
    <w:rsid w:val="00FD1863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96663"/>
  <w15:docId w15:val="{951888A5-2B9D-4187-936D-A5E9EAD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CE4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6CE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B6CE4"/>
  </w:style>
  <w:style w:type="paragraph" w:styleId="Stopka">
    <w:name w:val="footer"/>
    <w:basedOn w:val="Normalny"/>
    <w:link w:val="StopkaZnak"/>
    <w:unhideWhenUsed/>
    <w:rsid w:val="007B6CE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6CE4"/>
  </w:style>
  <w:style w:type="character" w:styleId="Numerstrony">
    <w:name w:val="page number"/>
    <w:basedOn w:val="Domylnaczcionkaakapitu"/>
    <w:rsid w:val="007B6CE4"/>
  </w:style>
  <w:style w:type="paragraph" w:customStyle="1" w:styleId="Default">
    <w:name w:val="Default"/>
    <w:rsid w:val="007B6C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6C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0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81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81E"/>
    <w:rPr>
      <w:vertAlign w:val="superscript"/>
    </w:rPr>
  </w:style>
  <w:style w:type="table" w:styleId="Tabela-Siatka">
    <w:name w:val="Table Grid"/>
    <w:basedOn w:val="Standardowy"/>
    <w:uiPriority w:val="59"/>
    <w:rsid w:val="007C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E72F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4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96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96B"/>
    <w:rPr>
      <w:rFonts w:eastAsia="Times New Roman" w:cs="Times New Roman"/>
      <w:b/>
      <w:bCs/>
      <w:sz w:val="20"/>
      <w:szCs w:val="20"/>
      <w:lang w:eastAsia="pl-PL"/>
    </w:rPr>
  </w:style>
  <w:style w:type="table" w:styleId="Zwykatabela4">
    <w:name w:val="Plain Table 4"/>
    <w:basedOn w:val="Standardowy"/>
    <w:uiPriority w:val="44"/>
    <w:rsid w:val="003546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3546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Diana.Borowiecka@bi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ina.Kochalska@bi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bg2">
                    <a:lumMod val="10000"/>
                  </a:schemeClr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r>
              <a:rPr lang="pl-PL" sz="1200" b="1" i="0" u="none" strike="noStrike" baseline="0">
                <a:effectLst/>
              </a:rPr>
              <a:t>Zakupy o znacznej wartości </a:t>
            </a:r>
            <a:r>
              <a:rPr lang="pl-PL" sz="1100" b="1" i="0" u="none" strike="noStrike" baseline="0">
                <a:effectLst/>
              </a:rPr>
              <a:t>(minimum 500 zł) </a:t>
            </a:r>
            <a:r>
              <a:rPr lang="pl-PL" sz="1400" b="1" i="0" u="none" strike="noStrike" baseline="0">
                <a:effectLst/>
              </a:rPr>
              <a:t/>
            </a:r>
            <a:br>
              <a:rPr lang="pl-PL" sz="1400" b="1" i="0" u="none" strike="noStrike" baseline="0">
                <a:effectLst/>
              </a:rPr>
            </a:br>
            <a:r>
              <a:rPr lang="pl-PL" sz="1200" b="1" i="0" u="none" strike="noStrike" baseline="0">
                <a:effectLst/>
              </a:rPr>
              <a:t>pod wpływem impulsu</a:t>
            </a:r>
            <a:endParaRPr lang="pl-PL" sz="120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bg2">
                  <a:lumMod val="10000"/>
                </a:schemeClr>
              </a:solidFill>
              <a:latin typeface="Calibri" pitchFamily="34" charset="0"/>
              <a:ea typeface="+mn-ea"/>
              <a:cs typeface="Calibri" pitchFamily="34" charset="0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Częściej niż raz w miesiącu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675052410901487E-2"/>
                  <c:y val="7.71604938271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0CC-4897-99D8-2EB01D92B79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675052410901468E-2"/>
                  <c:y val="-8.2304526748971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CC-4897-99D8-2EB01D92B7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Arkusz1!$B$1:$D$1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Arkusz1!$B$2:$D$2</c:f>
              <c:numCache>
                <c:formatCode>0%</c:formatCode>
                <c:ptCount val="3"/>
                <c:pt idx="0">
                  <c:v>1.7664376840039252E-2</c:v>
                </c:pt>
                <c:pt idx="1">
                  <c:v>2.6748971193415638E-2</c:v>
                </c:pt>
                <c:pt idx="2">
                  <c:v>9.3808630393996256E-3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CC-4897-99D8-2EB01D92B79F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Raz w miesiącu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Arkusz1!$B$1:$D$1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Arkusz1!$B$3:$D$3</c:f>
              <c:numCache>
                <c:formatCode>0%</c:formatCode>
                <c:ptCount val="3"/>
                <c:pt idx="0">
                  <c:v>4.4160942100098133E-2</c:v>
                </c:pt>
                <c:pt idx="1">
                  <c:v>6.7901234567901231E-2</c:v>
                </c:pt>
                <c:pt idx="2">
                  <c:v>2.2514071294559099E-2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CC-4897-99D8-2EB01D92B79F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Raz na kilka miesięcy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Arkusz1!$B$1:$D$1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Arkusz1!$B$4:$D$4</c:f>
              <c:numCache>
                <c:formatCode>0%</c:formatCode>
                <c:ptCount val="3"/>
                <c:pt idx="0">
                  <c:v>0.17958783120706573</c:v>
                </c:pt>
                <c:pt idx="1">
                  <c:v>0.21604938271604937</c:v>
                </c:pt>
                <c:pt idx="2">
                  <c:v>0.14634146341463417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CC-4897-99D8-2EB01D92B79F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Nie częściej niż raz w roku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Arkusz1!$B$1:$D$1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Arkusz1!$B$5:$D$5</c:f>
              <c:numCache>
                <c:formatCode>0%</c:formatCode>
                <c:ptCount val="3"/>
                <c:pt idx="0">
                  <c:v>0.30912659470068699</c:v>
                </c:pt>
                <c:pt idx="1">
                  <c:v>0.30452674897119342</c:v>
                </c:pt>
                <c:pt idx="2">
                  <c:v>0.31332082551594748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CC-4897-99D8-2EB01D92B79F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Nigdy się to nie zdarzyło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Arkusz1!$B$1:$D$1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Arkusz1!$B$6:$D$6</c:f>
              <c:numCache>
                <c:formatCode>0%</c:formatCode>
                <c:ptCount val="3"/>
                <c:pt idx="0">
                  <c:v>0.44946025515210991</c:v>
                </c:pt>
                <c:pt idx="1">
                  <c:v>0.38477366255144035</c:v>
                </c:pt>
                <c:pt idx="2">
                  <c:v>0.50844277673545968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CC-4897-99D8-2EB01D92B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408069096"/>
        <c:axId val="408068704"/>
      </c:barChart>
      <c:catAx>
        <c:axId val="408069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bg2">
                    <a:lumMod val="10000"/>
                  </a:schemeClr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endParaRPr lang="pl-PL"/>
          </a:p>
        </c:txPr>
        <c:crossAx val="408068704"/>
        <c:crosses val="autoZero"/>
        <c:auto val="1"/>
        <c:lblAlgn val="ctr"/>
        <c:lblOffset val="100"/>
        <c:noMultiLvlLbl val="0"/>
      </c:catAx>
      <c:valAx>
        <c:axId val="40806870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0806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672972482213307"/>
          <c:y val="0.79081364829396328"/>
          <c:w val="0.85345862427573915"/>
          <c:h val="0.178322154175172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10000"/>
                </a:schemeClr>
              </a:solidFill>
              <a:latin typeface="Calibri" pitchFamily="34" charset="0"/>
              <a:ea typeface="+mn-ea"/>
              <a:cs typeface="Calibri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>
          <a:solidFill>
            <a:schemeClr val="bg2">
              <a:lumMod val="10000"/>
            </a:schemeClr>
          </a:solidFill>
          <a:latin typeface="Calibri" pitchFamily="34" charset="0"/>
          <a:cs typeface="Calibri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bg2">
                    <a:lumMod val="10000"/>
                  </a:schemeClr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r>
              <a:rPr lang="pl-PL" sz="1200"/>
              <a:t>Najlepiej</a:t>
            </a:r>
            <a:r>
              <a:rPr lang="pl-PL" sz="1200" baseline="0"/>
              <a:t> opisuje mnie zdanie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bg2">
                  <a:lumMod val="10000"/>
                </a:schemeClr>
              </a:solidFill>
              <a:latin typeface="Calibri" pitchFamily="34" charset="0"/>
              <a:ea typeface="+mn-ea"/>
              <a:cs typeface="Calibri" pitchFamily="34" charset="0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Jestem osobą rozrzutną, pieniądze się mnie nie trzymają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Arkusz1!$G$1:$I$1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Arkusz1!$G$2:$I$2</c:f>
              <c:numCache>
                <c:formatCode>###0.0%</c:formatCode>
                <c:ptCount val="3"/>
                <c:pt idx="0" formatCode="0%">
                  <c:v>0.11579980372914622</c:v>
                </c:pt>
                <c:pt idx="1">
                  <c:v>0.1111111111111111</c:v>
                </c:pt>
                <c:pt idx="2">
                  <c:v>0.1200750469043152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D8-4151-A418-A07BA783FC6D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Jestem osobą oszczędną, pozwalam sobie jednak od czasu do czasu na małe szaleństwa zakupowe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Arkusz1!$G$1:$I$1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Arkusz1!$G$3:$I$3</c:f>
              <c:numCache>
                <c:formatCode>###0.0%</c:formatCode>
                <c:ptCount val="3"/>
                <c:pt idx="0" formatCode="0%">
                  <c:v>0.70363101079489698</c:v>
                </c:pt>
                <c:pt idx="1">
                  <c:v>0.69135802469135799</c:v>
                </c:pt>
                <c:pt idx="2">
                  <c:v>0.71482176360225136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D8-4151-A418-A07BA783FC6D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Jestem osobą oszczędną, nie pozwalam sobie na szaleństwa zakupowe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Calibri" pitchFamily="34" charset="0"/>
                    <a:ea typeface="+mn-ea"/>
                    <a:cs typeface="Calibri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Arkusz1!$G$1:$I$1</c:f>
              <c:strCache>
                <c:ptCount val="3"/>
                <c:pt idx="0">
                  <c:v>Ogółem</c:v>
                </c:pt>
                <c:pt idx="1">
                  <c:v>Mężczyźni</c:v>
                </c:pt>
                <c:pt idx="2">
                  <c:v>Kobiety</c:v>
                </c:pt>
              </c:strCache>
            </c:strRef>
          </c:cat>
          <c:val>
            <c:numRef>
              <c:f>Arkusz1!$G$4:$I$4</c:f>
              <c:numCache>
                <c:formatCode>###0.0%</c:formatCode>
                <c:ptCount val="3"/>
                <c:pt idx="0" formatCode="0%">
                  <c:v>0.18056918547595682</c:v>
                </c:pt>
                <c:pt idx="1">
                  <c:v>0.19753086419753085</c:v>
                </c:pt>
                <c:pt idx="2">
                  <c:v>0.16510318949343339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D8-4151-A418-A07BA783F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overlap val="100"/>
        <c:axId val="408074192"/>
        <c:axId val="408066744"/>
      </c:barChart>
      <c:catAx>
        <c:axId val="40807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bg2">
                    <a:lumMod val="10000"/>
                  </a:schemeClr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endParaRPr lang="pl-PL"/>
          </a:p>
        </c:txPr>
        <c:crossAx val="408066744"/>
        <c:crosses val="autoZero"/>
        <c:auto val="1"/>
        <c:lblAlgn val="ctr"/>
        <c:lblOffset val="100"/>
        <c:noMultiLvlLbl val="0"/>
      </c:catAx>
      <c:valAx>
        <c:axId val="4080667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0807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10000"/>
                </a:schemeClr>
              </a:solidFill>
              <a:latin typeface="Calibri" pitchFamily="34" charset="0"/>
              <a:ea typeface="+mn-ea"/>
              <a:cs typeface="Calibri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>
          <a:solidFill>
            <a:schemeClr val="bg2">
              <a:lumMod val="10000"/>
            </a:schemeClr>
          </a:solidFill>
          <a:latin typeface="Calibri" pitchFamily="34" charset="0"/>
          <a:cs typeface="Calibri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chemeClr val="tx1"/>
                </a:solidFill>
                <a:effectLst/>
              </a:rPr>
              <a:t>Zaległości a płeć</a:t>
            </a:r>
            <a:endParaRPr lang="pl-PL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2289864545142"/>
          <c:y val="0.18907675391927362"/>
          <c:w val="0.68318865297479825"/>
          <c:h val="0.76874461838515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Wartość w zł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\ &quot;zł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Mężczyźni</c:v>
                </c:pt>
                <c:pt idx="1">
                  <c:v>Kobiety</c:v>
                </c:pt>
              </c:strCache>
            </c:strRef>
          </c:cat>
          <c:val>
            <c:numRef>
              <c:f>Arkusz1!$B$2:$B$3</c:f>
              <c:numCache>
                <c:formatCode>#,##0</c:formatCode>
                <c:ptCount val="2"/>
                <c:pt idx="0">
                  <c:v>51898190575</c:v>
                </c:pt>
                <c:pt idx="1">
                  <c:v>25728817711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65-4316-9EB0-185AFDAE4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568696"/>
        <c:axId val="411563600"/>
      </c:barChart>
      <c:catAx>
        <c:axId val="41156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1563600"/>
        <c:crosses val="autoZero"/>
        <c:auto val="1"/>
        <c:lblAlgn val="ctr"/>
        <c:lblOffset val="100"/>
        <c:noMultiLvlLbl val="0"/>
      </c:catAx>
      <c:valAx>
        <c:axId val="411563600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41156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chemeClr val="tx1"/>
                </a:solidFill>
                <a:effectLst/>
              </a:rPr>
              <a:t>Liczba niesolidnych dłuźników</a:t>
            </a:r>
            <a:endParaRPr lang="pl-PL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2289864545142"/>
          <c:y val="0.18907675391927362"/>
          <c:w val="0.68318865297479825"/>
          <c:h val="0.76874461838515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dłużników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Mężczyźni</c:v>
                </c:pt>
                <c:pt idx="1">
                  <c:v>Kobiety</c:v>
                </c:pt>
              </c:strCache>
            </c:strRef>
          </c:cat>
          <c:val>
            <c:numRef>
              <c:f>Arkusz1!$B$2:$B$3</c:f>
              <c:numCache>
                <c:formatCode>#,##0</c:formatCode>
                <c:ptCount val="2"/>
                <c:pt idx="0">
                  <c:v>1715603</c:v>
                </c:pt>
                <c:pt idx="1">
                  <c:v>1076576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89-46A9-A1DA-DC4840EF5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567912"/>
        <c:axId val="411569088"/>
      </c:barChart>
      <c:catAx>
        <c:axId val="411567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1569088"/>
        <c:crosses val="autoZero"/>
        <c:auto val="1"/>
        <c:lblAlgn val="ctr"/>
        <c:lblOffset val="100"/>
        <c:noMultiLvlLbl val="0"/>
      </c:catAx>
      <c:valAx>
        <c:axId val="411569088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411567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3298-4796-4198-B473-496294A678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476640-0B41-47E6-AE57-951F9C06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20</cp:revision>
  <dcterms:created xsi:type="dcterms:W3CDTF">2020-03-05T11:49:00Z</dcterms:created>
  <dcterms:modified xsi:type="dcterms:W3CDTF">2020-03-06T08:32:00Z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b2d976a5-b757-4450-a6ab-9358051dfc6f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