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E718" w14:textId="6A077751" w:rsidR="00D96A17" w:rsidRDefault="00247FC9">
      <w:pPr>
        <w:rPr>
          <w:b/>
          <w:bCs/>
        </w:rPr>
      </w:pPr>
      <w:r>
        <w:rPr>
          <w:b/>
          <w:bCs/>
        </w:rPr>
        <w:t>3 błędy, które można popełnić</w:t>
      </w:r>
      <w:r w:rsidR="00555653">
        <w:rPr>
          <w:b/>
          <w:bCs/>
        </w:rPr>
        <w:t>,</w:t>
      </w:r>
      <w:r>
        <w:rPr>
          <w:b/>
          <w:bCs/>
        </w:rPr>
        <w:t xml:space="preserve"> rozliczając wsparcie z tarcz antykryzysowych</w:t>
      </w:r>
    </w:p>
    <w:p w14:paraId="7CB2E719" w14:textId="77777777" w:rsidR="00D96A17" w:rsidRDefault="00D96A17"/>
    <w:p w14:paraId="7CB2E71A" w14:textId="6EC76752" w:rsidR="00D96A17" w:rsidRPr="00D0794D" w:rsidRDefault="00D0794D" w:rsidP="00D0794D">
      <w:pPr>
        <w:numPr>
          <w:ilvl w:val="0"/>
          <w:numId w:val="1"/>
        </w:numPr>
        <w:jc w:val="both"/>
        <w:rPr>
          <w:b/>
          <w:bCs/>
        </w:rPr>
      </w:pPr>
      <w:r w:rsidRPr="00D0794D">
        <w:rPr>
          <w:b/>
          <w:bCs/>
        </w:rPr>
        <w:t>Duż</w:t>
      </w:r>
      <w:r w:rsidR="00555653">
        <w:rPr>
          <w:b/>
          <w:bCs/>
        </w:rPr>
        <w:t>e</w:t>
      </w:r>
      <w:r w:rsidRPr="00D0794D">
        <w:rPr>
          <w:b/>
          <w:bCs/>
        </w:rPr>
        <w:t xml:space="preserve"> zainteresowanie tarczami rządowymi sprawiło, że kontrole ich rozliczenia mogą potrwać do 2026 r. </w:t>
      </w:r>
    </w:p>
    <w:p w14:paraId="0E487B09" w14:textId="78427CB8" w:rsidR="00807250" w:rsidRPr="00D0794D" w:rsidRDefault="00D0794D" w:rsidP="00D0794D">
      <w:pPr>
        <w:numPr>
          <w:ilvl w:val="0"/>
          <w:numId w:val="1"/>
        </w:numPr>
        <w:jc w:val="both"/>
        <w:rPr>
          <w:b/>
          <w:bCs/>
        </w:rPr>
      </w:pPr>
      <w:r w:rsidRPr="00D0794D">
        <w:rPr>
          <w:b/>
          <w:bCs/>
        </w:rPr>
        <w:t>Wśród błędów grożący</w:t>
      </w:r>
      <w:r w:rsidR="00490BA6">
        <w:rPr>
          <w:b/>
          <w:bCs/>
        </w:rPr>
        <w:t>ch</w:t>
      </w:r>
      <w:r w:rsidRPr="00D0794D">
        <w:rPr>
          <w:b/>
          <w:bCs/>
        </w:rPr>
        <w:t xml:space="preserve"> karami i odsetkami od zaległości podatkowych są m.in. nieprawidłowe rozliczenie darowizny, zakupu sprzętów na walkę z pandemią czy wynagrodzeń pracowniczych.</w:t>
      </w:r>
    </w:p>
    <w:p w14:paraId="2A33F84E" w14:textId="4AEB9B56" w:rsidR="00807250" w:rsidRPr="00D0794D" w:rsidRDefault="00807250" w:rsidP="00D0794D">
      <w:pPr>
        <w:numPr>
          <w:ilvl w:val="0"/>
          <w:numId w:val="1"/>
        </w:numPr>
        <w:jc w:val="both"/>
        <w:rPr>
          <w:b/>
          <w:bCs/>
        </w:rPr>
      </w:pPr>
      <w:r w:rsidRPr="00D0794D">
        <w:rPr>
          <w:b/>
          <w:bCs/>
        </w:rPr>
        <w:t xml:space="preserve">Przed skutkami błędnego rozliczenia tarcz antykryzysowych chroni połączenie ubezpieczenia odpowiedzialności cywilnej </w:t>
      </w:r>
      <w:r w:rsidR="003E7515">
        <w:rPr>
          <w:b/>
          <w:bCs/>
        </w:rPr>
        <w:t>kadry zarządzającej</w:t>
      </w:r>
      <w:r w:rsidR="00637D24" w:rsidRPr="00D0794D">
        <w:rPr>
          <w:b/>
          <w:bCs/>
        </w:rPr>
        <w:t xml:space="preserve"> </w:t>
      </w:r>
      <w:r w:rsidRPr="00D0794D">
        <w:rPr>
          <w:b/>
          <w:bCs/>
        </w:rPr>
        <w:t>z polisą skarbową.</w:t>
      </w:r>
    </w:p>
    <w:p w14:paraId="7CB2E71B" w14:textId="77777777" w:rsidR="00D96A17" w:rsidRDefault="00D96A17"/>
    <w:p w14:paraId="28CCB89A" w14:textId="0E8CCEF1" w:rsidR="00E25F6F" w:rsidRDefault="0086602C">
      <w:pPr>
        <w:jc w:val="both"/>
      </w:pPr>
      <w:r>
        <w:t xml:space="preserve">Kolejne zmiany w przepisach i uszczelnianie systemu podatkowego nie ułatwiają </w:t>
      </w:r>
      <w:r w:rsidR="00AE0FAE">
        <w:t xml:space="preserve">życia </w:t>
      </w:r>
      <w:r w:rsidR="000E77CE">
        <w:t>podatników</w:t>
      </w:r>
      <w:r w:rsidR="00BD4BD2">
        <w:t>. Po majowej zmianie regulaminu ubie</w:t>
      </w:r>
      <w:r w:rsidR="00E25F6F">
        <w:t xml:space="preserve">gania się o subwencję z tzw. tarczy finansowej PFR część przedsiębiorstw </w:t>
      </w:r>
      <w:r w:rsidR="00D939DC">
        <w:t>zdecydowała się na zwrot wcześniej otrzymanych środków</w:t>
      </w:r>
      <w:r w:rsidR="000E77CE">
        <w:t xml:space="preserve">. </w:t>
      </w:r>
      <w:r w:rsidR="00733E5F">
        <w:t>Dalsza c</w:t>
      </w:r>
      <w:r w:rsidR="000E77CE">
        <w:t xml:space="preserve">zęść </w:t>
      </w:r>
      <w:r w:rsidR="00741D52">
        <w:t>pozostaje w niepewności</w:t>
      </w:r>
      <w:r w:rsidR="001D08EA">
        <w:t xml:space="preserve"> co do wyników ewentualnej przyszłej kontroli skarbowej.</w:t>
      </w:r>
      <w:r w:rsidR="00E25F6F">
        <w:t xml:space="preserve"> </w:t>
      </w:r>
    </w:p>
    <w:p w14:paraId="7CB2E71D" w14:textId="77777777" w:rsidR="00D96A17" w:rsidRDefault="00D96A17">
      <w:pPr>
        <w:jc w:val="both"/>
      </w:pPr>
    </w:p>
    <w:p w14:paraId="7CB2E71E" w14:textId="7C2C99FB" w:rsidR="00D96A17" w:rsidRDefault="00247FC9">
      <w:pPr>
        <w:jc w:val="both"/>
      </w:pPr>
      <w:r>
        <w:t xml:space="preserve">– </w:t>
      </w:r>
      <w:r>
        <w:rPr>
          <w:i/>
          <w:iCs/>
        </w:rPr>
        <w:t xml:space="preserve">Duże zainteresowanie wsparciem rządowym spowodowało, że weryfikacja tego, czy poszczególnym firmom należała się pomoc, czy nie, rozciągnie się do 2026 r. Ewentualne nieprawidłowości mogą zatem wiązać się z koniecznością zapłaty odsetek karnych, a te po latach potrafią być wysokie. Trzeba też pamiętać, że kontrole będą uwzględniały nie tylko ocenę samej zasadności przyznania wsparcia rządowego, ale i tego, jak zostało </w:t>
      </w:r>
      <w:r w:rsidR="00F23A2E">
        <w:rPr>
          <w:i/>
          <w:iCs/>
        </w:rPr>
        <w:t xml:space="preserve">ono </w:t>
      </w:r>
      <w:r>
        <w:rPr>
          <w:i/>
          <w:iCs/>
        </w:rPr>
        <w:t>wykorzystane oraz rozliczone. Błędne lub za późne rozpoznanie kosztów czy nierozpoznanie przychodu podatkowego to tylko część pomyłek, jakie można popełnić. Dlatego warto już teraz zadbać o to, żeby dokumenty, które złożymy do Urzędu Skarbowego, nie budziły żadnych wątpliwości</w:t>
      </w:r>
      <w:r>
        <w:t xml:space="preserve"> – radzi dr Ewelina </w:t>
      </w:r>
      <w:proofErr w:type="spellStart"/>
      <w:r>
        <w:t>Skwierczyńska</w:t>
      </w:r>
      <w:proofErr w:type="spellEnd"/>
      <w:r>
        <w:t>, właściciel TAX-ES Kancelaria doradztwa podatkowego.</w:t>
      </w:r>
    </w:p>
    <w:p w14:paraId="7CB2E71F" w14:textId="77777777" w:rsidR="00D96A17" w:rsidRDefault="00D96A17"/>
    <w:p w14:paraId="7CB2E720" w14:textId="561C2D37" w:rsidR="00D96A17" w:rsidRDefault="00247FC9">
      <w:r>
        <w:t xml:space="preserve">Co może zwrócić uwagę urzędników? Oto 3 przykładowe błędy, </w:t>
      </w:r>
      <w:r w:rsidR="005D6760">
        <w:t>na które warto uważać</w:t>
      </w:r>
      <w:r>
        <w:t>.</w:t>
      </w:r>
    </w:p>
    <w:p w14:paraId="7CB2E721" w14:textId="77777777" w:rsidR="00D96A17" w:rsidRDefault="00D96A17"/>
    <w:p w14:paraId="7CB2E722" w14:textId="77777777" w:rsidR="00D96A17" w:rsidRDefault="00247FC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Preferencyjne rozliczenie darowizn</w:t>
      </w:r>
    </w:p>
    <w:p w14:paraId="7CB2E723" w14:textId="317B556D" w:rsidR="00D96A17" w:rsidRDefault="00247FC9">
      <w:pPr>
        <w:jc w:val="both"/>
      </w:pPr>
      <w:r>
        <w:t>Jednym z działań, które miało zachęcić firmy do włączenia się w walkę z COVID-19</w:t>
      </w:r>
      <w:r w:rsidR="005D6760">
        <w:t>,</w:t>
      </w:r>
      <w:r>
        <w:t xml:space="preserve"> było preferencyjne traktowanie darowizn dla lokalnych placówek służby zdrowia. Datki przekazane w kwietniu pozwalały na odliczenie 200% darowizny od podatku, w miejsce standardowych 100%. Gdzie tkwi haczyk? Otóż w ten sposób można rozliczyć tylko środki przekazane konkretnym SP ZOZ (przeważnie szpitale jednoimienne), wskazanym w przepisach. Co to oznacza? Jeżeli firma przekazała pieniądze podmiotowi spoza listy i zastosowała odliczenie w wysokości 200%, to musi się liczyć z tym, że US potraktuje to jako zaniżenie podstawy opodatkowania</w:t>
      </w:r>
      <w:r w:rsidR="00D11B75">
        <w:t>!</w:t>
      </w:r>
      <w:r>
        <w:t xml:space="preserve"> Upomni się zatem o zaległe 19% podatku z nierozliczonej kwoty, plus odsetki.</w:t>
      </w:r>
    </w:p>
    <w:p w14:paraId="7CB2E724" w14:textId="77777777" w:rsidR="00D96A17" w:rsidRDefault="00D96A17">
      <w:pPr>
        <w:jc w:val="both"/>
      </w:pPr>
    </w:p>
    <w:p w14:paraId="7CB2E725" w14:textId="77777777" w:rsidR="00D96A17" w:rsidRDefault="00247FC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Zakup sprzętów służących walce z COVID-19</w:t>
      </w:r>
    </w:p>
    <w:p w14:paraId="7CB2E726" w14:textId="11FF7AB7" w:rsidR="00D96A17" w:rsidRDefault="00247FC9">
      <w:pPr>
        <w:jc w:val="both"/>
      </w:pPr>
      <w:r>
        <w:t xml:space="preserve">Tarcze antykryzysowe traktowały też ulgowo tych przedsiębiorców, którzy chcieli włączyć </w:t>
      </w:r>
      <w:r w:rsidR="001D55CE">
        <w:t xml:space="preserve">się </w:t>
      </w:r>
      <w:r>
        <w:t xml:space="preserve">w walkę z pandemią poprzez produkcję towarów, których wiosną brakowało, np. maseczek ochronnych. W związku z tym wszystkie zakupy dodatkowych sprzętów potrzebnych do ich wytworzenia można było rozliczyć jako jednorazowy koszt podatkowy, bez amortyzacji. Co może sprawić, że US odmówi uznania tej ulgi? Kupione i rozliczone w ten sposób środki trwałe mogą służyć tylko przeciwdziałaniu COVID-19. </w:t>
      </w:r>
      <w:r w:rsidR="00B96F76">
        <w:t>Analizując</w:t>
      </w:r>
      <w:r>
        <w:t xml:space="preserve"> przykład maseczek, jeżeli kupiona maszyna służyła później do produkcji innych tekstyliów, to kontrola podatkowa wykaże zaniżenie przychodów o blisko 80% wartości sprzętu.</w:t>
      </w:r>
    </w:p>
    <w:p w14:paraId="7CB2E727" w14:textId="77777777" w:rsidR="00D96A17" w:rsidRDefault="00D96A17">
      <w:pPr>
        <w:jc w:val="both"/>
      </w:pPr>
    </w:p>
    <w:p w14:paraId="7CB2E728" w14:textId="77777777" w:rsidR="00D96A17" w:rsidRDefault="00247FC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Podwójne wynagrodzenia i zaliczki</w:t>
      </w:r>
    </w:p>
    <w:p w14:paraId="7CB2E729" w14:textId="6389171A" w:rsidR="00D96A17" w:rsidRDefault="00247FC9">
      <w:pPr>
        <w:jc w:val="both"/>
      </w:pPr>
      <w:r>
        <w:t xml:space="preserve">Zaliczki do US za wynagrodzenia za marzec i kwiecień można było odroczyć do 1 czerwca. Mogło to zachęcić niektórych przedsiębiorców do wypłacenia pensji majowych z wyprzedzeniem, jeszcze w kwietniu. Dzięki temu firma miała przez miesiąc dodatkowe środki obrotowe. Niestety tego typu rozwiązanie może zostać zakwestionowane i potraktowane jako próba obejścia prawa. Powstaną wtedy zaległości z tytułu nieterminowych wpłat do US, </w:t>
      </w:r>
      <w:r w:rsidR="00D11B75">
        <w:t>a to</w:t>
      </w:r>
      <w:r>
        <w:t xml:space="preserve"> skutkuje nałożeniem kary i odsetkami w PIT. W skrajnych wypadkach może to być nawet potraktowane jako przestępstwo.</w:t>
      </w:r>
    </w:p>
    <w:p w14:paraId="7CB2E72A" w14:textId="77777777" w:rsidR="00D96A17" w:rsidRDefault="00D96A17">
      <w:pPr>
        <w:rPr>
          <w:b/>
          <w:bCs/>
        </w:rPr>
      </w:pPr>
    </w:p>
    <w:p w14:paraId="7CB2E72B" w14:textId="77777777" w:rsidR="00D96A17" w:rsidRDefault="00247FC9">
      <w:pPr>
        <w:rPr>
          <w:b/>
          <w:bCs/>
        </w:rPr>
      </w:pPr>
      <w:r>
        <w:rPr>
          <w:b/>
          <w:bCs/>
        </w:rPr>
        <w:t>Za błędy odpowiada kadra zarządzająca</w:t>
      </w:r>
    </w:p>
    <w:p w14:paraId="7CB2E72C" w14:textId="779FF514" w:rsidR="00D96A17" w:rsidRDefault="00247FC9">
      <w:pPr>
        <w:jc w:val="both"/>
      </w:pPr>
      <w:r>
        <w:t>Wiele tego typu pomyłek związanych z wykorzystaniem wsparcia rządowego jest wynikiem decyzji zarządczych. To menedżerowie ustalają komu przekazać darowiznę</w:t>
      </w:r>
      <w:r w:rsidR="001F0C70">
        <w:t xml:space="preserve"> lub wypłacić dodatkowe wynagrodzenie </w:t>
      </w:r>
      <w:r w:rsidR="001708A4">
        <w:t>czy</w:t>
      </w:r>
      <w:r w:rsidR="001F0C70">
        <w:t xml:space="preserve"> </w:t>
      </w:r>
      <w:r>
        <w:t xml:space="preserve">jak wykorzystać zakupiony sprzęt. Jeżeli wynikiem </w:t>
      </w:r>
      <w:r w:rsidR="001708A4">
        <w:t xml:space="preserve">ich decyzji </w:t>
      </w:r>
      <w:r>
        <w:t>będzie nałożenie kary</w:t>
      </w:r>
      <w:r w:rsidR="00FE5EB1">
        <w:t xml:space="preserve"> </w:t>
      </w:r>
      <w:r w:rsidR="00113EC6">
        <w:t>na organizację</w:t>
      </w:r>
      <w:r>
        <w:t xml:space="preserve">, to </w:t>
      </w:r>
      <w:r w:rsidR="00113EC6">
        <w:t xml:space="preserve">ta </w:t>
      </w:r>
      <w:r>
        <w:t>mo</w:t>
      </w:r>
      <w:r w:rsidR="00113EC6">
        <w:t>że później</w:t>
      </w:r>
      <w:r>
        <w:t xml:space="preserve"> domagać się od nich odszkodowania. </w:t>
      </w:r>
    </w:p>
    <w:p w14:paraId="7CB2E72D" w14:textId="77777777" w:rsidR="00D96A17" w:rsidRDefault="00D96A17">
      <w:pPr>
        <w:jc w:val="both"/>
      </w:pPr>
    </w:p>
    <w:p w14:paraId="7CB2E72E" w14:textId="28E05299" w:rsidR="00D96A17" w:rsidRPr="00B53D76" w:rsidRDefault="00247FC9">
      <w:pPr>
        <w:jc w:val="both"/>
        <w:rPr>
          <w:i/>
          <w:iCs/>
        </w:rPr>
      </w:pPr>
      <w:r>
        <w:t xml:space="preserve">– </w:t>
      </w:r>
      <w:r w:rsidRPr="00247FC9">
        <w:rPr>
          <w:i/>
          <w:iCs/>
        </w:rPr>
        <w:t xml:space="preserve">Wiele decyzji biznesowych jest obarczonych ryzykiem i </w:t>
      </w:r>
      <w:r w:rsidR="00B53D76" w:rsidRPr="00247FC9">
        <w:rPr>
          <w:i/>
          <w:iCs/>
        </w:rPr>
        <w:t>mo</w:t>
      </w:r>
      <w:r w:rsidR="00583188">
        <w:rPr>
          <w:i/>
          <w:iCs/>
        </w:rPr>
        <w:t>że</w:t>
      </w:r>
      <w:r w:rsidR="00B53D76" w:rsidRPr="00247FC9">
        <w:rPr>
          <w:i/>
          <w:iCs/>
        </w:rPr>
        <w:t xml:space="preserve"> </w:t>
      </w:r>
      <w:r w:rsidRPr="00247FC9">
        <w:rPr>
          <w:i/>
          <w:iCs/>
        </w:rPr>
        <w:t>być brzemienn</w:t>
      </w:r>
      <w:r w:rsidR="00E02A97">
        <w:rPr>
          <w:i/>
          <w:iCs/>
        </w:rPr>
        <w:t>e</w:t>
      </w:r>
      <w:r w:rsidRPr="00247FC9">
        <w:rPr>
          <w:i/>
          <w:iCs/>
        </w:rPr>
        <w:t xml:space="preserve"> w skutk</w:t>
      </w:r>
      <w:r w:rsidR="005B5DFA">
        <w:rPr>
          <w:i/>
          <w:iCs/>
        </w:rPr>
        <w:t>ach</w:t>
      </w:r>
      <w:r w:rsidR="00E02A97">
        <w:rPr>
          <w:i/>
          <w:iCs/>
        </w:rPr>
        <w:t>,</w:t>
      </w:r>
      <w:r w:rsidRPr="00247FC9">
        <w:rPr>
          <w:i/>
          <w:iCs/>
        </w:rPr>
        <w:t xml:space="preserve"> jak </w:t>
      </w:r>
      <w:r w:rsidR="00E02A97">
        <w:rPr>
          <w:i/>
          <w:iCs/>
        </w:rPr>
        <w:t xml:space="preserve">np. </w:t>
      </w:r>
      <w:r w:rsidRPr="00247FC9">
        <w:rPr>
          <w:i/>
          <w:iCs/>
        </w:rPr>
        <w:t xml:space="preserve">te związane z korzystaniem z tarcz antykryzysowych. Dlatego rynek ubezpieczeń już od dawna oferuje dodatkowe </w:t>
      </w:r>
      <w:r w:rsidRPr="00247FC9">
        <w:rPr>
          <w:i/>
          <w:iCs/>
        </w:rPr>
        <w:lastRenderedPageBreak/>
        <w:t xml:space="preserve">zabezpieczenie przed finansowymi </w:t>
      </w:r>
      <w:r w:rsidR="00D078B1" w:rsidRPr="00247FC9">
        <w:rPr>
          <w:i/>
          <w:iCs/>
        </w:rPr>
        <w:t xml:space="preserve">skutkami </w:t>
      </w:r>
      <w:r w:rsidRPr="00247FC9">
        <w:rPr>
          <w:i/>
          <w:iCs/>
        </w:rPr>
        <w:t xml:space="preserve">nieumyślnych błędów kadry zarządzającej. </w:t>
      </w:r>
      <w:r w:rsidR="00D0139E">
        <w:rPr>
          <w:i/>
          <w:iCs/>
        </w:rPr>
        <w:t xml:space="preserve">Spółki kapitałowe, spółdzielnie, stowarzyszenia, fundacje </w:t>
      </w:r>
      <w:r w:rsidR="001A0FF6">
        <w:rPr>
          <w:i/>
          <w:iCs/>
        </w:rPr>
        <w:t xml:space="preserve">wspólnoty a czasem nawet i ZOZ-y mogą wykupić ubezpieczenie odpowiedzialności </w:t>
      </w:r>
      <w:r w:rsidR="00060792">
        <w:rPr>
          <w:i/>
          <w:iCs/>
        </w:rPr>
        <w:t xml:space="preserve">cywilnej członków swoich władz (D&amp;O), </w:t>
      </w:r>
      <w:r w:rsidR="00F96062">
        <w:rPr>
          <w:i/>
          <w:iCs/>
        </w:rPr>
        <w:t xml:space="preserve">zyskując możliwość uzyskania rekompensaty za </w:t>
      </w:r>
      <w:r w:rsidR="00C34373">
        <w:rPr>
          <w:i/>
          <w:iCs/>
        </w:rPr>
        <w:t>wyrządzone przez nich szkody.</w:t>
      </w:r>
      <w:r w:rsidR="00F95395">
        <w:rPr>
          <w:i/>
          <w:iCs/>
        </w:rPr>
        <w:t xml:space="preserve"> Warto podkreślić, że wartość takich potencjalnych szkód często przewyższa prywatny majątek osób zarządzających, a zatem bez ubezpieczenia możli</w:t>
      </w:r>
      <w:r w:rsidR="00A713A9">
        <w:rPr>
          <w:i/>
          <w:iCs/>
        </w:rPr>
        <w:t>wości uzyskania pełnego odszk</w:t>
      </w:r>
      <w:r w:rsidR="00040FF1">
        <w:rPr>
          <w:i/>
          <w:iCs/>
        </w:rPr>
        <w:t xml:space="preserve">odowania byłyby praktycznie zbliżone do zera </w:t>
      </w:r>
      <w:r>
        <w:t>– zauważa Łukasz Górny, radca prawny, Dyrektor Departamentu Rozwoju EIB SA.</w:t>
      </w:r>
    </w:p>
    <w:p w14:paraId="7CB2E72F" w14:textId="77777777" w:rsidR="00D96A17" w:rsidRDefault="00D96A17">
      <w:pPr>
        <w:jc w:val="both"/>
      </w:pPr>
    </w:p>
    <w:p w14:paraId="42DF589D" w14:textId="14008508" w:rsidR="00BA528D" w:rsidRDefault="00BA528D">
      <w:pPr>
        <w:jc w:val="both"/>
      </w:pPr>
      <w:r>
        <w:t>Oprócz środków na pokrycie ewentualnych roszczeń firmy, polisa D&amp;O może też zapewnić pieniądze na:</w:t>
      </w:r>
    </w:p>
    <w:p w14:paraId="6CAB6784" w14:textId="6805BB0F" w:rsidR="00BA528D" w:rsidRDefault="00BA528D" w:rsidP="00BA528D">
      <w:pPr>
        <w:pStyle w:val="Akapitzlist"/>
        <w:numPr>
          <w:ilvl w:val="0"/>
          <w:numId w:val="5"/>
        </w:numPr>
        <w:jc w:val="both"/>
      </w:pPr>
      <w:r>
        <w:t xml:space="preserve">obronę prawną </w:t>
      </w:r>
      <w:r w:rsidR="00D232BD">
        <w:t xml:space="preserve">osoby ubezpieczonej </w:t>
      </w:r>
      <w:r>
        <w:t>i pokrycie kosztów sądowych,</w:t>
      </w:r>
    </w:p>
    <w:p w14:paraId="062F2596" w14:textId="50B49E79" w:rsidR="00D232BD" w:rsidRDefault="00D232BD" w:rsidP="00F60AF6">
      <w:pPr>
        <w:pStyle w:val="Akapitzlist"/>
        <w:numPr>
          <w:ilvl w:val="0"/>
          <w:numId w:val="5"/>
        </w:numPr>
        <w:jc w:val="both"/>
      </w:pPr>
      <w:r>
        <w:t>koszty porady zewnętrznych ekspertów z zakresu rachunkowości lub podatków,</w:t>
      </w:r>
    </w:p>
    <w:p w14:paraId="666A6578" w14:textId="30F16B4C" w:rsidR="00BA528D" w:rsidRDefault="00D232BD" w:rsidP="00F60AF6">
      <w:pPr>
        <w:pStyle w:val="Akapitzlist"/>
        <w:numPr>
          <w:ilvl w:val="0"/>
          <w:numId w:val="5"/>
        </w:numPr>
        <w:jc w:val="both"/>
      </w:pPr>
      <w:r>
        <w:t xml:space="preserve">zobowiązania </w:t>
      </w:r>
      <w:r w:rsidR="00F04538">
        <w:t>podatkowe dochodzone od osób ubezpieczonych na podstawie art. 116 lub 116a Ordynacji Podatkowej</w:t>
      </w:r>
      <w:r w:rsidR="00BA528D">
        <w:t>.</w:t>
      </w:r>
    </w:p>
    <w:p w14:paraId="18EE1C2D" w14:textId="1504B146" w:rsidR="00B204A0" w:rsidRDefault="00B204A0"/>
    <w:p w14:paraId="64FD6B5E" w14:textId="599F6986" w:rsidR="00BB1CAF" w:rsidRDefault="00BB1CAF" w:rsidP="00B96F76">
      <w:pPr>
        <w:jc w:val="both"/>
      </w:pPr>
      <w:r>
        <w:t>Ubezpieczenie D&amp;O nie zrefunduje jednak grzywien karnych lub karnoskarbowych.</w:t>
      </w:r>
      <w:r w:rsidR="00406DA7">
        <w:t xml:space="preserve"> </w:t>
      </w:r>
      <w:r w:rsidR="00F47BB2">
        <w:t xml:space="preserve">Taką możliwość – w określonych </w:t>
      </w:r>
      <w:r w:rsidR="00B70D14">
        <w:t>przypadkach</w:t>
      </w:r>
      <w:r w:rsidR="00F47BB2">
        <w:t xml:space="preserve"> – zapewnia dopiero osobne ubezpieczenie skarbowe.</w:t>
      </w:r>
    </w:p>
    <w:p w14:paraId="5683C458" w14:textId="02115C7D" w:rsidR="00BA528D" w:rsidRDefault="00BA528D"/>
    <w:p w14:paraId="3712C329" w14:textId="79955CEE" w:rsidR="00B96F76" w:rsidRDefault="00B204A0" w:rsidP="00B204A0">
      <w:pPr>
        <w:jc w:val="both"/>
      </w:pPr>
      <w:r>
        <w:t>–</w:t>
      </w:r>
      <w:r w:rsidR="00B96F76">
        <w:t xml:space="preserve"> </w:t>
      </w:r>
      <w:r w:rsidRPr="00B204A0">
        <w:rPr>
          <w:i/>
          <w:iCs/>
        </w:rPr>
        <w:t xml:space="preserve">Firmy zainteresowane dodatkową ochroną powinny pamiętać, że polisy skarbowe przewidują okres karencji. Wynosi on zazwyczaj 6 tygodni od podpisania umowy. Dlatego nie można czekać z zakupem ochrony do momentu </w:t>
      </w:r>
      <w:r w:rsidR="00B809AA">
        <w:rPr>
          <w:i/>
          <w:iCs/>
        </w:rPr>
        <w:t>wszczęcia postępowania karnego lub karnoskarbowego</w:t>
      </w:r>
      <w:r w:rsidRPr="00B204A0">
        <w:rPr>
          <w:i/>
          <w:iCs/>
        </w:rPr>
        <w:t xml:space="preserve">, ponieważ nie będzie ich można objąć polisą. </w:t>
      </w:r>
      <w:r>
        <w:t>– dodaje Łukasz Górny z EIB.</w:t>
      </w:r>
    </w:p>
    <w:p w14:paraId="4419E91C" w14:textId="77777777" w:rsidR="00BA528D" w:rsidRDefault="00BA528D"/>
    <w:p w14:paraId="7CB2E738" w14:textId="77777777" w:rsidR="00D96A17" w:rsidRDefault="00D96A17"/>
    <w:p w14:paraId="7CB2E741" w14:textId="20039948" w:rsidR="00D96A17" w:rsidRDefault="00247FC9" w:rsidP="00085174">
      <w:pPr>
        <w:jc w:val="right"/>
      </w:pPr>
      <w:r>
        <w:t>Źródło: EIB SA.</w:t>
      </w:r>
    </w:p>
    <w:sectPr w:rsidR="00D96A1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default"/>
    <w:sig w:usb0="00000001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071"/>
    <w:multiLevelType w:val="hybridMultilevel"/>
    <w:tmpl w:val="D3E47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F2651"/>
    <w:multiLevelType w:val="multilevel"/>
    <w:tmpl w:val="3C66A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B22049"/>
    <w:multiLevelType w:val="multilevel"/>
    <w:tmpl w:val="780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64C7000D"/>
    <w:multiLevelType w:val="multilevel"/>
    <w:tmpl w:val="1B92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6573A9E"/>
    <w:multiLevelType w:val="multilevel"/>
    <w:tmpl w:val="017A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SzsLC0MDEyMzI0MzRR0lEKTi0uzszPAykwrAUAZTiLeiwAAAA="/>
  </w:docVars>
  <w:rsids>
    <w:rsidRoot w:val="00D96A17"/>
    <w:rsid w:val="00040FF1"/>
    <w:rsid w:val="00060792"/>
    <w:rsid w:val="00085174"/>
    <w:rsid w:val="000B1866"/>
    <w:rsid w:val="000E77CE"/>
    <w:rsid w:val="000F2A7D"/>
    <w:rsid w:val="00113EC6"/>
    <w:rsid w:val="001708A4"/>
    <w:rsid w:val="001A0FF6"/>
    <w:rsid w:val="001D08EA"/>
    <w:rsid w:val="001D55CE"/>
    <w:rsid w:val="001F0C70"/>
    <w:rsid w:val="00226C28"/>
    <w:rsid w:val="00247FC9"/>
    <w:rsid w:val="00310328"/>
    <w:rsid w:val="003E7515"/>
    <w:rsid w:val="00406DA7"/>
    <w:rsid w:val="00490BA6"/>
    <w:rsid w:val="004E7BC6"/>
    <w:rsid w:val="00545592"/>
    <w:rsid w:val="00555653"/>
    <w:rsid w:val="005818A9"/>
    <w:rsid w:val="00583188"/>
    <w:rsid w:val="005B5DFA"/>
    <w:rsid w:val="005D6760"/>
    <w:rsid w:val="00637D24"/>
    <w:rsid w:val="006E0020"/>
    <w:rsid w:val="00720805"/>
    <w:rsid w:val="00733E5F"/>
    <w:rsid w:val="00741D52"/>
    <w:rsid w:val="007F16FA"/>
    <w:rsid w:val="00807250"/>
    <w:rsid w:val="00831BE3"/>
    <w:rsid w:val="00834826"/>
    <w:rsid w:val="0084186A"/>
    <w:rsid w:val="00847023"/>
    <w:rsid w:val="0086602C"/>
    <w:rsid w:val="0096382E"/>
    <w:rsid w:val="00973330"/>
    <w:rsid w:val="00A164E9"/>
    <w:rsid w:val="00A713A9"/>
    <w:rsid w:val="00A73640"/>
    <w:rsid w:val="00AE0FAE"/>
    <w:rsid w:val="00B204A0"/>
    <w:rsid w:val="00B42912"/>
    <w:rsid w:val="00B53D76"/>
    <w:rsid w:val="00B70D14"/>
    <w:rsid w:val="00B809AA"/>
    <w:rsid w:val="00B96F76"/>
    <w:rsid w:val="00BA528D"/>
    <w:rsid w:val="00BB1CAF"/>
    <w:rsid w:val="00BD4BD2"/>
    <w:rsid w:val="00C34373"/>
    <w:rsid w:val="00C52907"/>
    <w:rsid w:val="00C656DC"/>
    <w:rsid w:val="00CB3D7C"/>
    <w:rsid w:val="00CF1823"/>
    <w:rsid w:val="00D0139E"/>
    <w:rsid w:val="00D078B1"/>
    <w:rsid w:val="00D0794D"/>
    <w:rsid w:val="00D11B75"/>
    <w:rsid w:val="00D232BD"/>
    <w:rsid w:val="00D939DC"/>
    <w:rsid w:val="00D96A17"/>
    <w:rsid w:val="00E02A97"/>
    <w:rsid w:val="00E25F6F"/>
    <w:rsid w:val="00E64097"/>
    <w:rsid w:val="00EE0176"/>
    <w:rsid w:val="00F04538"/>
    <w:rsid w:val="00F23A2E"/>
    <w:rsid w:val="00F47BB2"/>
    <w:rsid w:val="00F60AF6"/>
    <w:rsid w:val="00F95395"/>
    <w:rsid w:val="00F96062"/>
    <w:rsid w:val="00FC5808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E718"/>
  <w15:docId w15:val="{2BE01696-2274-4FE3-8934-7D34ABF4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NSimSun" w:hAnsi="Tahoma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B7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 w:val="24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BA528D"/>
    <w:pPr>
      <w:ind w:left="720"/>
      <w:contextualSpacing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AF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F6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7C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D7C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D7C"/>
    <w:rPr>
      <w:rFonts w:cs="Mangal"/>
      <w:b/>
      <w:bCs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1B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56D5B3E528D045B2BE0422B0CC7E33" ma:contentTypeVersion="0" ma:contentTypeDescription="Utwórz nowy dokument." ma:contentTypeScope="" ma:versionID="2e7793c4e92e38f693f2ce84f78054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88eeda9ef943f0b1787d067966c6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EE6BC-3D30-4348-8334-08F872B5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32227-1C2A-4981-ABB7-6C634D580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F63BA-410A-4316-BD30-A3BD18703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dc:description/>
  <cp:lastModifiedBy>Tomasz Luty</cp:lastModifiedBy>
  <cp:revision>3</cp:revision>
  <dcterms:created xsi:type="dcterms:W3CDTF">2020-08-13T07:39:00Z</dcterms:created>
  <dcterms:modified xsi:type="dcterms:W3CDTF">2020-08-21T06:36:00Z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0x010100CC56D5B3E528D045B2BE0422B0CC7E33</vt:lpwstr>
  </property>
</Properties>
</file>