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9555A" w14:textId="77777777" w:rsidR="0046374B" w:rsidRDefault="0046374B" w:rsidP="00E728C6">
      <w:pPr>
        <w:jc w:val="right"/>
      </w:pPr>
    </w:p>
    <w:p w14:paraId="7DAC1F54" w14:textId="77777777" w:rsidR="0070263B" w:rsidRDefault="0070263B" w:rsidP="00E728C6">
      <w:pPr>
        <w:jc w:val="right"/>
      </w:pPr>
    </w:p>
    <w:p w14:paraId="4F3ADE37" w14:textId="77777777" w:rsidR="00E728C6" w:rsidRPr="00761B06" w:rsidRDefault="00E728C6" w:rsidP="00E60E3D">
      <w:pPr>
        <w:jc w:val="right"/>
        <w:rPr>
          <w:sz w:val="22"/>
          <w:szCs w:val="22"/>
        </w:rPr>
      </w:pPr>
      <w:r w:rsidRPr="00761B06">
        <w:rPr>
          <w:sz w:val="22"/>
          <w:szCs w:val="22"/>
        </w:rPr>
        <w:t>Warszawa,</w:t>
      </w:r>
      <w:r w:rsidR="001B04E9" w:rsidRPr="00761B06">
        <w:rPr>
          <w:sz w:val="22"/>
          <w:szCs w:val="22"/>
        </w:rPr>
        <w:t xml:space="preserve"> </w:t>
      </w:r>
      <w:r w:rsidR="005235D2" w:rsidRPr="00761B06">
        <w:rPr>
          <w:sz w:val="22"/>
          <w:szCs w:val="22"/>
        </w:rPr>
        <w:t>21</w:t>
      </w:r>
      <w:r w:rsidR="004D0AD2" w:rsidRPr="00761B06">
        <w:rPr>
          <w:sz w:val="22"/>
          <w:szCs w:val="22"/>
        </w:rPr>
        <w:t>.</w:t>
      </w:r>
      <w:r w:rsidR="00A93456" w:rsidRPr="00761B06">
        <w:rPr>
          <w:sz w:val="22"/>
          <w:szCs w:val="22"/>
        </w:rPr>
        <w:t>0</w:t>
      </w:r>
      <w:r w:rsidR="00391FD2" w:rsidRPr="00761B06">
        <w:rPr>
          <w:sz w:val="22"/>
          <w:szCs w:val="22"/>
        </w:rPr>
        <w:t>8</w:t>
      </w:r>
      <w:r w:rsidR="00C403DD" w:rsidRPr="00761B06">
        <w:rPr>
          <w:sz w:val="22"/>
          <w:szCs w:val="22"/>
        </w:rPr>
        <w:t>.</w:t>
      </w:r>
      <w:r w:rsidR="00A35B9F" w:rsidRPr="00761B06">
        <w:rPr>
          <w:sz w:val="22"/>
          <w:szCs w:val="22"/>
        </w:rPr>
        <w:t xml:space="preserve">2020 </w:t>
      </w:r>
      <w:r w:rsidRPr="00761B06">
        <w:rPr>
          <w:sz w:val="22"/>
          <w:szCs w:val="22"/>
        </w:rPr>
        <w:t>r.</w:t>
      </w:r>
    </w:p>
    <w:p w14:paraId="206BB1D5" w14:textId="77777777" w:rsidR="009A0E92" w:rsidRDefault="009A0E92" w:rsidP="00E728C6">
      <w:pPr>
        <w:jc w:val="right"/>
      </w:pPr>
    </w:p>
    <w:p w14:paraId="5E9207A7" w14:textId="77777777" w:rsidR="00B630C1" w:rsidRDefault="00B630C1" w:rsidP="001B04E9">
      <w:pPr>
        <w:spacing w:before="120" w:after="120"/>
        <w:rPr>
          <w:b/>
          <w:sz w:val="28"/>
          <w:szCs w:val="28"/>
        </w:rPr>
      </w:pPr>
      <w:r w:rsidRPr="00B630C1">
        <w:rPr>
          <w:b/>
          <w:sz w:val="28"/>
          <w:szCs w:val="28"/>
        </w:rPr>
        <w:t>Newsletter kredytowy BIK – najnowsze dane o sprzedaży kredytów w Polsce</w:t>
      </w:r>
    </w:p>
    <w:p w14:paraId="233C7241" w14:textId="7C0596C2" w:rsidR="00890711" w:rsidRPr="00761B06" w:rsidRDefault="00890711" w:rsidP="00890711">
      <w:pPr>
        <w:pStyle w:val="Akapitzlist"/>
        <w:tabs>
          <w:tab w:val="left" w:pos="284"/>
        </w:tabs>
        <w:spacing w:before="120"/>
        <w:ind w:left="0"/>
        <w:jc w:val="both"/>
        <w:rPr>
          <w:rFonts w:eastAsiaTheme="majorEastAsia" w:cstheme="majorBidi"/>
          <w:b/>
          <w:bCs/>
          <w:sz w:val="22"/>
          <w:szCs w:val="22"/>
        </w:rPr>
      </w:pPr>
      <w:r w:rsidRPr="00761B06">
        <w:rPr>
          <w:rFonts w:eastAsiaTheme="majorEastAsia" w:cstheme="majorBidi"/>
          <w:b/>
          <w:bCs/>
          <w:sz w:val="22"/>
          <w:szCs w:val="22"/>
        </w:rPr>
        <w:t xml:space="preserve">W </w:t>
      </w:r>
      <w:r w:rsidR="00391FD2" w:rsidRPr="00761B06">
        <w:rPr>
          <w:rFonts w:eastAsiaTheme="majorEastAsia" w:cstheme="majorBidi"/>
          <w:b/>
          <w:bCs/>
          <w:sz w:val="22"/>
          <w:szCs w:val="22"/>
        </w:rPr>
        <w:t>lipcu</w:t>
      </w:r>
      <w:r w:rsidRPr="00761B06">
        <w:rPr>
          <w:rFonts w:eastAsiaTheme="majorEastAsia" w:cstheme="majorBidi"/>
          <w:b/>
          <w:bCs/>
          <w:sz w:val="22"/>
          <w:szCs w:val="22"/>
        </w:rPr>
        <w:t xml:space="preserve"> 2020 r., w porównaniu do </w:t>
      </w:r>
      <w:r w:rsidR="00391FD2" w:rsidRPr="00761B06">
        <w:rPr>
          <w:rFonts w:eastAsiaTheme="majorEastAsia" w:cstheme="majorBidi"/>
          <w:b/>
          <w:bCs/>
          <w:sz w:val="22"/>
          <w:szCs w:val="22"/>
        </w:rPr>
        <w:t>lipca</w:t>
      </w:r>
      <w:r w:rsidRPr="00761B06">
        <w:rPr>
          <w:rFonts w:eastAsiaTheme="majorEastAsia" w:cstheme="majorBidi"/>
          <w:b/>
          <w:bCs/>
          <w:sz w:val="22"/>
          <w:szCs w:val="22"/>
        </w:rPr>
        <w:t xml:space="preserve"> 2019 r., banki i SKOK-i udzieliły dużo mniej </w:t>
      </w:r>
      <w:r w:rsidR="002B2D5E" w:rsidRPr="00761B06">
        <w:rPr>
          <w:rFonts w:eastAsiaTheme="majorEastAsia" w:cstheme="majorBidi"/>
          <w:b/>
          <w:bCs/>
          <w:sz w:val="22"/>
          <w:szCs w:val="22"/>
        </w:rPr>
        <w:t xml:space="preserve">trzech rodzajów </w:t>
      </w:r>
      <w:r w:rsidR="00E91E63" w:rsidRPr="00761B06">
        <w:rPr>
          <w:rFonts w:eastAsiaTheme="majorEastAsia" w:cstheme="majorBidi"/>
          <w:b/>
          <w:bCs/>
          <w:sz w:val="22"/>
          <w:szCs w:val="22"/>
        </w:rPr>
        <w:t xml:space="preserve">kredytów </w:t>
      </w:r>
      <w:r w:rsidR="00391FD2" w:rsidRPr="00761B06">
        <w:rPr>
          <w:rFonts w:eastAsiaTheme="majorEastAsia" w:cstheme="majorBidi"/>
          <w:b/>
          <w:bCs/>
          <w:sz w:val="22"/>
          <w:szCs w:val="22"/>
        </w:rPr>
        <w:t>zarówno w ujęciu wartościowym, jak i liczbowym</w:t>
      </w:r>
      <w:r w:rsidR="00E91E63" w:rsidRPr="00761B06">
        <w:rPr>
          <w:rFonts w:eastAsiaTheme="majorEastAsia" w:cstheme="majorBidi"/>
          <w:b/>
          <w:bCs/>
          <w:sz w:val="22"/>
          <w:szCs w:val="22"/>
        </w:rPr>
        <w:t>.</w:t>
      </w:r>
      <w:r w:rsidRPr="00761B06">
        <w:rPr>
          <w:rFonts w:eastAsiaTheme="majorEastAsia" w:cstheme="majorBidi"/>
          <w:b/>
          <w:bCs/>
          <w:sz w:val="22"/>
          <w:szCs w:val="22"/>
        </w:rPr>
        <w:t xml:space="preserve"> W ujęciu liczbowym banki przyznały o (-</w:t>
      </w:r>
      <w:r w:rsidR="00391FD2" w:rsidRPr="00761B06">
        <w:rPr>
          <w:rFonts w:eastAsiaTheme="majorEastAsia" w:cstheme="majorBidi"/>
          <w:b/>
          <w:bCs/>
          <w:sz w:val="22"/>
          <w:szCs w:val="22"/>
        </w:rPr>
        <w:t>39</w:t>
      </w:r>
      <w:r w:rsidRPr="00761B06">
        <w:rPr>
          <w:rFonts w:eastAsiaTheme="majorEastAsia" w:cstheme="majorBidi"/>
          <w:b/>
          <w:bCs/>
          <w:sz w:val="22"/>
          <w:szCs w:val="22"/>
        </w:rPr>
        <w:t>,</w:t>
      </w:r>
      <w:r w:rsidR="00391FD2" w:rsidRPr="00761B06">
        <w:rPr>
          <w:rFonts w:eastAsiaTheme="majorEastAsia" w:cstheme="majorBidi"/>
          <w:b/>
          <w:bCs/>
          <w:sz w:val="22"/>
          <w:szCs w:val="22"/>
        </w:rPr>
        <w:t>2</w:t>
      </w:r>
      <w:r w:rsidRPr="00761B06">
        <w:rPr>
          <w:rFonts w:eastAsiaTheme="majorEastAsia" w:cstheme="majorBidi"/>
          <w:b/>
          <w:bCs/>
          <w:sz w:val="22"/>
          <w:szCs w:val="22"/>
        </w:rPr>
        <w:t xml:space="preserve">%) </w:t>
      </w:r>
      <w:r w:rsidR="00391FD2" w:rsidRPr="00761B06">
        <w:rPr>
          <w:rFonts w:eastAsiaTheme="majorEastAsia" w:cstheme="majorBidi"/>
          <w:b/>
          <w:bCs/>
          <w:sz w:val="22"/>
          <w:szCs w:val="22"/>
        </w:rPr>
        <w:t>mniej kart kredytowych</w:t>
      </w:r>
      <w:r w:rsidR="00E91E63" w:rsidRPr="00761B06">
        <w:rPr>
          <w:rFonts w:eastAsiaTheme="majorEastAsia" w:cstheme="majorBidi"/>
          <w:b/>
          <w:bCs/>
          <w:sz w:val="22"/>
          <w:szCs w:val="22"/>
        </w:rPr>
        <w:t xml:space="preserve">,  o </w:t>
      </w:r>
      <w:r w:rsidRPr="00761B06">
        <w:rPr>
          <w:rFonts w:eastAsiaTheme="majorEastAsia" w:cstheme="majorBidi"/>
          <w:b/>
          <w:bCs/>
          <w:sz w:val="22"/>
          <w:szCs w:val="22"/>
        </w:rPr>
        <w:t>(-</w:t>
      </w:r>
      <w:r w:rsidR="00391FD2" w:rsidRPr="00761B06">
        <w:rPr>
          <w:rFonts w:eastAsiaTheme="majorEastAsia" w:cstheme="majorBidi"/>
          <w:b/>
          <w:bCs/>
          <w:sz w:val="22"/>
          <w:szCs w:val="22"/>
        </w:rPr>
        <w:t>3</w:t>
      </w:r>
      <w:r w:rsidRPr="00761B06">
        <w:rPr>
          <w:rFonts w:eastAsiaTheme="majorEastAsia" w:cstheme="majorBidi"/>
          <w:b/>
          <w:bCs/>
          <w:sz w:val="22"/>
          <w:szCs w:val="22"/>
        </w:rPr>
        <w:t>2,</w:t>
      </w:r>
      <w:r w:rsidR="00391FD2" w:rsidRPr="00761B06">
        <w:rPr>
          <w:rFonts w:eastAsiaTheme="majorEastAsia" w:cstheme="majorBidi"/>
          <w:b/>
          <w:bCs/>
          <w:sz w:val="22"/>
          <w:szCs w:val="22"/>
        </w:rPr>
        <w:t>0</w:t>
      </w:r>
      <w:r w:rsidRPr="00761B06">
        <w:rPr>
          <w:rFonts w:eastAsiaTheme="majorEastAsia" w:cstheme="majorBidi"/>
          <w:b/>
          <w:bCs/>
          <w:sz w:val="22"/>
          <w:szCs w:val="22"/>
        </w:rPr>
        <w:t xml:space="preserve">%) mniej kredytów </w:t>
      </w:r>
      <w:r w:rsidR="00391FD2" w:rsidRPr="00761B06">
        <w:rPr>
          <w:rFonts w:eastAsiaTheme="majorEastAsia" w:cstheme="majorBidi"/>
          <w:b/>
          <w:bCs/>
          <w:sz w:val="22"/>
          <w:szCs w:val="22"/>
        </w:rPr>
        <w:t>gotówkowych</w:t>
      </w:r>
      <w:r w:rsidRPr="00761B06">
        <w:rPr>
          <w:rFonts w:eastAsiaTheme="majorEastAsia" w:cstheme="majorBidi"/>
          <w:b/>
          <w:bCs/>
          <w:sz w:val="22"/>
          <w:szCs w:val="22"/>
        </w:rPr>
        <w:t xml:space="preserve"> oraz o</w:t>
      </w:r>
      <w:r w:rsidR="00E91E63" w:rsidRPr="00761B06">
        <w:rPr>
          <w:rFonts w:eastAsiaTheme="majorEastAsia" w:cstheme="majorBidi"/>
          <w:b/>
          <w:bCs/>
          <w:sz w:val="22"/>
          <w:szCs w:val="22"/>
        </w:rPr>
        <w:t xml:space="preserve"> </w:t>
      </w:r>
      <w:r w:rsidRPr="00761B06">
        <w:rPr>
          <w:rFonts w:eastAsiaTheme="majorEastAsia" w:cstheme="majorBidi"/>
          <w:b/>
          <w:bCs/>
          <w:sz w:val="22"/>
          <w:szCs w:val="22"/>
        </w:rPr>
        <w:t>(-2</w:t>
      </w:r>
      <w:r w:rsidR="00391FD2" w:rsidRPr="00761B06">
        <w:rPr>
          <w:rFonts w:eastAsiaTheme="majorEastAsia" w:cstheme="majorBidi"/>
          <w:b/>
          <w:bCs/>
          <w:sz w:val="22"/>
          <w:szCs w:val="22"/>
        </w:rPr>
        <w:t>2</w:t>
      </w:r>
      <w:r w:rsidRPr="00761B06">
        <w:rPr>
          <w:rFonts w:eastAsiaTheme="majorEastAsia" w:cstheme="majorBidi"/>
          <w:b/>
          <w:bCs/>
          <w:sz w:val="22"/>
          <w:szCs w:val="22"/>
        </w:rPr>
        <w:t>,</w:t>
      </w:r>
      <w:r w:rsidR="00391FD2" w:rsidRPr="00761B06">
        <w:rPr>
          <w:rFonts w:eastAsiaTheme="majorEastAsia" w:cstheme="majorBidi"/>
          <w:b/>
          <w:bCs/>
          <w:sz w:val="22"/>
          <w:szCs w:val="22"/>
        </w:rPr>
        <w:t>7</w:t>
      </w:r>
      <w:r w:rsidRPr="00761B06">
        <w:rPr>
          <w:rFonts w:eastAsiaTheme="majorEastAsia" w:cstheme="majorBidi"/>
          <w:b/>
          <w:bCs/>
          <w:sz w:val="22"/>
          <w:szCs w:val="22"/>
        </w:rPr>
        <w:t xml:space="preserve">%) mniej kredytów mieszkaniowych. </w:t>
      </w:r>
      <w:r w:rsidR="00391FD2" w:rsidRPr="00761B06">
        <w:rPr>
          <w:rFonts w:eastAsiaTheme="majorEastAsia" w:cstheme="majorBidi"/>
          <w:b/>
          <w:bCs/>
          <w:sz w:val="22"/>
          <w:szCs w:val="22"/>
        </w:rPr>
        <w:t xml:space="preserve">Jedyny wzrost odnotowały kredyty ratalne (+1,2%). </w:t>
      </w:r>
      <w:r w:rsidRPr="00761B06">
        <w:rPr>
          <w:rFonts w:eastAsiaTheme="majorEastAsia" w:cstheme="majorBidi"/>
          <w:b/>
          <w:bCs/>
          <w:sz w:val="22"/>
          <w:szCs w:val="22"/>
        </w:rPr>
        <w:t xml:space="preserve">W ujęciu wartościowym </w:t>
      </w:r>
      <w:r w:rsidR="00AF3C1B" w:rsidRPr="00761B06">
        <w:rPr>
          <w:rFonts w:eastAsiaTheme="majorEastAsia" w:cstheme="majorBidi"/>
          <w:b/>
          <w:bCs/>
          <w:sz w:val="22"/>
          <w:szCs w:val="22"/>
        </w:rPr>
        <w:t xml:space="preserve">spadki dotyczą </w:t>
      </w:r>
      <w:r w:rsidRPr="00761B06">
        <w:rPr>
          <w:rFonts w:eastAsiaTheme="majorEastAsia" w:cstheme="majorBidi"/>
          <w:b/>
          <w:bCs/>
          <w:sz w:val="22"/>
          <w:szCs w:val="22"/>
        </w:rPr>
        <w:t xml:space="preserve">limitów </w:t>
      </w:r>
      <w:r w:rsidR="0042619B" w:rsidRPr="00761B06">
        <w:rPr>
          <w:rFonts w:eastAsiaTheme="majorEastAsia" w:cstheme="majorBidi"/>
          <w:b/>
          <w:bCs/>
          <w:sz w:val="22"/>
          <w:szCs w:val="22"/>
        </w:rPr>
        <w:t xml:space="preserve">w kartach </w:t>
      </w:r>
      <w:r w:rsidRPr="00761B06">
        <w:rPr>
          <w:rFonts w:eastAsiaTheme="majorEastAsia" w:cstheme="majorBidi"/>
          <w:b/>
          <w:bCs/>
          <w:sz w:val="22"/>
          <w:szCs w:val="22"/>
        </w:rPr>
        <w:t>kredytowych (-4</w:t>
      </w:r>
      <w:r w:rsidR="00391FD2" w:rsidRPr="00761B06">
        <w:rPr>
          <w:rFonts w:eastAsiaTheme="majorEastAsia" w:cstheme="majorBidi"/>
          <w:b/>
          <w:bCs/>
          <w:sz w:val="22"/>
          <w:szCs w:val="22"/>
        </w:rPr>
        <w:t>1</w:t>
      </w:r>
      <w:r w:rsidRPr="00761B06">
        <w:rPr>
          <w:rFonts w:eastAsiaTheme="majorEastAsia" w:cstheme="majorBidi"/>
          <w:b/>
          <w:bCs/>
          <w:sz w:val="22"/>
          <w:szCs w:val="22"/>
        </w:rPr>
        <w:t>,</w:t>
      </w:r>
      <w:r w:rsidR="00391FD2" w:rsidRPr="00761B06">
        <w:rPr>
          <w:rFonts w:eastAsiaTheme="majorEastAsia" w:cstheme="majorBidi"/>
          <w:b/>
          <w:bCs/>
          <w:sz w:val="22"/>
          <w:szCs w:val="22"/>
        </w:rPr>
        <w:t>0</w:t>
      </w:r>
      <w:r w:rsidRPr="00761B06">
        <w:rPr>
          <w:rFonts w:eastAsiaTheme="majorEastAsia" w:cstheme="majorBidi"/>
          <w:b/>
          <w:bCs/>
          <w:sz w:val="22"/>
          <w:szCs w:val="22"/>
        </w:rPr>
        <w:t>%)</w:t>
      </w:r>
      <w:r w:rsidR="00AF3C1B" w:rsidRPr="00761B06">
        <w:rPr>
          <w:rFonts w:eastAsiaTheme="majorEastAsia" w:cstheme="majorBidi"/>
          <w:b/>
          <w:bCs/>
          <w:sz w:val="22"/>
          <w:szCs w:val="22"/>
        </w:rPr>
        <w:t xml:space="preserve">, </w:t>
      </w:r>
      <w:r w:rsidRPr="00761B06">
        <w:rPr>
          <w:rFonts w:eastAsiaTheme="majorEastAsia" w:cstheme="majorBidi"/>
          <w:b/>
          <w:bCs/>
          <w:sz w:val="22"/>
          <w:szCs w:val="22"/>
        </w:rPr>
        <w:t xml:space="preserve">kredytów </w:t>
      </w:r>
      <w:r w:rsidR="00391FD2" w:rsidRPr="00761B06">
        <w:rPr>
          <w:rFonts w:eastAsiaTheme="majorEastAsia" w:cstheme="majorBidi"/>
          <w:b/>
          <w:bCs/>
          <w:sz w:val="22"/>
          <w:szCs w:val="22"/>
        </w:rPr>
        <w:t xml:space="preserve">gotówkowych </w:t>
      </w:r>
      <w:r w:rsidRPr="00761B06">
        <w:rPr>
          <w:rFonts w:eastAsiaTheme="majorEastAsia" w:cstheme="majorBidi"/>
          <w:b/>
          <w:bCs/>
          <w:sz w:val="22"/>
          <w:szCs w:val="22"/>
        </w:rPr>
        <w:t>(-</w:t>
      </w:r>
      <w:r w:rsidR="00391FD2" w:rsidRPr="00761B06">
        <w:rPr>
          <w:rFonts w:eastAsiaTheme="majorEastAsia" w:cstheme="majorBidi"/>
          <w:b/>
          <w:bCs/>
          <w:sz w:val="22"/>
          <w:szCs w:val="22"/>
        </w:rPr>
        <w:t>33</w:t>
      </w:r>
      <w:r w:rsidRPr="00761B06">
        <w:rPr>
          <w:rFonts w:eastAsiaTheme="majorEastAsia" w:cstheme="majorBidi"/>
          <w:b/>
          <w:bCs/>
          <w:sz w:val="22"/>
          <w:szCs w:val="22"/>
        </w:rPr>
        <w:t>,</w:t>
      </w:r>
      <w:r w:rsidR="00391FD2" w:rsidRPr="00761B06">
        <w:rPr>
          <w:rFonts w:eastAsiaTheme="majorEastAsia" w:cstheme="majorBidi"/>
          <w:b/>
          <w:bCs/>
          <w:sz w:val="22"/>
          <w:szCs w:val="22"/>
        </w:rPr>
        <w:t>6</w:t>
      </w:r>
      <w:r w:rsidRPr="00761B06">
        <w:rPr>
          <w:rFonts w:eastAsiaTheme="majorEastAsia" w:cstheme="majorBidi"/>
          <w:b/>
          <w:bCs/>
          <w:sz w:val="22"/>
          <w:szCs w:val="22"/>
        </w:rPr>
        <w:t>%)</w:t>
      </w:r>
      <w:r w:rsidR="00AF3C1B" w:rsidRPr="00761B06">
        <w:rPr>
          <w:rFonts w:eastAsiaTheme="majorEastAsia" w:cstheme="majorBidi"/>
          <w:b/>
          <w:bCs/>
          <w:sz w:val="22"/>
          <w:szCs w:val="22"/>
        </w:rPr>
        <w:t xml:space="preserve"> oraz</w:t>
      </w:r>
      <w:r w:rsidRPr="00761B06">
        <w:rPr>
          <w:rFonts w:eastAsiaTheme="majorEastAsia" w:cstheme="majorBidi"/>
          <w:b/>
          <w:bCs/>
          <w:sz w:val="22"/>
          <w:szCs w:val="22"/>
        </w:rPr>
        <w:t xml:space="preserve"> mieszkaniowych (-22,</w:t>
      </w:r>
      <w:r w:rsidR="00391FD2" w:rsidRPr="00761B06">
        <w:rPr>
          <w:rFonts w:eastAsiaTheme="majorEastAsia" w:cstheme="majorBidi"/>
          <w:b/>
          <w:bCs/>
          <w:sz w:val="22"/>
          <w:szCs w:val="22"/>
        </w:rPr>
        <w:t>6</w:t>
      </w:r>
      <w:r w:rsidRPr="00761B06">
        <w:rPr>
          <w:rFonts w:eastAsiaTheme="majorEastAsia" w:cstheme="majorBidi"/>
          <w:b/>
          <w:bCs/>
          <w:sz w:val="22"/>
          <w:szCs w:val="22"/>
        </w:rPr>
        <w:t xml:space="preserve">%). </w:t>
      </w:r>
      <w:r w:rsidR="00391FD2" w:rsidRPr="00761B06">
        <w:rPr>
          <w:rFonts w:eastAsiaTheme="majorEastAsia" w:cstheme="majorBidi"/>
          <w:b/>
          <w:bCs/>
          <w:sz w:val="22"/>
          <w:szCs w:val="22"/>
        </w:rPr>
        <w:t xml:space="preserve">Wzrosła </w:t>
      </w:r>
      <w:r w:rsidR="00AF3C1B" w:rsidRPr="00761B06">
        <w:rPr>
          <w:rFonts w:eastAsiaTheme="majorEastAsia" w:cstheme="majorBidi"/>
          <w:b/>
          <w:bCs/>
          <w:sz w:val="22"/>
          <w:szCs w:val="22"/>
        </w:rPr>
        <w:t xml:space="preserve">jedynie </w:t>
      </w:r>
      <w:r w:rsidR="00391FD2" w:rsidRPr="00761B06">
        <w:rPr>
          <w:rFonts w:eastAsiaTheme="majorEastAsia" w:cstheme="majorBidi"/>
          <w:b/>
          <w:bCs/>
          <w:sz w:val="22"/>
          <w:szCs w:val="22"/>
        </w:rPr>
        <w:t>o (5,1%) wartość udzielonych kredytów ratalnych.</w:t>
      </w:r>
    </w:p>
    <w:p w14:paraId="60F7E042" w14:textId="008143C5" w:rsidR="00890711" w:rsidRPr="00761B06" w:rsidRDefault="00890711" w:rsidP="00890711">
      <w:pPr>
        <w:pStyle w:val="Akapitzlist"/>
        <w:tabs>
          <w:tab w:val="left" w:pos="284"/>
        </w:tabs>
        <w:spacing w:before="120"/>
        <w:ind w:left="0"/>
        <w:jc w:val="both"/>
        <w:rPr>
          <w:rFonts w:eastAsiaTheme="majorEastAsia" w:cstheme="majorBidi"/>
          <w:b/>
          <w:bCs/>
          <w:sz w:val="22"/>
          <w:szCs w:val="22"/>
        </w:rPr>
      </w:pPr>
      <w:bookmarkStart w:id="0" w:name="_GoBack"/>
      <w:r w:rsidRPr="00761B06">
        <w:rPr>
          <w:rFonts w:eastAsiaTheme="majorEastAsia" w:cstheme="majorBidi"/>
          <w:b/>
          <w:bCs/>
          <w:sz w:val="22"/>
          <w:szCs w:val="22"/>
        </w:rPr>
        <w:t xml:space="preserve">W okresie styczeń - </w:t>
      </w:r>
      <w:r w:rsidR="00391FD2" w:rsidRPr="00761B06">
        <w:rPr>
          <w:rFonts w:eastAsiaTheme="majorEastAsia" w:cstheme="majorBidi"/>
          <w:b/>
          <w:bCs/>
          <w:sz w:val="22"/>
          <w:szCs w:val="22"/>
        </w:rPr>
        <w:t>lipiec</w:t>
      </w:r>
      <w:r w:rsidRPr="00761B06">
        <w:rPr>
          <w:rFonts w:eastAsiaTheme="majorEastAsia" w:cstheme="majorBidi"/>
          <w:b/>
          <w:bCs/>
          <w:sz w:val="22"/>
          <w:szCs w:val="22"/>
        </w:rPr>
        <w:t xml:space="preserve"> 2020 r. banki i SKOK-i udzieliły</w:t>
      </w:r>
      <w:r w:rsidR="00445E35">
        <w:rPr>
          <w:rFonts w:eastAsiaTheme="majorEastAsia" w:cstheme="majorBidi"/>
          <w:b/>
          <w:bCs/>
          <w:sz w:val="22"/>
          <w:szCs w:val="22"/>
        </w:rPr>
        <w:t xml:space="preserve"> 1,863 </w:t>
      </w:r>
      <w:r w:rsidRPr="00761B06">
        <w:rPr>
          <w:rFonts w:eastAsiaTheme="majorEastAsia" w:cstheme="majorBidi"/>
          <w:b/>
          <w:bCs/>
          <w:sz w:val="22"/>
          <w:szCs w:val="22"/>
        </w:rPr>
        <w:t xml:space="preserve">mln kredytów </w:t>
      </w:r>
      <w:r w:rsidR="00391FD2" w:rsidRPr="00761B06">
        <w:rPr>
          <w:rFonts w:eastAsiaTheme="majorEastAsia" w:cstheme="majorBidi"/>
          <w:b/>
          <w:bCs/>
          <w:sz w:val="22"/>
          <w:szCs w:val="22"/>
        </w:rPr>
        <w:t xml:space="preserve">ratalnych </w:t>
      </w:r>
      <w:r w:rsidRPr="00761B06">
        <w:rPr>
          <w:rFonts w:eastAsiaTheme="majorEastAsia" w:cstheme="majorBidi"/>
          <w:b/>
          <w:bCs/>
          <w:sz w:val="22"/>
          <w:szCs w:val="22"/>
        </w:rPr>
        <w:t xml:space="preserve">na kwotę </w:t>
      </w:r>
      <w:r w:rsidR="00391FD2" w:rsidRPr="00761B06">
        <w:rPr>
          <w:rFonts w:eastAsiaTheme="majorEastAsia" w:cstheme="majorBidi"/>
          <w:b/>
          <w:bCs/>
          <w:sz w:val="22"/>
          <w:szCs w:val="22"/>
        </w:rPr>
        <w:t>7</w:t>
      </w:r>
      <w:r w:rsidRPr="00761B06">
        <w:rPr>
          <w:rFonts w:eastAsiaTheme="majorEastAsia" w:cstheme="majorBidi"/>
          <w:b/>
          <w:bCs/>
          <w:sz w:val="22"/>
          <w:szCs w:val="22"/>
        </w:rPr>
        <w:t>,</w:t>
      </w:r>
      <w:r w:rsidR="00391FD2" w:rsidRPr="00761B06">
        <w:rPr>
          <w:rFonts w:eastAsiaTheme="majorEastAsia" w:cstheme="majorBidi"/>
          <w:b/>
          <w:bCs/>
          <w:sz w:val="22"/>
          <w:szCs w:val="22"/>
        </w:rPr>
        <w:t>8</w:t>
      </w:r>
      <w:r w:rsidRPr="00761B06">
        <w:rPr>
          <w:rFonts w:eastAsiaTheme="majorEastAsia" w:cstheme="majorBidi"/>
          <w:b/>
          <w:bCs/>
          <w:sz w:val="22"/>
          <w:szCs w:val="22"/>
        </w:rPr>
        <w:t xml:space="preserve">9 mld zł, </w:t>
      </w:r>
      <w:r w:rsidR="00A776B6">
        <w:rPr>
          <w:rFonts w:eastAsiaTheme="majorEastAsia" w:cstheme="majorBidi"/>
          <w:b/>
          <w:bCs/>
          <w:sz w:val="22"/>
          <w:szCs w:val="22"/>
        </w:rPr>
        <w:t xml:space="preserve">1,583 </w:t>
      </w:r>
      <w:r w:rsidR="00391FD2" w:rsidRPr="00761B06">
        <w:rPr>
          <w:rFonts w:eastAsiaTheme="majorEastAsia" w:cstheme="majorBidi"/>
          <w:b/>
          <w:bCs/>
          <w:sz w:val="22"/>
          <w:szCs w:val="22"/>
        </w:rPr>
        <w:t>mln kredytów gotówkowych na kwotę 29,717 mld zł. Z</w:t>
      </w:r>
      <w:r w:rsidRPr="00761B06">
        <w:rPr>
          <w:rFonts w:eastAsiaTheme="majorEastAsia" w:cstheme="majorBidi"/>
          <w:b/>
          <w:bCs/>
          <w:sz w:val="22"/>
          <w:szCs w:val="22"/>
        </w:rPr>
        <w:t xml:space="preserve">aś mieszkaniowych </w:t>
      </w:r>
      <w:r w:rsidR="00391FD2" w:rsidRPr="00761B06">
        <w:rPr>
          <w:rFonts w:eastAsiaTheme="majorEastAsia" w:cstheme="majorBidi"/>
          <w:b/>
          <w:bCs/>
          <w:sz w:val="22"/>
          <w:szCs w:val="22"/>
        </w:rPr>
        <w:t>124</w:t>
      </w:r>
      <w:r w:rsidRPr="00761B06">
        <w:rPr>
          <w:rFonts w:eastAsiaTheme="majorEastAsia" w:cstheme="majorBidi"/>
          <w:b/>
          <w:bCs/>
          <w:sz w:val="22"/>
          <w:szCs w:val="22"/>
        </w:rPr>
        <w:t>,</w:t>
      </w:r>
      <w:r w:rsidR="00391FD2" w:rsidRPr="00761B06">
        <w:rPr>
          <w:rFonts w:eastAsiaTheme="majorEastAsia" w:cstheme="majorBidi"/>
          <w:b/>
          <w:bCs/>
          <w:sz w:val="22"/>
          <w:szCs w:val="22"/>
        </w:rPr>
        <w:t>7</w:t>
      </w:r>
      <w:r w:rsidRPr="00761B06">
        <w:rPr>
          <w:rFonts w:eastAsiaTheme="majorEastAsia" w:cstheme="majorBidi"/>
          <w:b/>
          <w:bCs/>
          <w:sz w:val="22"/>
          <w:szCs w:val="22"/>
        </w:rPr>
        <w:t xml:space="preserve"> tys. na kwotę </w:t>
      </w:r>
      <w:r w:rsidR="00391FD2" w:rsidRPr="00761B06">
        <w:rPr>
          <w:rFonts w:eastAsiaTheme="majorEastAsia" w:cstheme="majorBidi"/>
          <w:b/>
          <w:bCs/>
          <w:sz w:val="22"/>
          <w:szCs w:val="22"/>
        </w:rPr>
        <w:t>3</w:t>
      </w:r>
      <w:r w:rsidRPr="00761B06">
        <w:rPr>
          <w:rFonts w:eastAsiaTheme="majorEastAsia" w:cstheme="majorBidi"/>
          <w:b/>
          <w:bCs/>
          <w:sz w:val="22"/>
          <w:szCs w:val="22"/>
        </w:rPr>
        <w:t>6,</w:t>
      </w:r>
      <w:r w:rsidR="00391FD2" w:rsidRPr="00761B06">
        <w:rPr>
          <w:rFonts w:eastAsiaTheme="majorEastAsia" w:cstheme="majorBidi"/>
          <w:b/>
          <w:bCs/>
          <w:sz w:val="22"/>
          <w:szCs w:val="22"/>
        </w:rPr>
        <w:t>028</w:t>
      </w:r>
      <w:r w:rsidRPr="00761B06">
        <w:rPr>
          <w:rFonts w:eastAsiaTheme="majorEastAsia" w:cstheme="majorBidi"/>
          <w:b/>
          <w:bCs/>
          <w:sz w:val="22"/>
          <w:szCs w:val="22"/>
        </w:rPr>
        <w:t xml:space="preserve"> mld zł.</w:t>
      </w:r>
    </w:p>
    <w:bookmarkEnd w:id="0"/>
    <w:p w14:paraId="20632A1B" w14:textId="33239C6B" w:rsidR="002812B8" w:rsidRDefault="009F4CA6" w:rsidP="0090612A">
      <w:pPr>
        <w:pStyle w:val="Nagwek2"/>
        <w:tabs>
          <w:tab w:val="left" w:pos="5370"/>
        </w:tabs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Prezentujemy</w:t>
      </w:r>
      <w:r w:rsidR="00AC74F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34ACD">
        <w:rPr>
          <w:rFonts w:asciiTheme="minorHAnsi" w:hAnsiTheme="minorHAnsi"/>
          <w:color w:val="auto"/>
          <w:sz w:val="22"/>
          <w:szCs w:val="22"/>
        </w:rPr>
        <w:t xml:space="preserve">kolejny </w:t>
      </w:r>
      <w:r w:rsidR="00890711">
        <w:rPr>
          <w:rFonts w:asciiTheme="minorHAnsi" w:hAnsiTheme="minorHAnsi"/>
          <w:color w:val="auto"/>
          <w:sz w:val="22"/>
          <w:szCs w:val="22"/>
        </w:rPr>
        <w:t>Newsletter</w:t>
      </w:r>
      <w:r w:rsidR="002812B8">
        <w:rPr>
          <w:rFonts w:asciiTheme="minorHAnsi" w:hAnsiTheme="minorHAnsi"/>
          <w:color w:val="auto"/>
          <w:sz w:val="22"/>
          <w:szCs w:val="22"/>
        </w:rPr>
        <w:t xml:space="preserve"> kredytowy</w:t>
      </w:r>
      <w:r w:rsidR="00890711">
        <w:rPr>
          <w:rFonts w:asciiTheme="minorHAnsi" w:hAnsiTheme="minorHAnsi"/>
          <w:color w:val="auto"/>
          <w:sz w:val="22"/>
          <w:szCs w:val="22"/>
        </w:rPr>
        <w:t xml:space="preserve"> BIK,</w:t>
      </w:r>
      <w:r w:rsidR="002812B8">
        <w:rPr>
          <w:rFonts w:asciiTheme="minorHAnsi" w:hAnsiTheme="minorHAnsi"/>
          <w:color w:val="auto"/>
          <w:sz w:val="22"/>
          <w:szCs w:val="22"/>
        </w:rPr>
        <w:t xml:space="preserve"> obejmujący </w:t>
      </w:r>
      <w:r w:rsidR="00466CA3">
        <w:rPr>
          <w:rFonts w:asciiTheme="minorHAnsi" w:hAnsiTheme="minorHAnsi"/>
          <w:color w:val="auto"/>
          <w:sz w:val="22"/>
          <w:szCs w:val="22"/>
        </w:rPr>
        <w:t xml:space="preserve">pełen miesiąc </w:t>
      </w:r>
      <w:r w:rsidR="00B34ACD">
        <w:rPr>
          <w:rFonts w:asciiTheme="minorHAnsi" w:hAnsiTheme="minorHAnsi"/>
          <w:color w:val="auto"/>
          <w:sz w:val="22"/>
          <w:szCs w:val="22"/>
        </w:rPr>
        <w:t>odmrażania gospodarki</w:t>
      </w:r>
      <w:r w:rsidR="0042619B">
        <w:rPr>
          <w:rFonts w:asciiTheme="minorHAnsi" w:hAnsiTheme="minorHAnsi"/>
          <w:color w:val="auto"/>
          <w:sz w:val="22"/>
          <w:szCs w:val="22"/>
        </w:rPr>
        <w:t xml:space="preserve">, po </w:t>
      </w:r>
      <w:r w:rsidR="0042619B">
        <w:rPr>
          <w:rFonts w:asciiTheme="minorHAnsi" w:hAnsiTheme="minorHAnsi"/>
          <w:color w:val="auto"/>
          <w:sz w:val="22"/>
          <w:szCs w:val="22"/>
        </w:rPr>
        <w:t>lockdownie</w:t>
      </w:r>
      <w:r w:rsidR="002812B8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B34ACD">
        <w:rPr>
          <w:rFonts w:asciiTheme="minorHAnsi" w:hAnsiTheme="minorHAnsi"/>
          <w:color w:val="auto"/>
          <w:sz w:val="22"/>
          <w:szCs w:val="22"/>
        </w:rPr>
        <w:t xml:space="preserve">Nadal </w:t>
      </w:r>
      <w:r>
        <w:rPr>
          <w:rFonts w:asciiTheme="minorHAnsi" w:hAnsiTheme="minorHAnsi"/>
          <w:color w:val="auto"/>
          <w:sz w:val="22"/>
          <w:szCs w:val="22"/>
        </w:rPr>
        <w:t xml:space="preserve">m.in. sektor finansowy znajduje się w </w:t>
      </w:r>
      <w:r w:rsidR="00B34ACD">
        <w:rPr>
          <w:rFonts w:asciiTheme="minorHAnsi" w:hAnsiTheme="minorHAnsi"/>
          <w:color w:val="auto"/>
          <w:sz w:val="22"/>
          <w:szCs w:val="22"/>
        </w:rPr>
        <w:t>sytuacj</w:t>
      </w:r>
      <w:r>
        <w:rPr>
          <w:rFonts w:asciiTheme="minorHAnsi" w:hAnsiTheme="minorHAnsi"/>
          <w:color w:val="auto"/>
          <w:sz w:val="22"/>
          <w:szCs w:val="22"/>
        </w:rPr>
        <w:t>i</w:t>
      </w:r>
      <w:r w:rsidR="00B34ACD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 xml:space="preserve">nadzwyczajnej, dlatego dla analizy BIK istotne są poniższe </w:t>
      </w:r>
      <w:r w:rsidR="002812B8">
        <w:rPr>
          <w:rFonts w:asciiTheme="minorHAnsi" w:hAnsiTheme="minorHAnsi"/>
          <w:color w:val="auto"/>
          <w:sz w:val="22"/>
          <w:szCs w:val="22"/>
        </w:rPr>
        <w:t>uwagi</w:t>
      </w:r>
      <w:r w:rsidR="00466CA3">
        <w:rPr>
          <w:rFonts w:asciiTheme="minorHAnsi" w:hAnsiTheme="minorHAnsi"/>
          <w:color w:val="auto"/>
          <w:sz w:val="22"/>
          <w:szCs w:val="22"/>
        </w:rPr>
        <w:t xml:space="preserve"> metodyczne</w:t>
      </w:r>
      <w:r w:rsidR="002812B8">
        <w:rPr>
          <w:rFonts w:asciiTheme="minorHAnsi" w:hAnsiTheme="minorHAnsi"/>
          <w:color w:val="auto"/>
          <w:sz w:val="22"/>
          <w:szCs w:val="22"/>
        </w:rPr>
        <w:t>:</w:t>
      </w:r>
    </w:p>
    <w:p w14:paraId="17531764" w14:textId="7834941A" w:rsidR="002812B8" w:rsidRPr="00127BE1" w:rsidRDefault="002812B8" w:rsidP="002812B8">
      <w:pPr>
        <w:jc w:val="both"/>
        <w:rPr>
          <w:sz w:val="22"/>
          <w:szCs w:val="22"/>
        </w:rPr>
      </w:pPr>
      <w:r w:rsidRPr="00127BE1">
        <w:rPr>
          <w:sz w:val="22"/>
          <w:szCs w:val="22"/>
        </w:rPr>
        <w:t>Po pierwsze</w:t>
      </w:r>
      <w:r w:rsidR="00756552" w:rsidRPr="00127BE1">
        <w:rPr>
          <w:sz w:val="22"/>
          <w:szCs w:val="22"/>
        </w:rPr>
        <w:t>,</w:t>
      </w:r>
      <w:r w:rsidRPr="00127BE1">
        <w:rPr>
          <w:sz w:val="22"/>
          <w:szCs w:val="22"/>
        </w:rPr>
        <w:t xml:space="preserve"> </w:t>
      </w:r>
      <w:r w:rsidR="00655BF1" w:rsidRPr="00127BE1">
        <w:rPr>
          <w:sz w:val="22"/>
          <w:szCs w:val="22"/>
        </w:rPr>
        <w:t xml:space="preserve">należy wziąć pod uwagę, iż </w:t>
      </w:r>
      <w:r w:rsidRPr="00127BE1">
        <w:rPr>
          <w:sz w:val="22"/>
          <w:szCs w:val="22"/>
        </w:rPr>
        <w:t xml:space="preserve">kredyty konsumpcyjne oraz karty kredytowe są procesowane bardzo szybko od złożenia wniosku przez klienta lub oferty przez bank. </w:t>
      </w:r>
      <w:r w:rsidR="00655BF1" w:rsidRPr="00127BE1">
        <w:rPr>
          <w:sz w:val="22"/>
          <w:szCs w:val="22"/>
        </w:rPr>
        <w:t>W</w:t>
      </w:r>
      <w:r w:rsidR="00AC74F8" w:rsidRPr="00127BE1">
        <w:rPr>
          <w:sz w:val="22"/>
          <w:szCs w:val="22"/>
        </w:rPr>
        <w:t xml:space="preserve"> przypadku tych produktów</w:t>
      </w:r>
      <w:r w:rsidR="00890711" w:rsidRPr="00127BE1">
        <w:rPr>
          <w:sz w:val="22"/>
          <w:szCs w:val="22"/>
        </w:rPr>
        <w:t xml:space="preserve">, </w:t>
      </w:r>
      <w:r w:rsidR="00B34ACD" w:rsidRPr="00127BE1">
        <w:rPr>
          <w:sz w:val="22"/>
          <w:szCs w:val="22"/>
        </w:rPr>
        <w:t>lipcowa</w:t>
      </w:r>
      <w:r w:rsidR="00AC74F8" w:rsidRPr="00127BE1">
        <w:rPr>
          <w:sz w:val="22"/>
          <w:szCs w:val="22"/>
        </w:rPr>
        <w:t xml:space="preserve"> sprzedaż jest związana z wnioskami składanymi w </w:t>
      </w:r>
      <w:r w:rsidR="00B34ACD" w:rsidRPr="00127BE1">
        <w:rPr>
          <w:sz w:val="22"/>
          <w:szCs w:val="22"/>
        </w:rPr>
        <w:t>czerwcu i lipcu</w:t>
      </w:r>
      <w:r w:rsidR="00655BF1" w:rsidRPr="00127BE1">
        <w:rPr>
          <w:sz w:val="22"/>
          <w:szCs w:val="22"/>
        </w:rPr>
        <w:t xml:space="preserve"> br.</w:t>
      </w:r>
      <w:r w:rsidR="00890711" w:rsidRPr="00127BE1">
        <w:rPr>
          <w:sz w:val="22"/>
          <w:szCs w:val="22"/>
        </w:rPr>
        <w:t>, c</w:t>
      </w:r>
      <w:r w:rsidR="00AC74F8" w:rsidRPr="00127BE1">
        <w:rPr>
          <w:sz w:val="22"/>
          <w:szCs w:val="22"/>
        </w:rPr>
        <w:t xml:space="preserve">zyli już w okresie </w:t>
      </w:r>
      <w:r w:rsidR="00890711" w:rsidRPr="00127BE1">
        <w:rPr>
          <w:sz w:val="22"/>
          <w:szCs w:val="22"/>
        </w:rPr>
        <w:t xml:space="preserve">odmrażania </w:t>
      </w:r>
      <w:r w:rsidR="00AC74F8" w:rsidRPr="00127BE1">
        <w:rPr>
          <w:sz w:val="22"/>
          <w:szCs w:val="22"/>
        </w:rPr>
        <w:t xml:space="preserve">gospodarki. </w:t>
      </w:r>
      <w:r w:rsidRPr="00127BE1">
        <w:rPr>
          <w:sz w:val="22"/>
          <w:szCs w:val="22"/>
        </w:rPr>
        <w:t xml:space="preserve">Natomiast kredyty mieszkaniowe są procesowane </w:t>
      </w:r>
      <w:r w:rsidR="00C8324F" w:rsidRPr="00127BE1">
        <w:rPr>
          <w:sz w:val="22"/>
          <w:szCs w:val="22"/>
        </w:rPr>
        <w:t xml:space="preserve">dłużej, nawet do </w:t>
      </w:r>
      <w:r w:rsidR="007652FF" w:rsidRPr="00127BE1">
        <w:rPr>
          <w:sz w:val="22"/>
          <w:szCs w:val="22"/>
        </w:rPr>
        <w:t>dwóch</w:t>
      </w:r>
      <w:r w:rsidRPr="00127BE1">
        <w:rPr>
          <w:sz w:val="22"/>
          <w:szCs w:val="22"/>
        </w:rPr>
        <w:t xml:space="preserve"> m</w:t>
      </w:r>
      <w:r w:rsidR="00756552" w:rsidRPr="00127BE1">
        <w:rPr>
          <w:sz w:val="22"/>
          <w:szCs w:val="22"/>
        </w:rPr>
        <w:t>ie</w:t>
      </w:r>
      <w:r w:rsidRPr="00127BE1">
        <w:rPr>
          <w:sz w:val="22"/>
          <w:szCs w:val="22"/>
        </w:rPr>
        <w:t>s</w:t>
      </w:r>
      <w:r w:rsidR="00756552" w:rsidRPr="00127BE1">
        <w:rPr>
          <w:sz w:val="22"/>
          <w:szCs w:val="22"/>
        </w:rPr>
        <w:t>i</w:t>
      </w:r>
      <w:r w:rsidR="00AD6A0D" w:rsidRPr="00127BE1">
        <w:rPr>
          <w:sz w:val="22"/>
          <w:szCs w:val="22"/>
        </w:rPr>
        <w:t>ę</w:t>
      </w:r>
      <w:r w:rsidRPr="00127BE1">
        <w:rPr>
          <w:sz w:val="22"/>
          <w:szCs w:val="22"/>
        </w:rPr>
        <w:t>c</w:t>
      </w:r>
      <w:r w:rsidR="007652FF" w:rsidRPr="00127BE1">
        <w:rPr>
          <w:sz w:val="22"/>
          <w:szCs w:val="22"/>
        </w:rPr>
        <w:t>y</w:t>
      </w:r>
      <w:r w:rsidR="00890711" w:rsidRPr="00127BE1">
        <w:rPr>
          <w:sz w:val="22"/>
          <w:szCs w:val="22"/>
        </w:rPr>
        <w:t>, zatem</w:t>
      </w:r>
      <w:r w:rsidRPr="00127BE1">
        <w:rPr>
          <w:sz w:val="22"/>
          <w:szCs w:val="22"/>
        </w:rPr>
        <w:t xml:space="preserve"> sprzedaż kredytów mieszkaniowych w </w:t>
      </w:r>
      <w:r w:rsidR="00B34ACD" w:rsidRPr="00127BE1">
        <w:rPr>
          <w:sz w:val="22"/>
          <w:szCs w:val="22"/>
        </w:rPr>
        <w:t>lipcu</w:t>
      </w:r>
      <w:r w:rsidRPr="00127BE1">
        <w:rPr>
          <w:sz w:val="22"/>
          <w:szCs w:val="22"/>
        </w:rPr>
        <w:t xml:space="preserve"> jest efektem wniosków </w:t>
      </w:r>
      <w:r w:rsidR="00BE149F" w:rsidRPr="00127BE1">
        <w:rPr>
          <w:sz w:val="22"/>
          <w:szCs w:val="22"/>
        </w:rPr>
        <w:t xml:space="preserve">składanych </w:t>
      </w:r>
      <w:r w:rsidRPr="00127BE1">
        <w:rPr>
          <w:sz w:val="22"/>
          <w:szCs w:val="22"/>
        </w:rPr>
        <w:t xml:space="preserve">w </w:t>
      </w:r>
      <w:r w:rsidR="00B34ACD" w:rsidRPr="00127BE1">
        <w:rPr>
          <w:sz w:val="22"/>
          <w:szCs w:val="22"/>
        </w:rPr>
        <w:t>maju</w:t>
      </w:r>
      <w:r w:rsidR="00196157" w:rsidRPr="00127BE1">
        <w:rPr>
          <w:sz w:val="22"/>
          <w:szCs w:val="22"/>
        </w:rPr>
        <w:t xml:space="preserve"> i </w:t>
      </w:r>
      <w:r w:rsidR="00B34ACD" w:rsidRPr="00127BE1">
        <w:rPr>
          <w:sz w:val="22"/>
          <w:szCs w:val="22"/>
        </w:rPr>
        <w:t>końcówce</w:t>
      </w:r>
      <w:r w:rsidR="00196157" w:rsidRPr="00127BE1">
        <w:rPr>
          <w:sz w:val="22"/>
          <w:szCs w:val="22"/>
        </w:rPr>
        <w:t xml:space="preserve"> </w:t>
      </w:r>
      <w:r w:rsidR="00AC74F8" w:rsidRPr="00127BE1">
        <w:rPr>
          <w:sz w:val="22"/>
          <w:szCs w:val="22"/>
        </w:rPr>
        <w:t>kwietnia</w:t>
      </w:r>
      <w:r w:rsidR="00890711" w:rsidRPr="00127BE1">
        <w:rPr>
          <w:sz w:val="22"/>
          <w:szCs w:val="22"/>
        </w:rPr>
        <w:t xml:space="preserve"> br</w:t>
      </w:r>
      <w:r w:rsidRPr="00127BE1">
        <w:rPr>
          <w:sz w:val="22"/>
          <w:szCs w:val="22"/>
        </w:rPr>
        <w:t>.</w:t>
      </w:r>
      <w:r w:rsidR="00655BF1" w:rsidRPr="00127BE1">
        <w:rPr>
          <w:sz w:val="22"/>
          <w:szCs w:val="22"/>
        </w:rPr>
        <w:t xml:space="preserve">, pochodzących z okresu </w:t>
      </w:r>
      <w:r w:rsidR="00AC74F8" w:rsidRPr="00127BE1">
        <w:rPr>
          <w:i/>
          <w:sz w:val="22"/>
          <w:szCs w:val="22"/>
        </w:rPr>
        <w:t>lockdown</w:t>
      </w:r>
      <w:r w:rsidR="00890711" w:rsidRPr="00127BE1">
        <w:rPr>
          <w:i/>
          <w:sz w:val="22"/>
          <w:szCs w:val="22"/>
        </w:rPr>
        <w:t>u</w:t>
      </w:r>
      <w:r w:rsidR="002B2D5E" w:rsidRPr="00127BE1">
        <w:rPr>
          <w:i/>
          <w:sz w:val="22"/>
          <w:szCs w:val="22"/>
        </w:rPr>
        <w:t xml:space="preserve"> </w:t>
      </w:r>
      <w:r w:rsidR="002B2D5E" w:rsidRPr="00545F95">
        <w:rPr>
          <w:sz w:val="22"/>
          <w:szCs w:val="22"/>
        </w:rPr>
        <w:t>i częściowego odmrażania</w:t>
      </w:r>
      <w:r w:rsidR="00AC74F8" w:rsidRPr="00545F95">
        <w:rPr>
          <w:sz w:val="22"/>
          <w:szCs w:val="22"/>
        </w:rPr>
        <w:t>.</w:t>
      </w:r>
    </w:p>
    <w:p w14:paraId="69B5190A" w14:textId="489896B8" w:rsidR="002812B8" w:rsidRPr="00127BE1" w:rsidRDefault="002812B8" w:rsidP="002812B8">
      <w:pPr>
        <w:jc w:val="both"/>
        <w:rPr>
          <w:sz w:val="22"/>
          <w:szCs w:val="22"/>
        </w:rPr>
      </w:pPr>
      <w:r w:rsidRPr="00127BE1">
        <w:rPr>
          <w:sz w:val="22"/>
          <w:szCs w:val="22"/>
        </w:rPr>
        <w:t xml:space="preserve">Po </w:t>
      </w:r>
      <w:r w:rsidR="00196157" w:rsidRPr="00127BE1">
        <w:rPr>
          <w:sz w:val="22"/>
          <w:szCs w:val="22"/>
        </w:rPr>
        <w:t>drugie</w:t>
      </w:r>
      <w:r w:rsidR="00756552" w:rsidRPr="00127BE1">
        <w:rPr>
          <w:sz w:val="22"/>
          <w:szCs w:val="22"/>
        </w:rPr>
        <w:t>,</w:t>
      </w:r>
      <w:r w:rsidRPr="00127BE1">
        <w:rPr>
          <w:sz w:val="22"/>
          <w:szCs w:val="22"/>
        </w:rPr>
        <w:t xml:space="preserve"> problemy ze spłacaniem kredytów w wyniku pandemii nie mogł</w:t>
      </w:r>
      <w:r w:rsidR="00BE149F" w:rsidRPr="00127BE1">
        <w:rPr>
          <w:sz w:val="22"/>
          <w:szCs w:val="22"/>
        </w:rPr>
        <w:t>y</w:t>
      </w:r>
      <w:r w:rsidRPr="00127BE1">
        <w:rPr>
          <w:sz w:val="22"/>
          <w:szCs w:val="22"/>
        </w:rPr>
        <w:t xml:space="preserve"> się jeszcze </w:t>
      </w:r>
      <w:r w:rsidR="007652FF" w:rsidRPr="00127BE1">
        <w:rPr>
          <w:sz w:val="22"/>
          <w:szCs w:val="22"/>
        </w:rPr>
        <w:t xml:space="preserve">w pełni </w:t>
      </w:r>
      <w:r w:rsidRPr="00127BE1">
        <w:rPr>
          <w:sz w:val="22"/>
          <w:szCs w:val="22"/>
        </w:rPr>
        <w:t>zmaterializować w odczytach Indeks</w:t>
      </w:r>
      <w:r w:rsidR="00756552" w:rsidRPr="00127BE1">
        <w:rPr>
          <w:sz w:val="22"/>
          <w:szCs w:val="22"/>
        </w:rPr>
        <w:t>ów Jakości</w:t>
      </w:r>
      <w:r w:rsidRPr="00127BE1">
        <w:rPr>
          <w:sz w:val="22"/>
          <w:szCs w:val="22"/>
        </w:rPr>
        <w:t>, ponieważ Indeksy obejmują opóźnienia pow</w:t>
      </w:r>
      <w:r w:rsidR="00756552" w:rsidRPr="00127BE1">
        <w:rPr>
          <w:sz w:val="22"/>
          <w:szCs w:val="22"/>
        </w:rPr>
        <w:t>yżej</w:t>
      </w:r>
      <w:r w:rsidR="00A85A18" w:rsidRPr="00127BE1">
        <w:rPr>
          <w:sz w:val="22"/>
          <w:szCs w:val="22"/>
        </w:rPr>
        <w:t xml:space="preserve"> 90 dni. </w:t>
      </w:r>
      <w:r w:rsidR="002F1EA6" w:rsidRPr="00127BE1">
        <w:rPr>
          <w:sz w:val="22"/>
          <w:szCs w:val="22"/>
        </w:rPr>
        <w:t>Dodatkowo</w:t>
      </w:r>
      <w:r w:rsidR="00A85A18" w:rsidRPr="00127BE1">
        <w:rPr>
          <w:sz w:val="22"/>
          <w:szCs w:val="22"/>
        </w:rPr>
        <w:t xml:space="preserve"> część kredytobiorców</w:t>
      </w:r>
      <w:r w:rsidR="00167C82" w:rsidRPr="00127BE1">
        <w:rPr>
          <w:sz w:val="22"/>
          <w:szCs w:val="22"/>
        </w:rPr>
        <w:t>, z powodu sytuacji wywołanej COVID – 19,</w:t>
      </w:r>
      <w:r w:rsidR="00A85A18" w:rsidRPr="00127BE1">
        <w:rPr>
          <w:sz w:val="22"/>
          <w:szCs w:val="22"/>
        </w:rPr>
        <w:t xml:space="preserve"> </w:t>
      </w:r>
      <w:r w:rsidR="00167C82" w:rsidRPr="00127BE1">
        <w:rPr>
          <w:sz w:val="22"/>
          <w:szCs w:val="22"/>
        </w:rPr>
        <w:t>skorzystała z bankowego wsparcia o okresowym odroczeniu spłaty rat kredytowych.</w:t>
      </w:r>
      <w:r w:rsidR="00B34ACD" w:rsidRPr="00127BE1">
        <w:rPr>
          <w:sz w:val="22"/>
          <w:szCs w:val="22"/>
        </w:rPr>
        <w:t xml:space="preserve"> Część odroczeń spłat </w:t>
      </w:r>
      <w:r w:rsidR="00744C42" w:rsidRPr="00127BE1">
        <w:rPr>
          <w:sz w:val="22"/>
          <w:szCs w:val="22"/>
        </w:rPr>
        <w:t xml:space="preserve">już </w:t>
      </w:r>
      <w:r w:rsidR="00B34ACD" w:rsidRPr="00127BE1">
        <w:rPr>
          <w:sz w:val="22"/>
          <w:szCs w:val="22"/>
        </w:rPr>
        <w:t xml:space="preserve">się zakończyła. Będziemy więc uważnie obserwować zachowanie tych rachunków. </w:t>
      </w:r>
    </w:p>
    <w:p w14:paraId="638E79EF" w14:textId="77777777" w:rsidR="009A0E92" w:rsidRPr="00D01109" w:rsidRDefault="00C20849" w:rsidP="001B04E9">
      <w:pPr>
        <w:pStyle w:val="Nagwek2"/>
        <w:tabs>
          <w:tab w:val="left" w:pos="5370"/>
        </w:tabs>
        <w:jc w:val="both"/>
        <w:rPr>
          <w:rFonts w:asciiTheme="minorHAnsi" w:hAnsiTheme="minorHAnsi"/>
          <w:color w:val="auto"/>
          <w:sz w:val="22"/>
          <w:szCs w:val="22"/>
        </w:rPr>
      </w:pPr>
      <w:r w:rsidRPr="00D01109">
        <w:rPr>
          <w:rFonts w:asciiTheme="minorHAnsi" w:hAnsiTheme="minorHAnsi"/>
          <w:color w:val="auto"/>
          <w:sz w:val="22"/>
          <w:szCs w:val="22"/>
        </w:rPr>
        <w:t xml:space="preserve">Kredyty </w:t>
      </w:r>
      <w:r w:rsidR="00650982" w:rsidRPr="00D01109">
        <w:rPr>
          <w:rFonts w:asciiTheme="minorHAnsi" w:hAnsiTheme="minorHAnsi"/>
          <w:color w:val="auto"/>
          <w:sz w:val="22"/>
          <w:szCs w:val="22"/>
        </w:rPr>
        <w:t>gotówkowe i ratalne</w:t>
      </w:r>
      <w:r w:rsidR="001B04E9">
        <w:rPr>
          <w:rFonts w:asciiTheme="minorHAnsi" w:hAnsiTheme="minorHAnsi"/>
          <w:color w:val="auto"/>
          <w:sz w:val="22"/>
          <w:szCs w:val="22"/>
        </w:rPr>
        <w:tab/>
      </w:r>
    </w:p>
    <w:p w14:paraId="6BE8B5D7" w14:textId="5622E771" w:rsidR="00B2451B" w:rsidRPr="00883EE2" w:rsidRDefault="00650982" w:rsidP="00B2451B">
      <w:pPr>
        <w:pStyle w:val="Akapitzlist"/>
        <w:ind w:left="34"/>
        <w:contextualSpacing w:val="0"/>
        <w:jc w:val="both"/>
        <w:rPr>
          <w:i/>
          <w:sz w:val="22"/>
          <w:szCs w:val="22"/>
        </w:rPr>
      </w:pPr>
      <w:r w:rsidRPr="00227C95">
        <w:rPr>
          <w:i/>
          <w:sz w:val="22"/>
          <w:szCs w:val="22"/>
        </w:rPr>
        <w:t xml:space="preserve">- </w:t>
      </w:r>
      <w:r w:rsidR="00703472" w:rsidRPr="00227C95">
        <w:rPr>
          <w:i/>
          <w:sz w:val="22"/>
          <w:szCs w:val="22"/>
        </w:rPr>
        <w:t xml:space="preserve">W </w:t>
      </w:r>
      <w:r w:rsidR="009A5F0A">
        <w:rPr>
          <w:i/>
          <w:sz w:val="22"/>
          <w:szCs w:val="22"/>
        </w:rPr>
        <w:t>okresie styczeń</w:t>
      </w:r>
      <w:r w:rsidR="00213A96">
        <w:rPr>
          <w:i/>
          <w:sz w:val="22"/>
          <w:szCs w:val="22"/>
        </w:rPr>
        <w:t xml:space="preserve"> </w:t>
      </w:r>
      <w:r w:rsidR="009A5F0A">
        <w:rPr>
          <w:i/>
          <w:sz w:val="22"/>
          <w:szCs w:val="22"/>
        </w:rPr>
        <w:t>-</w:t>
      </w:r>
      <w:r w:rsidR="00213A96">
        <w:rPr>
          <w:i/>
          <w:sz w:val="22"/>
          <w:szCs w:val="22"/>
        </w:rPr>
        <w:t xml:space="preserve"> </w:t>
      </w:r>
      <w:r w:rsidR="002A7370">
        <w:rPr>
          <w:i/>
          <w:sz w:val="22"/>
          <w:szCs w:val="22"/>
        </w:rPr>
        <w:t>lipiec</w:t>
      </w:r>
      <w:r w:rsidR="00142C25">
        <w:rPr>
          <w:i/>
          <w:sz w:val="22"/>
          <w:szCs w:val="22"/>
        </w:rPr>
        <w:t xml:space="preserve"> 2020</w:t>
      </w:r>
      <w:r w:rsidR="00703472" w:rsidRPr="00227C95">
        <w:rPr>
          <w:i/>
          <w:sz w:val="22"/>
          <w:szCs w:val="22"/>
        </w:rPr>
        <w:t xml:space="preserve"> r. </w:t>
      </w:r>
      <w:r w:rsidR="00142C25">
        <w:rPr>
          <w:i/>
          <w:sz w:val="22"/>
          <w:szCs w:val="22"/>
        </w:rPr>
        <w:t>ujemne</w:t>
      </w:r>
      <w:r w:rsidR="00E9439D" w:rsidRPr="00227C95">
        <w:rPr>
          <w:i/>
          <w:sz w:val="22"/>
          <w:szCs w:val="22"/>
        </w:rPr>
        <w:t xml:space="preserve"> dynamiki </w:t>
      </w:r>
      <w:r w:rsidR="00CF1FEE">
        <w:rPr>
          <w:i/>
          <w:sz w:val="22"/>
          <w:szCs w:val="22"/>
        </w:rPr>
        <w:t xml:space="preserve">zarówno </w:t>
      </w:r>
      <w:r w:rsidR="00E9439D" w:rsidRPr="00227C95">
        <w:rPr>
          <w:i/>
          <w:sz w:val="22"/>
          <w:szCs w:val="22"/>
        </w:rPr>
        <w:t>liczby</w:t>
      </w:r>
      <w:r w:rsidR="00B2451B">
        <w:rPr>
          <w:i/>
          <w:sz w:val="22"/>
          <w:szCs w:val="22"/>
        </w:rPr>
        <w:t>,</w:t>
      </w:r>
      <w:r w:rsidR="00E9439D" w:rsidRPr="00227C95">
        <w:rPr>
          <w:i/>
          <w:sz w:val="22"/>
          <w:szCs w:val="22"/>
        </w:rPr>
        <w:t xml:space="preserve"> </w:t>
      </w:r>
      <w:r w:rsidR="00CF1FEE">
        <w:rPr>
          <w:i/>
          <w:sz w:val="22"/>
          <w:szCs w:val="22"/>
        </w:rPr>
        <w:t>jak i</w:t>
      </w:r>
      <w:r w:rsidR="0050323D">
        <w:rPr>
          <w:i/>
          <w:sz w:val="22"/>
          <w:szCs w:val="22"/>
        </w:rPr>
        <w:t xml:space="preserve"> wartości </w:t>
      </w:r>
      <w:r w:rsidR="00E9439D" w:rsidRPr="00227C95">
        <w:rPr>
          <w:i/>
          <w:sz w:val="22"/>
          <w:szCs w:val="22"/>
        </w:rPr>
        <w:t xml:space="preserve">udzielonych kredytów </w:t>
      </w:r>
      <w:r w:rsidR="002A7370">
        <w:rPr>
          <w:i/>
          <w:sz w:val="22"/>
          <w:szCs w:val="22"/>
        </w:rPr>
        <w:t>gotów</w:t>
      </w:r>
      <w:r w:rsidR="002F1EA6">
        <w:rPr>
          <w:i/>
          <w:sz w:val="22"/>
          <w:szCs w:val="22"/>
        </w:rPr>
        <w:t>k</w:t>
      </w:r>
      <w:r w:rsidR="002A7370">
        <w:rPr>
          <w:i/>
          <w:sz w:val="22"/>
          <w:szCs w:val="22"/>
        </w:rPr>
        <w:t>owych</w:t>
      </w:r>
      <w:r w:rsidR="00E9439D" w:rsidRPr="00227C95">
        <w:rPr>
          <w:i/>
          <w:sz w:val="22"/>
          <w:szCs w:val="22"/>
        </w:rPr>
        <w:t xml:space="preserve"> dotyczyły </w:t>
      </w:r>
      <w:r w:rsidR="00653D79">
        <w:rPr>
          <w:i/>
          <w:sz w:val="22"/>
          <w:szCs w:val="22"/>
        </w:rPr>
        <w:t xml:space="preserve">wszystkich przedziałów </w:t>
      </w:r>
      <w:r w:rsidR="00142C25">
        <w:rPr>
          <w:i/>
          <w:sz w:val="22"/>
          <w:szCs w:val="22"/>
        </w:rPr>
        <w:t>wartości udzielanych kredytów</w:t>
      </w:r>
      <w:r w:rsidR="00653D79">
        <w:rPr>
          <w:i/>
          <w:sz w:val="22"/>
          <w:szCs w:val="22"/>
        </w:rPr>
        <w:t>. Najwyższy spadek dotyczył kredytów wysokokwotowych</w:t>
      </w:r>
      <w:r w:rsidR="00CF1FEE">
        <w:rPr>
          <w:i/>
          <w:sz w:val="22"/>
          <w:szCs w:val="22"/>
        </w:rPr>
        <w:t xml:space="preserve"> tj. </w:t>
      </w:r>
      <w:r w:rsidR="002A7370">
        <w:rPr>
          <w:i/>
          <w:sz w:val="22"/>
          <w:szCs w:val="22"/>
        </w:rPr>
        <w:t>powyżej</w:t>
      </w:r>
      <w:r w:rsidR="00B2451B">
        <w:rPr>
          <w:i/>
          <w:sz w:val="22"/>
          <w:szCs w:val="22"/>
        </w:rPr>
        <w:t xml:space="preserve"> </w:t>
      </w:r>
      <w:r w:rsidR="002A7370">
        <w:rPr>
          <w:i/>
          <w:sz w:val="22"/>
          <w:szCs w:val="22"/>
        </w:rPr>
        <w:t>5</w:t>
      </w:r>
      <w:r w:rsidR="00B2451B">
        <w:rPr>
          <w:i/>
          <w:sz w:val="22"/>
          <w:szCs w:val="22"/>
        </w:rPr>
        <w:t>0 tys. zł (-</w:t>
      </w:r>
      <w:r w:rsidR="007652FF">
        <w:rPr>
          <w:i/>
          <w:sz w:val="22"/>
          <w:szCs w:val="22"/>
        </w:rPr>
        <w:t>3</w:t>
      </w:r>
      <w:r w:rsidR="002A7370">
        <w:rPr>
          <w:i/>
          <w:sz w:val="22"/>
          <w:szCs w:val="22"/>
        </w:rPr>
        <w:t>6</w:t>
      </w:r>
      <w:r w:rsidR="00653D79">
        <w:rPr>
          <w:i/>
          <w:sz w:val="22"/>
          <w:szCs w:val="22"/>
        </w:rPr>
        <w:t>,</w:t>
      </w:r>
      <w:r w:rsidR="00444E30">
        <w:rPr>
          <w:i/>
          <w:sz w:val="22"/>
          <w:szCs w:val="22"/>
        </w:rPr>
        <w:t>3</w:t>
      </w:r>
      <w:r w:rsidR="00B2451B">
        <w:rPr>
          <w:i/>
          <w:sz w:val="22"/>
          <w:szCs w:val="22"/>
        </w:rPr>
        <w:t>%</w:t>
      </w:r>
      <w:r w:rsidR="00027897">
        <w:rPr>
          <w:i/>
          <w:sz w:val="22"/>
          <w:szCs w:val="22"/>
        </w:rPr>
        <w:t>)</w:t>
      </w:r>
      <w:r w:rsidR="00B2451B">
        <w:rPr>
          <w:i/>
          <w:sz w:val="22"/>
          <w:szCs w:val="22"/>
        </w:rPr>
        <w:t xml:space="preserve"> liczbowo oraz</w:t>
      </w:r>
      <w:r w:rsidR="00CF1FEE">
        <w:rPr>
          <w:i/>
          <w:sz w:val="22"/>
          <w:szCs w:val="22"/>
        </w:rPr>
        <w:t xml:space="preserve"> </w:t>
      </w:r>
      <w:r w:rsidR="00027897">
        <w:rPr>
          <w:i/>
          <w:sz w:val="22"/>
          <w:szCs w:val="22"/>
        </w:rPr>
        <w:t>(</w:t>
      </w:r>
      <w:r w:rsidR="00CF1FEE">
        <w:rPr>
          <w:i/>
          <w:sz w:val="22"/>
          <w:szCs w:val="22"/>
        </w:rPr>
        <w:t>-</w:t>
      </w:r>
      <w:r w:rsidR="00444E30">
        <w:rPr>
          <w:i/>
          <w:sz w:val="22"/>
          <w:szCs w:val="22"/>
        </w:rPr>
        <w:t>3</w:t>
      </w:r>
      <w:r w:rsidR="002A7370">
        <w:rPr>
          <w:i/>
          <w:sz w:val="22"/>
          <w:szCs w:val="22"/>
        </w:rPr>
        <w:t>8</w:t>
      </w:r>
      <w:r w:rsidR="00CF1FEE">
        <w:rPr>
          <w:i/>
          <w:sz w:val="22"/>
          <w:szCs w:val="22"/>
        </w:rPr>
        <w:t>,</w:t>
      </w:r>
      <w:r w:rsidR="00444E30">
        <w:rPr>
          <w:i/>
          <w:sz w:val="22"/>
          <w:szCs w:val="22"/>
        </w:rPr>
        <w:t>1</w:t>
      </w:r>
      <w:r w:rsidR="00CF1FEE">
        <w:rPr>
          <w:i/>
          <w:sz w:val="22"/>
          <w:szCs w:val="22"/>
        </w:rPr>
        <w:t>%</w:t>
      </w:r>
      <w:r w:rsidR="00027897">
        <w:rPr>
          <w:i/>
          <w:sz w:val="22"/>
          <w:szCs w:val="22"/>
        </w:rPr>
        <w:t>) wartościowo</w:t>
      </w:r>
      <w:r w:rsidR="00D17A95">
        <w:rPr>
          <w:i/>
          <w:sz w:val="22"/>
          <w:szCs w:val="22"/>
        </w:rPr>
        <w:t>.</w:t>
      </w:r>
      <w:r w:rsidR="00653D79">
        <w:rPr>
          <w:i/>
          <w:sz w:val="22"/>
          <w:szCs w:val="22"/>
        </w:rPr>
        <w:t xml:space="preserve"> </w:t>
      </w:r>
      <w:r w:rsidR="009542D9">
        <w:rPr>
          <w:i/>
          <w:sz w:val="22"/>
          <w:szCs w:val="22"/>
        </w:rPr>
        <w:t xml:space="preserve">Obserwowaliśmy już to zjawisko </w:t>
      </w:r>
      <w:r w:rsidR="002A7370">
        <w:rPr>
          <w:i/>
          <w:sz w:val="22"/>
          <w:szCs w:val="22"/>
        </w:rPr>
        <w:t>od samego początku lockdownu</w:t>
      </w:r>
      <w:r w:rsidR="009542D9">
        <w:rPr>
          <w:i/>
          <w:sz w:val="22"/>
          <w:szCs w:val="22"/>
        </w:rPr>
        <w:t>.</w:t>
      </w:r>
      <w:r w:rsidR="00E74C60">
        <w:rPr>
          <w:i/>
          <w:sz w:val="22"/>
          <w:szCs w:val="22"/>
        </w:rPr>
        <w:t xml:space="preserve"> </w:t>
      </w:r>
      <w:r w:rsidR="00653D79">
        <w:rPr>
          <w:i/>
          <w:sz w:val="22"/>
          <w:szCs w:val="22"/>
        </w:rPr>
        <w:t>Co ciekawe</w:t>
      </w:r>
      <w:r w:rsidR="00213A96">
        <w:rPr>
          <w:i/>
          <w:sz w:val="22"/>
          <w:szCs w:val="22"/>
        </w:rPr>
        <w:t>,</w:t>
      </w:r>
      <w:r w:rsidR="00653D79">
        <w:rPr>
          <w:i/>
          <w:sz w:val="22"/>
          <w:szCs w:val="22"/>
        </w:rPr>
        <w:t xml:space="preserve"> </w:t>
      </w:r>
      <w:r w:rsidR="00E82A36">
        <w:rPr>
          <w:i/>
          <w:sz w:val="22"/>
          <w:szCs w:val="22"/>
        </w:rPr>
        <w:t>niższ</w:t>
      </w:r>
      <w:r w:rsidR="00EB0410">
        <w:rPr>
          <w:i/>
          <w:sz w:val="22"/>
          <w:szCs w:val="22"/>
        </w:rPr>
        <w:t>a</w:t>
      </w:r>
      <w:r w:rsidR="00653D79">
        <w:rPr>
          <w:i/>
          <w:sz w:val="22"/>
          <w:szCs w:val="22"/>
        </w:rPr>
        <w:t xml:space="preserve"> u</w:t>
      </w:r>
      <w:r w:rsidR="00254F83">
        <w:rPr>
          <w:i/>
          <w:sz w:val="22"/>
          <w:szCs w:val="22"/>
        </w:rPr>
        <w:t xml:space="preserve">jemna dynamika </w:t>
      </w:r>
      <w:r w:rsidR="00653D79">
        <w:rPr>
          <w:i/>
          <w:sz w:val="22"/>
          <w:szCs w:val="22"/>
        </w:rPr>
        <w:t>dotyczyła</w:t>
      </w:r>
      <w:r w:rsidR="00CF1FEE">
        <w:rPr>
          <w:i/>
          <w:sz w:val="22"/>
          <w:szCs w:val="22"/>
        </w:rPr>
        <w:t xml:space="preserve"> </w:t>
      </w:r>
      <w:r w:rsidR="00254F83">
        <w:rPr>
          <w:i/>
          <w:sz w:val="22"/>
          <w:szCs w:val="22"/>
        </w:rPr>
        <w:t>kredyt</w:t>
      </w:r>
      <w:r w:rsidR="00653D79">
        <w:rPr>
          <w:i/>
          <w:sz w:val="22"/>
          <w:szCs w:val="22"/>
        </w:rPr>
        <w:t>ów</w:t>
      </w:r>
      <w:r w:rsidR="00254F83">
        <w:rPr>
          <w:i/>
          <w:sz w:val="22"/>
          <w:szCs w:val="22"/>
        </w:rPr>
        <w:t xml:space="preserve"> </w:t>
      </w:r>
      <w:r w:rsidR="002A7370">
        <w:rPr>
          <w:i/>
          <w:sz w:val="22"/>
          <w:szCs w:val="22"/>
        </w:rPr>
        <w:t>gotówkowych</w:t>
      </w:r>
      <w:r w:rsidR="00254F83">
        <w:rPr>
          <w:i/>
          <w:sz w:val="22"/>
          <w:szCs w:val="22"/>
        </w:rPr>
        <w:t xml:space="preserve"> </w:t>
      </w:r>
      <w:r w:rsidR="00142C25">
        <w:rPr>
          <w:i/>
          <w:sz w:val="22"/>
          <w:szCs w:val="22"/>
        </w:rPr>
        <w:t>z przedziału</w:t>
      </w:r>
      <w:r w:rsidR="00254F83">
        <w:rPr>
          <w:i/>
          <w:sz w:val="22"/>
          <w:szCs w:val="22"/>
        </w:rPr>
        <w:t xml:space="preserve"> </w:t>
      </w:r>
      <w:r w:rsidR="00653D79">
        <w:rPr>
          <w:i/>
          <w:sz w:val="22"/>
          <w:szCs w:val="22"/>
        </w:rPr>
        <w:t xml:space="preserve">niskokwotowego do </w:t>
      </w:r>
      <w:r w:rsidR="00254F83">
        <w:rPr>
          <w:i/>
          <w:sz w:val="22"/>
          <w:szCs w:val="22"/>
        </w:rPr>
        <w:t>1 tys.</w:t>
      </w:r>
      <w:r w:rsidR="00256468">
        <w:rPr>
          <w:i/>
          <w:sz w:val="22"/>
          <w:szCs w:val="22"/>
        </w:rPr>
        <w:t xml:space="preserve"> zł</w:t>
      </w:r>
      <w:r w:rsidR="0019205F">
        <w:rPr>
          <w:i/>
          <w:sz w:val="22"/>
          <w:szCs w:val="22"/>
        </w:rPr>
        <w:t>:</w:t>
      </w:r>
      <w:r w:rsidR="00CB5420">
        <w:rPr>
          <w:i/>
          <w:sz w:val="22"/>
          <w:szCs w:val="22"/>
        </w:rPr>
        <w:t xml:space="preserve"> </w:t>
      </w:r>
      <w:r w:rsidR="00745FDE">
        <w:rPr>
          <w:i/>
          <w:sz w:val="22"/>
          <w:szCs w:val="22"/>
        </w:rPr>
        <w:t xml:space="preserve">liczbowo </w:t>
      </w:r>
      <w:r w:rsidR="00CB5420">
        <w:rPr>
          <w:i/>
          <w:sz w:val="22"/>
          <w:szCs w:val="22"/>
        </w:rPr>
        <w:t>(-</w:t>
      </w:r>
      <w:r w:rsidR="002A7370">
        <w:rPr>
          <w:i/>
          <w:sz w:val="22"/>
          <w:szCs w:val="22"/>
        </w:rPr>
        <w:t>11</w:t>
      </w:r>
      <w:r w:rsidR="00CB5420">
        <w:rPr>
          <w:i/>
          <w:sz w:val="22"/>
          <w:szCs w:val="22"/>
        </w:rPr>
        <w:t>,</w:t>
      </w:r>
      <w:r w:rsidR="00444E30">
        <w:rPr>
          <w:i/>
          <w:sz w:val="22"/>
          <w:szCs w:val="22"/>
        </w:rPr>
        <w:t>6</w:t>
      </w:r>
      <w:r w:rsidR="00CB5420">
        <w:rPr>
          <w:i/>
          <w:sz w:val="22"/>
          <w:szCs w:val="22"/>
        </w:rPr>
        <w:t>%)</w:t>
      </w:r>
      <w:r w:rsidR="0050323D">
        <w:rPr>
          <w:i/>
          <w:sz w:val="22"/>
          <w:szCs w:val="22"/>
        </w:rPr>
        <w:t xml:space="preserve"> oraz (</w:t>
      </w:r>
      <w:r w:rsidR="00FE4070">
        <w:rPr>
          <w:i/>
          <w:sz w:val="22"/>
          <w:szCs w:val="22"/>
        </w:rPr>
        <w:t>-</w:t>
      </w:r>
      <w:r w:rsidR="002A7370">
        <w:rPr>
          <w:i/>
          <w:sz w:val="22"/>
          <w:szCs w:val="22"/>
        </w:rPr>
        <w:t>14</w:t>
      </w:r>
      <w:r w:rsidR="00653D79">
        <w:rPr>
          <w:i/>
          <w:sz w:val="22"/>
          <w:szCs w:val="22"/>
        </w:rPr>
        <w:t>,</w:t>
      </w:r>
      <w:r w:rsidR="002A7370">
        <w:rPr>
          <w:i/>
          <w:sz w:val="22"/>
          <w:szCs w:val="22"/>
        </w:rPr>
        <w:t>1</w:t>
      </w:r>
      <w:r w:rsidR="0050323D">
        <w:rPr>
          <w:i/>
          <w:sz w:val="22"/>
          <w:szCs w:val="22"/>
        </w:rPr>
        <w:t>%) wartościowo</w:t>
      </w:r>
      <w:r w:rsidR="00142C25">
        <w:rPr>
          <w:i/>
          <w:sz w:val="22"/>
          <w:szCs w:val="22"/>
        </w:rPr>
        <w:t>.</w:t>
      </w:r>
      <w:r w:rsidR="00653D79">
        <w:rPr>
          <w:i/>
          <w:sz w:val="22"/>
          <w:szCs w:val="22"/>
        </w:rPr>
        <w:t xml:space="preserve"> </w:t>
      </w:r>
      <w:r w:rsidR="002A7370">
        <w:rPr>
          <w:i/>
          <w:sz w:val="22"/>
          <w:szCs w:val="22"/>
        </w:rPr>
        <w:t xml:space="preserve">W porównaniu do kredytów gotówkowych dużo lepiej wygląda sytuacja w przypadku </w:t>
      </w:r>
      <w:r w:rsidR="00444E30">
        <w:rPr>
          <w:i/>
          <w:sz w:val="22"/>
          <w:szCs w:val="22"/>
        </w:rPr>
        <w:t xml:space="preserve"> kredyt</w:t>
      </w:r>
      <w:r w:rsidR="00C77AA2">
        <w:rPr>
          <w:i/>
          <w:sz w:val="22"/>
          <w:szCs w:val="22"/>
        </w:rPr>
        <w:t>ów</w:t>
      </w:r>
      <w:r w:rsidR="00444E30">
        <w:rPr>
          <w:i/>
          <w:sz w:val="22"/>
          <w:szCs w:val="22"/>
        </w:rPr>
        <w:t xml:space="preserve"> rataln</w:t>
      </w:r>
      <w:r w:rsidR="00C77AA2">
        <w:rPr>
          <w:i/>
          <w:sz w:val="22"/>
          <w:szCs w:val="22"/>
        </w:rPr>
        <w:t>ych</w:t>
      </w:r>
      <w:r w:rsidR="00724D5C">
        <w:rPr>
          <w:i/>
          <w:sz w:val="22"/>
          <w:szCs w:val="22"/>
        </w:rPr>
        <w:t>.</w:t>
      </w:r>
      <w:r w:rsidR="00444E30">
        <w:rPr>
          <w:i/>
          <w:sz w:val="22"/>
          <w:szCs w:val="22"/>
        </w:rPr>
        <w:t xml:space="preserve"> </w:t>
      </w:r>
      <w:r w:rsidR="00653D79">
        <w:rPr>
          <w:i/>
          <w:sz w:val="22"/>
          <w:szCs w:val="22"/>
        </w:rPr>
        <w:t xml:space="preserve">Są one </w:t>
      </w:r>
      <w:r w:rsidR="00E74C60">
        <w:rPr>
          <w:i/>
          <w:sz w:val="22"/>
          <w:szCs w:val="22"/>
        </w:rPr>
        <w:t xml:space="preserve">dla udzielającego banku </w:t>
      </w:r>
      <w:r w:rsidR="00653D79">
        <w:rPr>
          <w:i/>
          <w:sz w:val="22"/>
          <w:szCs w:val="22"/>
        </w:rPr>
        <w:t>dużo bardziej bezpieczne od wysokokwotowych</w:t>
      </w:r>
      <w:r w:rsidR="00724D5C">
        <w:rPr>
          <w:i/>
          <w:sz w:val="22"/>
          <w:szCs w:val="22"/>
        </w:rPr>
        <w:t xml:space="preserve"> gotówkowych</w:t>
      </w:r>
      <w:r w:rsidR="00653D79">
        <w:rPr>
          <w:i/>
          <w:sz w:val="22"/>
          <w:szCs w:val="22"/>
        </w:rPr>
        <w:t xml:space="preserve">. Inny jest </w:t>
      </w:r>
      <w:r w:rsidR="00E74C60">
        <w:rPr>
          <w:i/>
          <w:sz w:val="22"/>
          <w:szCs w:val="22"/>
        </w:rPr>
        <w:t>również</w:t>
      </w:r>
      <w:r w:rsidR="00653D79">
        <w:rPr>
          <w:i/>
          <w:sz w:val="22"/>
          <w:szCs w:val="22"/>
        </w:rPr>
        <w:t xml:space="preserve"> ich charakter, </w:t>
      </w:r>
      <w:r w:rsidR="00724D5C">
        <w:rPr>
          <w:i/>
          <w:sz w:val="22"/>
          <w:szCs w:val="22"/>
        </w:rPr>
        <w:t xml:space="preserve">kredyty gotówkowe </w:t>
      </w:r>
      <w:r w:rsidR="00653D79">
        <w:rPr>
          <w:i/>
          <w:sz w:val="22"/>
          <w:szCs w:val="22"/>
        </w:rPr>
        <w:t xml:space="preserve">służą uzupełnieniu bieżącego budżetu domowego, zaś </w:t>
      </w:r>
      <w:r w:rsidR="00724D5C">
        <w:rPr>
          <w:i/>
          <w:sz w:val="22"/>
          <w:szCs w:val="22"/>
        </w:rPr>
        <w:t>ratalne</w:t>
      </w:r>
      <w:r w:rsidR="00653D79">
        <w:rPr>
          <w:i/>
          <w:sz w:val="22"/>
          <w:szCs w:val="22"/>
        </w:rPr>
        <w:t xml:space="preserve"> </w:t>
      </w:r>
      <w:r w:rsidR="00E74C60">
        <w:rPr>
          <w:i/>
          <w:sz w:val="22"/>
          <w:szCs w:val="22"/>
        </w:rPr>
        <w:t xml:space="preserve">wiążą się z </w:t>
      </w:r>
      <w:r w:rsidR="00653D79">
        <w:rPr>
          <w:i/>
          <w:sz w:val="22"/>
          <w:szCs w:val="22"/>
        </w:rPr>
        <w:t>nabywani</w:t>
      </w:r>
      <w:r w:rsidR="00E74C60">
        <w:rPr>
          <w:i/>
          <w:sz w:val="22"/>
          <w:szCs w:val="22"/>
        </w:rPr>
        <w:t>em na raty</w:t>
      </w:r>
      <w:r w:rsidR="00653D79">
        <w:rPr>
          <w:i/>
          <w:sz w:val="22"/>
          <w:szCs w:val="22"/>
        </w:rPr>
        <w:t xml:space="preserve"> dóbr konsumpcyjnych trwałego użytku</w:t>
      </w:r>
      <w:r w:rsidR="00213A96">
        <w:rPr>
          <w:i/>
          <w:sz w:val="22"/>
          <w:szCs w:val="22"/>
        </w:rPr>
        <w:t xml:space="preserve">, </w:t>
      </w:r>
      <w:r w:rsidR="00653D79">
        <w:rPr>
          <w:i/>
          <w:sz w:val="22"/>
          <w:szCs w:val="22"/>
        </w:rPr>
        <w:t>sprzętu RTV/A</w:t>
      </w:r>
      <w:r w:rsidR="00213A96">
        <w:rPr>
          <w:i/>
          <w:sz w:val="22"/>
          <w:szCs w:val="22"/>
        </w:rPr>
        <w:t>GD, innej elektroniki czy mebli</w:t>
      </w:r>
      <w:r w:rsidR="00E74C60">
        <w:rPr>
          <w:i/>
          <w:sz w:val="22"/>
          <w:szCs w:val="22"/>
        </w:rPr>
        <w:t>.</w:t>
      </w:r>
      <w:r w:rsidR="00653D79">
        <w:rPr>
          <w:i/>
          <w:sz w:val="22"/>
          <w:szCs w:val="22"/>
        </w:rPr>
        <w:t xml:space="preserve"> </w:t>
      </w:r>
      <w:r w:rsidR="00724D5C">
        <w:rPr>
          <w:i/>
          <w:sz w:val="22"/>
          <w:szCs w:val="22"/>
        </w:rPr>
        <w:t>Kredyty ratalne odnotowały dużo niższą ujemną dynamikę</w:t>
      </w:r>
      <w:r w:rsidR="00213A96">
        <w:rPr>
          <w:i/>
          <w:sz w:val="22"/>
          <w:szCs w:val="22"/>
        </w:rPr>
        <w:t xml:space="preserve"> </w:t>
      </w:r>
      <w:r w:rsidR="007142DC">
        <w:rPr>
          <w:i/>
          <w:sz w:val="22"/>
          <w:szCs w:val="22"/>
        </w:rPr>
        <w:t>styczeń</w:t>
      </w:r>
      <w:r w:rsidR="00213A96">
        <w:rPr>
          <w:i/>
          <w:sz w:val="22"/>
          <w:szCs w:val="22"/>
        </w:rPr>
        <w:t xml:space="preserve"> </w:t>
      </w:r>
      <w:r w:rsidR="007142DC">
        <w:rPr>
          <w:i/>
          <w:sz w:val="22"/>
          <w:szCs w:val="22"/>
        </w:rPr>
        <w:t>-</w:t>
      </w:r>
      <w:r w:rsidR="00213A96">
        <w:rPr>
          <w:i/>
          <w:sz w:val="22"/>
          <w:szCs w:val="22"/>
        </w:rPr>
        <w:t xml:space="preserve"> </w:t>
      </w:r>
      <w:r w:rsidR="00C77AA2">
        <w:rPr>
          <w:i/>
          <w:sz w:val="22"/>
          <w:szCs w:val="22"/>
        </w:rPr>
        <w:t>lipiec</w:t>
      </w:r>
      <w:r w:rsidR="00724D5C">
        <w:rPr>
          <w:i/>
          <w:sz w:val="22"/>
          <w:szCs w:val="22"/>
        </w:rPr>
        <w:t xml:space="preserve"> 2020</w:t>
      </w:r>
      <w:r w:rsidR="00213A96">
        <w:rPr>
          <w:i/>
          <w:sz w:val="22"/>
          <w:szCs w:val="22"/>
        </w:rPr>
        <w:t xml:space="preserve"> r.</w:t>
      </w:r>
      <w:r w:rsidR="00724D5C">
        <w:rPr>
          <w:i/>
          <w:sz w:val="22"/>
          <w:szCs w:val="22"/>
        </w:rPr>
        <w:t xml:space="preserve"> </w:t>
      </w:r>
      <w:r w:rsidR="00C77AA2">
        <w:rPr>
          <w:i/>
          <w:sz w:val="22"/>
          <w:szCs w:val="22"/>
        </w:rPr>
        <w:t xml:space="preserve">w porównaniu </w:t>
      </w:r>
      <w:r w:rsidR="00724D5C">
        <w:rPr>
          <w:i/>
          <w:sz w:val="22"/>
          <w:szCs w:val="22"/>
        </w:rPr>
        <w:t xml:space="preserve">do </w:t>
      </w:r>
      <w:r w:rsidR="007142DC">
        <w:rPr>
          <w:i/>
          <w:sz w:val="22"/>
          <w:szCs w:val="22"/>
        </w:rPr>
        <w:t xml:space="preserve">analogicznego okresu </w:t>
      </w:r>
      <w:r w:rsidR="00724D5C">
        <w:rPr>
          <w:i/>
          <w:sz w:val="22"/>
          <w:szCs w:val="22"/>
        </w:rPr>
        <w:t>2019</w:t>
      </w:r>
      <w:r w:rsidR="00213A96">
        <w:rPr>
          <w:i/>
          <w:sz w:val="22"/>
          <w:szCs w:val="22"/>
        </w:rPr>
        <w:t xml:space="preserve"> r.</w:t>
      </w:r>
      <w:r w:rsidR="00724D5C">
        <w:rPr>
          <w:i/>
          <w:sz w:val="22"/>
          <w:szCs w:val="22"/>
        </w:rPr>
        <w:t xml:space="preserve"> </w:t>
      </w:r>
      <w:r w:rsidR="00C77AA2">
        <w:rPr>
          <w:i/>
          <w:sz w:val="22"/>
          <w:szCs w:val="22"/>
        </w:rPr>
        <w:t>niż</w:t>
      </w:r>
      <w:r w:rsidR="00724D5C">
        <w:rPr>
          <w:i/>
          <w:sz w:val="22"/>
          <w:szCs w:val="22"/>
        </w:rPr>
        <w:t xml:space="preserve"> kredyt</w:t>
      </w:r>
      <w:r w:rsidR="00C77AA2">
        <w:rPr>
          <w:i/>
          <w:sz w:val="22"/>
          <w:szCs w:val="22"/>
        </w:rPr>
        <w:t>y</w:t>
      </w:r>
      <w:r w:rsidR="00724D5C">
        <w:rPr>
          <w:i/>
          <w:sz w:val="22"/>
          <w:szCs w:val="22"/>
        </w:rPr>
        <w:t xml:space="preserve"> gotówkow</w:t>
      </w:r>
      <w:r w:rsidR="00C77AA2">
        <w:rPr>
          <w:i/>
          <w:sz w:val="22"/>
          <w:szCs w:val="22"/>
        </w:rPr>
        <w:t>e</w:t>
      </w:r>
      <w:r w:rsidR="00724D5C">
        <w:rPr>
          <w:i/>
          <w:sz w:val="22"/>
          <w:szCs w:val="22"/>
        </w:rPr>
        <w:t>: w ujęciu liczbowym</w:t>
      </w:r>
      <w:r w:rsidR="00127BE1">
        <w:rPr>
          <w:i/>
          <w:sz w:val="22"/>
          <w:szCs w:val="22"/>
        </w:rPr>
        <w:t xml:space="preserve"> </w:t>
      </w:r>
      <w:r w:rsidR="00724D5C">
        <w:rPr>
          <w:i/>
          <w:sz w:val="22"/>
          <w:szCs w:val="22"/>
        </w:rPr>
        <w:t>(-</w:t>
      </w:r>
      <w:r w:rsidR="00C77AA2">
        <w:rPr>
          <w:i/>
          <w:sz w:val="22"/>
          <w:szCs w:val="22"/>
        </w:rPr>
        <w:t>0</w:t>
      </w:r>
      <w:r w:rsidR="00724D5C">
        <w:rPr>
          <w:i/>
          <w:sz w:val="22"/>
          <w:szCs w:val="22"/>
        </w:rPr>
        <w:t>,</w:t>
      </w:r>
      <w:r w:rsidR="00C77AA2">
        <w:rPr>
          <w:i/>
          <w:sz w:val="22"/>
          <w:szCs w:val="22"/>
        </w:rPr>
        <w:t>8</w:t>
      </w:r>
      <w:r w:rsidR="00724D5C">
        <w:rPr>
          <w:i/>
          <w:sz w:val="22"/>
          <w:szCs w:val="22"/>
        </w:rPr>
        <w:t xml:space="preserve">%) a </w:t>
      </w:r>
      <w:r w:rsidR="00213A96">
        <w:rPr>
          <w:i/>
          <w:sz w:val="22"/>
          <w:szCs w:val="22"/>
        </w:rPr>
        <w:t xml:space="preserve">w </w:t>
      </w:r>
      <w:r w:rsidR="00724D5C">
        <w:rPr>
          <w:i/>
          <w:sz w:val="22"/>
          <w:szCs w:val="22"/>
        </w:rPr>
        <w:t>wartościowym (-</w:t>
      </w:r>
      <w:r w:rsidR="00C77AA2">
        <w:rPr>
          <w:i/>
          <w:sz w:val="22"/>
          <w:szCs w:val="22"/>
        </w:rPr>
        <w:t>3</w:t>
      </w:r>
      <w:r w:rsidR="00724D5C">
        <w:rPr>
          <w:i/>
          <w:sz w:val="22"/>
          <w:szCs w:val="22"/>
        </w:rPr>
        <w:t>,</w:t>
      </w:r>
      <w:r w:rsidR="00C77AA2">
        <w:rPr>
          <w:i/>
          <w:sz w:val="22"/>
          <w:szCs w:val="22"/>
        </w:rPr>
        <w:t>8</w:t>
      </w:r>
      <w:r w:rsidR="00724D5C">
        <w:rPr>
          <w:i/>
          <w:sz w:val="22"/>
          <w:szCs w:val="22"/>
        </w:rPr>
        <w:t>%)</w:t>
      </w:r>
      <w:r w:rsidR="00C77AA2">
        <w:rPr>
          <w:i/>
          <w:sz w:val="22"/>
          <w:szCs w:val="22"/>
        </w:rPr>
        <w:t>. Są jednak dwa przedziały kwotowe</w:t>
      </w:r>
      <w:r w:rsidR="00E669C6">
        <w:rPr>
          <w:i/>
          <w:sz w:val="22"/>
          <w:szCs w:val="22"/>
        </w:rPr>
        <w:t>,</w:t>
      </w:r>
      <w:r w:rsidR="00C77AA2">
        <w:rPr>
          <w:i/>
          <w:sz w:val="22"/>
          <w:szCs w:val="22"/>
        </w:rPr>
        <w:t xml:space="preserve"> w których dynamika jest dodatnia. Są to przedziały od 2 – 3 tys. zł (+2</w:t>
      </w:r>
      <w:r w:rsidR="00E669C6">
        <w:rPr>
          <w:i/>
          <w:sz w:val="22"/>
          <w:szCs w:val="22"/>
        </w:rPr>
        <w:t>,0</w:t>
      </w:r>
      <w:r w:rsidR="00C77AA2">
        <w:rPr>
          <w:i/>
          <w:sz w:val="22"/>
          <w:szCs w:val="22"/>
        </w:rPr>
        <w:t>%) oraz 3-5 tys. zł (+3,5%) liczbowo i odpowiednio (+2,5%) or</w:t>
      </w:r>
      <w:r w:rsidR="00E669C6">
        <w:rPr>
          <w:i/>
          <w:sz w:val="22"/>
          <w:szCs w:val="22"/>
        </w:rPr>
        <w:t>a</w:t>
      </w:r>
      <w:r w:rsidR="00C77AA2">
        <w:rPr>
          <w:i/>
          <w:sz w:val="22"/>
          <w:szCs w:val="22"/>
        </w:rPr>
        <w:t xml:space="preserve">z (3,5%) wartościowo. Są to zazwyczaj właśnie kredyty finansujące różnego rodzaju sprzęt elektroniczny </w:t>
      </w:r>
      <w:r w:rsidR="00E669C6">
        <w:rPr>
          <w:i/>
          <w:sz w:val="22"/>
          <w:szCs w:val="22"/>
        </w:rPr>
        <w:t xml:space="preserve">oraz artykuły </w:t>
      </w:r>
      <w:r w:rsidR="00C77AA2">
        <w:rPr>
          <w:i/>
          <w:sz w:val="22"/>
          <w:szCs w:val="22"/>
        </w:rPr>
        <w:t xml:space="preserve">gospodarstwa domowego czy meble, które były nabywane w e-commerce, często po atrakcyjnych cenach wynikających z promocji </w:t>
      </w:r>
      <w:r w:rsidR="00B2451B" w:rsidRPr="00227C95">
        <w:rPr>
          <w:i/>
          <w:sz w:val="22"/>
          <w:szCs w:val="22"/>
        </w:rPr>
        <w:t xml:space="preserve">– </w:t>
      </w:r>
      <w:r w:rsidR="00B2451B" w:rsidRPr="00227C95">
        <w:rPr>
          <w:sz w:val="22"/>
          <w:szCs w:val="22"/>
        </w:rPr>
        <w:t>stwierdza</w:t>
      </w:r>
      <w:r w:rsidR="00B2451B" w:rsidRPr="00883EE2">
        <w:rPr>
          <w:sz w:val="22"/>
          <w:szCs w:val="22"/>
        </w:rPr>
        <w:t xml:space="preserve"> prof. Waldemar Rogowski, główny analityk Biura Informacji Kredytowej.</w:t>
      </w:r>
    </w:p>
    <w:p w14:paraId="5994E826" w14:textId="77777777" w:rsidR="00244B97" w:rsidRDefault="00F35A15" w:rsidP="002B3528">
      <w:pPr>
        <w:pStyle w:val="Akapitzlist"/>
        <w:ind w:left="34"/>
        <w:contextualSpacing w:val="0"/>
        <w:jc w:val="both"/>
        <w:rPr>
          <w:i/>
          <w:sz w:val="22"/>
          <w:szCs w:val="22"/>
        </w:rPr>
      </w:pPr>
      <w:r w:rsidRPr="00227C95">
        <w:rPr>
          <w:i/>
          <w:sz w:val="22"/>
          <w:szCs w:val="22"/>
        </w:rPr>
        <w:lastRenderedPageBreak/>
        <w:t xml:space="preserve"> </w:t>
      </w:r>
    </w:p>
    <w:p w14:paraId="409ADB23" w14:textId="42318389" w:rsidR="00B2451B" w:rsidRDefault="00994031" w:rsidP="002B3528">
      <w:pPr>
        <w:pStyle w:val="Akapitzlist"/>
        <w:ind w:left="34"/>
        <w:contextualSpacing w:val="0"/>
        <w:jc w:val="both"/>
        <w:rPr>
          <w:sz w:val="22"/>
          <w:szCs w:val="22"/>
        </w:rPr>
      </w:pPr>
      <w:r w:rsidRPr="00B2451B">
        <w:rPr>
          <w:sz w:val="22"/>
          <w:szCs w:val="22"/>
        </w:rPr>
        <w:t xml:space="preserve">Dla kredytów gotówkowych średnia wartość udzielonego kredytu to </w:t>
      </w:r>
      <w:r w:rsidR="004100DF">
        <w:rPr>
          <w:sz w:val="22"/>
          <w:szCs w:val="22"/>
        </w:rPr>
        <w:t>1</w:t>
      </w:r>
      <w:r w:rsidR="004A619F">
        <w:rPr>
          <w:sz w:val="22"/>
          <w:szCs w:val="22"/>
        </w:rPr>
        <w:t>7</w:t>
      </w:r>
      <w:r w:rsidRPr="00B2451B">
        <w:rPr>
          <w:sz w:val="22"/>
          <w:szCs w:val="22"/>
        </w:rPr>
        <w:t xml:space="preserve"> </w:t>
      </w:r>
      <w:r w:rsidR="00C77AA2">
        <w:rPr>
          <w:sz w:val="22"/>
          <w:szCs w:val="22"/>
        </w:rPr>
        <w:t>699</w:t>
      </w:r>
      <w:r w:rsidRPr="00B2451B">
        <w:rPr>
          <w:sz w:val="22"/>
          <w:szCs w:val="22"/>
        </w:rPr>
        <w:t xml:space="preserve"> zł – </w:t>
      </w:r>
      <w:r w:rsidR="00BB7307" w:rsidRPr="00B2451B">
        <w:rPr>
          <w:sz w:val="22"/>
          <w:szCs w:val="22"/>
        </w:rPr>
        <w:t>spadek</w:t>
      </w:r>
      <w:r w:rsidRPr="00B2451B">
        <w:rPr>
          <w:sz w:val="22"/>
          <w:szCs w:val="22"/>
        </w:rPr>
        <w:t xml:space="preserve"> o </w:t>
      </w:r>
      <w:r w:rsidR="00C77AA2">
        <w:rPr>
          <w:sz w:val="22"/>
          <w:szCs w:val="22"/>
        </w:rPr>
        <w:t>2</w:t>
      </w:r>
      <w:r w:rsidR="0050323D" w:rsidRPr="00B2451B">
        <w:rPr>
          <w:sz w:val="22"/>
          <w:szCs w:val="22"/>
        </w:rPr>
        <w:t>,</w:t>
      </w:r>
      <w:r w:rsidR="004A619F">
        <w:rPr>
          <w:sz w:val="22"/>
          <w:szCs w:val="22"/>
        </w:rPr>
        <w:t>3</w:t>
      </w:r>
      <w:r w:rsidRPr="00B2451B">
        <w:rPr>
          <w:sz w:val="22"/>
          <w:szCs w:val="22"/>
        </w:rPr>
        <w:t>%</w:t>
      </w:r>
      <w:r w:rsidR="00CE0EF0" w:rsidRPr="00B2451B">
        <w:rPr>
          <w:sz w:val="22"/>
          <w:szCs w:val="22"/>
        </w:rPr>
        <w:t xml:space="preserve"> w stosunku do </w:t>
      </w:r>
      <w:r w:rsidR="00C77AA2">
        <w:rPr>
          <w:sz w:val="22"/>
          <w:szCs w:val="22"/>
        </w:rPr>
        <w:t>lipca</w:t>
      </w:r>
      <w:r w:rsidR="00CE0EF0" w:rsidRPr="00B2451B">
        <w:rPr>
          <w:sz w:val="22"/>
          <w:szCs w:val="22"/>
        </w:rPr>
        <w:t xml:space="preserve"> 2019 r.</w:t>
      </w:r>
      <w:r w:rsidRPr="00B2451B">
        <w:rPr>
          <w:sz w:val="22"/>
          <w:szCs w:val="22"/>
        </w:rPr>
        <w:t xml:space="preserve"> Średnia wartość kredytu ratalnego to </w:t>
      </w:r>
      <w:r w:rsidR="00C77AA2">
        <w:rPr>
          <w:sz w:val="22"/>
          <w:szCs w:val="22"/>
        </w:rPr>
        <w:t>4</w:t>
      </w:r>
      <w:r w:rsidR="00453739">
        <w:rPr>
          <w:sz w:val="22"/>
          <w:szCs w:val="22"/>
        </w:rPr>
        <w:t xml:space="preserve"> </w:t>
      </w:r>
      <w:r w:rsidR="00C77AA2">
        <w:rPr>
          <w:sz w:val="22"/>
          <w:szCs w:val="22"/>
        </w:rPr>
        <w:t>624</w:t>
      </w:r>
      <w:r w:rsidRPr="00B2451B">
        <w:rPr>
          <w:sz w:val="22"/>
          <w:szCs w:val="22"/>
        </w:rPr>
        <w:t xml:space="preserve"> zł i jest ona </w:t>
      </w:r>
      <w:r w:rsidR="00C77AA2">
        <w:rPr>
          <w:sz w:val="22"/>
          <w:szCs w:val="22"/>
        </w:rPr>
        <w:t>wyższa</w:t>
      </w:r>
      <w:r w:rsidRPr="00B2451B">
        <w:rPr>
          <w:sz w:val="22"/>
          <w:szCs w:val="22"/>
        </w:rPr>
        <w:t xml:space="preserve"> niż</w:t>
      </w:r>
      <w:r w:rsidR="00333E66">
        <w:rPr>
          <w:sz w:val="22"/>
          <w:szCs w:val="22"/>
        </w:rPr>
        <w:t xml:space="preserve"> w </w:t>
      </w:r>
      <w:r w:rsidR="00C77AA2">
        <w:rPr>
          <w:sz w:val="22"/>
          <w:szCs w:val="22"/>
        </w:rPr>
        <w:t>lipcu</w:t>
      </w:r>
      <w:r w:rsidR="00BD52F2" w:rsidRPr="00B2451B">
        <w:rPr>
          <w:sz w:val="22"/>
          <w:szCs w:val="22"/>
        </w:rPr>
        <w:t xml:space="preserve"> </w:t>
      </w:r>
      <w:r w:rsidRPr="00B2451B">
        <w:rPr>
          <w:sz w:val="22"/>
          <w:szCs w:val="22"/>
        </w:rPr>
        <w:t xml:space="preserve">rok temu o </w:t>
      </w:r>
      <w:r w:rsidR="00C77AA2">
        <w:rPr>
          <w:sz w:val="22"/>
          <w:szCs w:val="22"/>
        </w:rPr>
        <w:t>3</w:t>
      </w:r>
      <w:r w:rsidR="000648DF">
        <w:rPr>
          <w:sz w:val="22"/>
          <w:szCs w:val="22"/>
        </w:rPr>
        <w:t>,</w:t>
      </w:r>
      <w:r w:rsidR="00C77AA2">
        <w:rPr>
          <w:sz w:val="22"/>
          <w:szCs w:val="22"/>
        </w:rPr>
        <w:t>9</w:t>
      </w:r>
      <w:r w:rsidRPr="00B2451B">
        <w:rPr>
          <w:sz w:val="22"/>
          <w:szCs w:val="22"/>
        </w:rPr>
        <w:t>%</w:t>
      </w:r>
      <w:r w:rsidR="00901210" w:rsidRPr="00B2451B">
        <w:rPr>
          <w:sz w:val="22"/>
          <w:szCs w:val="22"/>
        </w:rPr>
        <w:t>.</w:t>
      </w:r>
      <w:r w:rsidR="00D52867">
        <w:rPr>
          <w:sz w:val="22"/>
          <w:szCs w:val="22"/>
        </w:rPr>
        <w:t xml:space="preserve"> Kredyty ratalne obejmują również kredyty samochodowe, których średnia kwota udzielonego finansowania jest wyższa.</w:t>
      </w:r>
    </w:p>
    <w:p w14:paraId="1241E77E" w14:textId="20975882" w:rsidR="003D23AE" w:rsidRDefault="00F54DC0" w:rsidP="002B3528">
      <w:pPr>
        <w:jc w:val="both"/>
        <w:rPr>
          <w:sz w:val="22"/>
          <w:szCs w:val="22"/>
        </w:rPr>
      </w:pPr>
      <w:r w:rsidRPr="003D23AE">
        <w:rPr>
          <w:sz w:val="22"/>
          <w:szCs w:val="22"/>
        </w:rPr>
        <w:t>Obserwowany przez BIK co miesiąc p</w:t>
      </w:r>
      <w:r w:rsidR="002E1247" w:rsidRPr="003D23AE">
        <w:rPr>
          <w:sz w:val="22"/>
          <w:szCs w:val="22"/>
        </w:rPr>
        <w:t>oziom</w:t>
      </w:r>
      <w:r w:rsidR="003F6A95" w:rsidRPr="003D23AE">
        <w:rPr>
          <w:sz w:val="22"/>
          <w:szCs w:val="22"/>
        </w:rPr>
        <w:t xml:space="preserve"> </w:t>
      </w:r>
      <w:r w:rsidR="00B36AA9" w:rsidRPr="003D23AE">
        <w:rPr>
          <w:sz w:val="22"/>
          <w:szCs w:val="22"/>
        </w:rPr>
        <w:t>ryzyka</w:t>
      </w:r>
      <w:r w:rsidR="00700804" w:rsidRPr="003D23AE">
        <w:rPr>
          <w:sz w:val="22"/>
          <w:szCs w:val="22"/>
        </w:rPr>
        <w:t xml:space="preserve"> kredytowego</w:t>
      </w:r>
      <w:r w:rsidR="003F6A95" w:rsidRPr="003D23AE">
        <w:rPr>
          <w:sz w:val="22"/>
          <w:szCs w:val="22"/>
        </w:rPr>
        <w:t xml:space="preserve"> portfela kredytów konsumpcyjnych</w:t>
      </w:r>
      <w:r w:rsidR="002E1247" w:rsidRPr="003D23AE">
        <w:rPr>
          <w:sz w:val="22"/>
          <w:szCs w:val="22"/>
        </w:rPr>
        <w:t xml:space="preserve"> </w:t>
      </w:r>
      <w:r w:rsidRPr="003D23AE">
        <w:rPr>
          <w:sz w:val="22"/>
          <w:szCs w:val="22"/>
        </w:rPr>
        <w:t xml:space="preserve">w oparciu o Indeks </w:t>
      </w:r>
      <w:r w:rsidR="005D3B52">
        <w:rPr>
          <w:sz w:val="22"/>
          <w:szCs w:val="22"/>
        </w:rPr>
        <w:t>J</w:t>
      </w:r>
      <w:r w:rsidRPr="003D23AE">
        <w:rPr>
          <w:sz w:val="22"/>
          <w:szCs w:val="22"/>
        </w:rPr>
        <w:t xml:space="preserve">akości </w:t>
      </w:r>
      <w:r w:rsidR="002E1247" w:rsidRPr="003D23AE">
        <w:rPr>
          <w:sz w:val="22"/>
          <w:szCs w:val="22"/>
        </w:rPr>
        <w:t xml:space="preserve">pełni funkcję systemu wczesnego ostrzegania. </w:t>
      </w:r>
      <w:r w:rsidR="005C7564" w:rsidRPr="003D23AE">
        <w:rPr>
          <w:sz w:val="22"/>
          <w:szCs w:val="22"/>
        </w:rPr>
        <w:t xml:space="preserve">Jakość portfela </w:t>
      </w:r>
      <w:r w:rsidR="003F6A95" w:rsidRPr="003D23AE">
        <w:rPr>
          <w:sz w:val="22"/>
          <w:szCs w:val="22"/>
        </w:rPr>
        <w:t xml:space="preserve">dla </w:t>
      </w:r>
      <w:r w:rsidR="005C7564" w:rsidRPr="003D23AE">
        <w:rPr>
          <w:sz w:val="22"/>
          <w:szCs w:val="22"/>
        </w:rPr>
        <w:t>kredyt</w:t>
      </w:r>
      <w:r w:rsidR="003F6A95" w:rsidRPr="003D23AE">
        <w:rPr>
          <w:sz w:val="22"/>
          <w:szCs w:val="22"/>
        </w:rPr>
        <w:t xml:space="preserve">ów </w:t>
      </w:r>
      <w:r w:rsidR="00C77AA2">
        <w:rPr>
          <w:sz w:val="22"/>
          <w:szCs w:val="22"/>
        </w:rPr>
        <w:t>ratalnych</w:t>
      </w:r>
      <w:r w:rsidR="005C7564" w:rsidRPr="003D23AE">
        <w:rPr>
          <w:sz w:val="22"/>
          <w:szCs w:val="22"/>
        </w:rPr>
        <w:t xml:space="preserve"> </w:t>
      </w:r>
      <w:r w:rsidR="003F6A95" w:rsidRPr="003D23AE">
        <w:rPr>
          <w:sz w:val="22"/>
          <w:szCs w:val="22"/>
        </w:rPr>
        <w:t xml:space="preserve">już </w:t>
      </w:r>
      <w:r w:rsidR="00051713" w:rsidRPr="003D23AE">
        <w:rPr>
          <w:sz w:val="22"/>
          <w:szCs w:val="22"/>
        </w:rPr>
        <w:t xml:space="preserve">od kilku lat </w:t>
      </w:r>
      <w:r w:rsidR="005C7564" w:rsidRPr="003D23AE">
        <w:rPr>
          <w:sz w:val="22"/>
          <w:szCs w:val="22"/>
        </w:rPr>
        <w:t xml:space="preserve">utrzymuje się na </w:t>
      </w:r>
      <w:r w:rsidR="003F6A95" w:rsidRPr="003D23AE">
        <w:rPr>
          <w:sz w:val="22"/>
          <w:szCs w:val="22"/>
        </w:rPr>
        <w:t xml:space="preserve">niskim, </w:t>
      </w:r>
      <w:r w:rsidR="005C7564" w:rsidRPr="003D23AE">
        <w:rPr>
          <w:sz w:val="22"/>
          <w:szCs w:val="22"/>
        </w:rPr>
        <w:t>bezpiecznym</w:t>
      </w:r>
      <w:r w:rsidR="00F71544" w:rsidRPr="003D23AE">
        <w:rPr>
          <w:sz w:val="22"/>
          <w:szCs w:val="22"/>
        </w:rPr>
        <w:t xml:space="preserve"> </w:t>
      </w:r>
      <w:r w:rsidR="005C7564" w:rsidRPr="003D23AE">
        <w:rPr>
          <w:sz w:val="22"/>
          <w:szCs w:val="22"/>
        </w:rPr>
        <w:t>poziomie</w:t>
      </w:r>
      <w:r w:rsidR="00051713" w:rsidRPr="003D23AE">
        <w:rPr>
          <w:sz w:val="22"/>
          <w:szCs w:val="22"/>
        </w:rPr>
        <w:t xml:space="preserve"> szkodowości</w:t>
      </w:r>
      <w:r w:rsidR="005D3B52">
        <w:rPr>
          <w:sz w:val="22"/>
          <w:szCs w:val="22"/>
        </w:rPr>
        <w:t>,</w:t>
      </w:r>
      <w:r w:rsidR="00F71544" w:rsidRPr="003D23AE">
        <w:rPr>
          <w:sz w:val="22"/>
          <w:szCs w:val="22"/>
        </w:rPr>
        <w:t xml:space="preserve"> co </w:t>
      </w:r>
      <w:r w:rsidR="007E7D20" w:rsidRPr="003D23AE">
        <w:rPr>
          <w:sz w:val="22"/>
          <w:szCs w:val="22"/>
        </w:rPr>
        <w:t xml:space="preserve">każdorazowo </w:t>
      </w:r>
      <w:r w:rsidR="00F71544" w:rsidRPr="003D23AE">
        <w:rPr>
          <w:sz w:val="22"/>
          <w:szCs w:val="22"/>
        </w:rPr>
        <w:t>potwierdza</w:t>
      </w:r>
      <w:r w:rsidR="00771809" w:rsidRPr="003D23AE">
        <w:rPr>
          <w:sz w:val="22"/>
          <w:szCs w:val="22"/>
        </w:rPr>
        <w:t>ją</w:t>
      </w:r>
      <w:r w:rsidR="00F71544" w:rsidRPr="003D23AE">
        <w:rPr>
          <w:sz w:val="22"/>
          <w:szCs w:val="22"/>
        </w:rPr>
        <w:t xml:space="preserve"> </w:t>
      </w:r>
      <w:r w:rsidR="002E1247" w:rsidRPr="003D23AE">
        <w:rPr>
          <w:sz w:val="22"/>
          <w:szCs w:val="22"/>
        </w:rPr>
        <w:t xml:space="preserve">właśnie </w:t>
      </w:r>
      <w:r w:rsidR="00F71544" w:rsidRPr="003D23AE">
        <w:rPr>
          <w:sz w:val="22"/>
          <w:szCs w:val="22"/>
        </w:rPr>
        <w:t>miesięczn</w:t>
      </w:r>
      <w:r w:rsidR="00771809" w:rsidRPr="003D23AE">
        <w:rPr>
          <w:sz w:val="22"/>
          <w:szCs w:val="22"/>
        </w:rPr>
        <w:t>e</w:t>
      </w:r>
      <w:r w:rsidR="005D3B52">
        <w:rPr>
          <w:sz w:val="22"/>
          <w:szCs w:val="22"/>
        </w:rPr>
        <w:t xml:space="preserve"> odczyty</w:t>
      </w:r>
      <w:r w:rsidR="002F1EA6">
        <w:rPr>
          <w:sz w:val="22"/>
          <w:szCs w:val="22"/>
        </w:rPr>
        <w:t xml:space="preserve"> Indeksu</w:t>
      </w:r>
      <w:r w:rsidR="00F71544" w:rsidRPr="003D23AE">
        <w:rPr>
          <w:sz w:val="22"/>
          <w:szCs w:val="22"/>
        </w:rPr>
        <w:t xml:space="preserve">. </w:t>
      </w:r>
      <w:r w:rsidR="008C657F">
        <w:rPr>
          <w:sz w:val="22"/>
          <w:szCs w:val="22"/>
        </w:rPr>
        <w:t>B</w:t>
      </w:r>
      <w:r w:rsidR="00F71544" w:rsidRPr="003D23AE">
        <w:rPr>
          <w:sz w:val="22"/>
          <w:szCs w:val="22"/>
        </w:rPr>
        <w:t xml:space="preserve">ieżący </w:t>
      </w:r>
      <w:r w:rsidR="008C657F">
        <w:rPr>
          <w:sz w:val="22"/>
          <w:szCs w:val="22"/>
        </w:rPr>
        <w:t xml:space="preserve">– </w:t>
      </w:r>
      <w:r w:rsidR="00C77AA2">
        <w:rPr>
          <w:sz w:val="22"/>
          <w:szCs w:val="22"/>
        </w:rPr>
        <w:t>lipcowy</w:t>
      </w:r>
      <w:r w:rsidR="008C657F">
        <w:rPr>
          <w:sz w:val="22"/>
          <w:szCs w:val="22"/>
        </w:rPr>
        <w:t xml:space="preserve"> </w:t>
      </w:r>
      <w:r w:rsidR="008C657F" w:rsidRPr="003D23AE">
        <w:rPr>
          <w:sz w:val="22"/>
          <w:szCs w:val="22"/>
        </w:rPr>
        <w:t xml:space="preserve">odczyty Indeksu Jakości portfela kredytów </w:t>
      </w:r>
      <w:r w:rsidR="00AB6CA2">
        <w:rPr>
          <w:sz w:val="22"/>
          <w:szCs w:val="22"/>
        </w:rPr>
        <w:t xml:space="preserve">ratalnych </w:t>
      </w:r>
      <w:r w:rsidR="007E7D20" w:rsidRPr="003D23AE">
        <w:rPr>
          <w:sz w:val="22"/>
          <w:szCs w:val="22"/>
        </w:rPr>
        <w:t>wynosi</w:t>
      </w:r>
      <w:r w:rsidR="00F71544" w:rsidRPr="003D23AE">
        <w:rPr>
          <w:sz w:val="22"/>
          <w:szCs w:val="22"/>
        </w:rPr>
        <w:t xml:space="preserve"> </w:t>
      </w:r>
      <w:r w:rsidR="00F46717">
        <w:rPr>
          <w:sz w:val="22"/>
          <w:szCs w:val="22"/>
        </w:rPr>
        <w:t>2</w:t>
      </w:r>
      <w:r w:rsidR="00805425" w:rsidRPr="003D23AE">
        <w:rPr>
          <w:sz w:val="22"/>
          <w:szCs w:val="22"/>
        </w:rPr>
        <w:t>,</w:t>
      </w:r>
      <w:r w:rsidR="00F46717">
        <w:rPr>
          <w:sz w:val="22"/>
          <w:szCs w:val="22"/>
        </w:rPr>
        <w:t>13</w:t>
      </w:r>
      <w:r w:rsidR="00F71544" w:rsidRPr="003D23AE">
        <w:rPr>
          <w:sz w:val="22"/>
          <w:szCs w:val="22"/>
        </w:rPr>
        <w:t>%</w:t>
      </w:r>
      <w:r w:rsidR="006D0303" w:rsidRPr="003D23AE">
        <w:rPr>
          <w:sz w:val="22"/>
          <w:szCs w:val="22"/>
        </w:rPr>
        <w:t>.</w:t>
      </w:r>
      <w:r w:rsidR="00771809" w:rsidRPr="003D23AE">
        <w:rPr>
          <w:sz w:val="22"/>
          <w:szCs w:val="22"/>
        </w:rPr>
        <w:t xml:space="preserve"> </w:t>
      </w:r>
      <w:r w:rsidR="00F46717">
        <w:rPr>
          <w:sz w:val="22"/>
          <w:szCs w:val="22"/>
        </w:rPr>
        <w:t xml:space="preserve">Kilkukrotnie wyższą szkodowością (najwyższą wśród wszystkich grup produktowych) charakteryzują się kredyty gotówkowe. Lipcowy odczyt Indeksu Jakości dla kredytów gotówkowych wynosi 6,3% i jest najwyższy od 2015 r. </w:t>
      </w:r>
    </w:p>
    <w:p w14:paraId="055A9A1A" w14:textId="77777777" w:rsidR="003D23AE" w:rsidRDefault="003D23AE" w:rsidP="002B3528">
      <w:pPr>
        <w:jc w:val="both"/>
        <w:rPr>
          <w:sz w:val="22"/>
          <w:szCs w:val="22"/>
        </w:rPr>
      </w:pPr>
    </w:p>
    <w:p w14:paraId="7FD69C4D" w14:textId="3C66804A" w:rsidR="00650982" w:rsidRPr="00B36AA9" w:rsidRDefault="003D23AE" w:rsidP="00990BF0">
      <w:pPr>
        <w:pStyle w:val="Akapitzlist"/>
        <w:ind w:left="34"/>
        <w:contextualSpacing w:val="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- </w:t>
      </w:r>
      <w:r w:rsidR="00176C94" w:rsidRPr="00216AB5">
        <w:rPr>
          <w:i/>
          <w:sz w:val="22"/>
          <w:szCs w:val="22"/>
        </w:rPr>
        <w:t xml:space="preserve">W porównaniu do </w:t>
      </w:r>
      <w:r w:rsidR="00F46717">
        <w:rPr>
          <w:i/>
          <w:sz w:val="22"/>
          <w:szCs w:val="22"/>
        </w:rPr>
        <w:t>lipca</w:t>
      </w:r>
      <w:r w:rsidR="00176C94" w:rsidRPr="00216AB5">
        <w:rPr>
          <w:i/>
          <w:sz w:val="22"/>
          <w:szCs w:val="22"/>
        </w:rPr>
        <w:t xml:space="preserve"> 201</w:t>
      </w:r>
      <w:r w:rsidR="00114554">
        <w:rPr>
          <w:i/>
          <w:sz w:val="22"/>
          <w:szCs w:val="22"/>
        </w:rPr>
        <w:t>9</w:t>
      </w:r>
      <w:r w:rsidR="00176C94" w:rsidRPr="00216AB5">
        <w:rPr>
          <w:i/>
          <w:sz w:val="22"/>
          <w:szCs w:val="22"/>
        </w:rPr>
        <w:t xml:space="preserve"> r. wartość </w:t>
      </w:r>
      <w:r w:rsidR="00F46717">
        <w:rPr>
          <w:i/>
          <w:sz w:val="22"/>
          <w:szCs w:val="22"/>
        </w:rPr>
        <w:t>I</w:t>
      </w:r>
      <w:r w:rsidR="00176C94" w:rsidRPr="00216AB5">
        <w:rPr>
          <w:i/>
          <w:sz w:val="22"/>
          <w:szCs w:val="22"/>
        </w:rPr>
        <w:t xml:space="preserve">ndeksu </w:t>
      </w:r>
      <w:r w:rsidR="00F46717">
        <w:rPr>
          <w:i/>
          <w:sz w:val="22"/>
          <w:szCs w:val="22"/>
        </w:rPr>
        <w:t xml:space="preserve">kredytów gotówkowych </w:t>
      </w:r>
      <w:r w:rsidR="006E39D0">
        <w:rPr>
          <w:i/>
          <w:sz w:val="22"/>
          <w:szCs w:val="22"/>
        </w:rPr>
        <w:t>pogorszyła</w:t>
      </w:r>
      <w:r w:rsidR="00114554">
        <w:rPr>
          <w:i/>
          <w:sz w:val="22"/>
          <w:szCs w:val="22"/>
        </w:rPr>
        <w:t xml:space="preserve"> się (</w:t>
      </w:r>
      <w:r w:rsidR="006E39D0">
        <w:rPr>
          <w:i/>
          <w:sz w:val="22"/>
          <w:szCs w:val="22"/>
        </w:rPr>
        <w:t>wzrosła</w:t>
      </w:r>
      <w:r w:rsidR="00114554">
        <w:rPr>
          <w:i/>
          <w:sz w:val="22"/>
          <w:szCs w:val="22"/>
        </w:rPr>
        <w:t xml:space="preserve">) </w:t>
      </w:r>
      <w:r w:rsidR="00BB7307">
        <w:rPr>
          <w:i/>
          <w:sz w:val="22"/>
          <w:szCs w:val="22"/>
        </w:rPr>
        <w:t>o 0,</w:t>
      </w:r>
      <w:r w:rsidR="007072BB">
        <w:rPr>
          <w:i/>
          <w:sz w:val="22"/>
          <w:szCs w:val="22"/>
        </w:rPr>
        <w:t>2</w:t>
      </w:r>
      <w:r w:rsidR="00F46717">
        <w:rPr>
          <w:i/>
          <w:sz w:val="22"/>
          <w:szCs w:val="22"/>
        </w:rPr>
        <w:t>0</w:t>
      </w:r>
      <w:r w:rsidR="00176C94" w:rsidRPr="00216AB5">
        <w:rPr>
          <w:i/>
          <w:sz w:val="22"/>
          <w:szCs w:val="22"/>
        </w:rPr>
        <w:t xml:space="preserve">. </w:t>
      </w:r>
      <w:r w:rsidR="006E39D0">
        <w:rPr>
          <w:i/>
          <w:sz w:val="22"/>
          <w:szCs w:val="22"/>
        </w:rPr>
        <w:t>Trzeba przygotować się jednak na duże pogorszenie w kolejnych miesiącach, szczególnie w końcówce roku. Powodem tego będzie</w:t>
      </w:r>
      <w:r w:rsidR="00901210">
        <w:rPr>
          <w:i/>
          <w:sz w:val="22"/>
          <w:szCs w:val="22"/>
        </w:rPr>
        <w:t xml:space="preserve"> </w:t>
      </w:r>
      <w:r w:rsidR="00F46717">
        <w:rPr>
          <w:i/>
          <w:sz w:val="22"/>
          <w:szCs w:val="22"/>
        </w:rPr>
        <w:t>wzrost</w:t>
      </w:r>
      <w:r w:rsidR="00901210">
        <w:rPr>
          <w:i/>
          <w:sz w:val="22"/>
          <w:szCs w:val="22"/>
        </w:rPr>
        <w:t xml:space="preserve"> ryzyk</w:t>
      </w:r>
      <w:r w:rsidR="00F46717">
        <w:rPr>
          <w:i/>
          <w:sz w:val="22"/>
          <w:szCs w:val="22"/>
        </w:rPr>
        <w:t>a</w:t>
      </w:r>
      <w:r w:rsidR="00901210">
        <w:rPr>
          <w:i/>
          <w:sz w:val="22"/>
          <w:szCs w:val="22"/>
        </w:rPr>
        <w:t xml:space="preserve"> dla portfela kredytów </w:t>
      </w:r>
      <w:r w:rsidR="00F46717">
        <w:rPr>
          <w:i/>
          <w:sz w:val="22"/>
          <w:szCs w:val="22"/>
        </w:rPr>
        <w:t>gotówkowych wysokokwotowych, których szkodowość jest zawsze wyższa od niskokwotowych</w:t>
      </w:r>
      <w:r w:rsidR="00901210">
        <w:rPr>
          <w:i/>
          <w:sz w:val="22"/>
          <w:szCs w:val="22"/>
        </w:rPr>
        <w:t xml:space="preserve">. </w:t>
      </w:r>
      <w:r w:rsidR="00F46717">
        <w:rPr>
          <w:i/>
          <w:sz w:val="22"/>
          <w:szCs w:val="22"/>
        </w:rPr>
        <w:t>M</w:t>
      </w:r>
      <w:r w:rsidR="0028732B" w:rsidRPr="00161040">
        <w:rPr>
          <w:i/>
          <w:sz w:val="22"/>
          <w:szCs w:val="22"/>
        </w:rPr>
        <w:t xml:space="preserve">usimy pamiętać, że część </w:t>
      </w:r>
      <w:r w:rsidR="00AE74F1" w:rsidRPr="00161040">
        <w:rPr>
          <w:i/>
          <w:sz w:val="22"/>
          <w:szCs w:val="22"/>
        </w:rPr>
        <w:t xml:space="preserve">kredytobiorców </w:t>
      </w:r>
      <w:r w:rsidR="00E832B2" w:rsidRPr="00161040">
        <w:rPr>
          <w:i/>
          <w:sz w:val="22"/>
          <w:szCs w:val="22"/>
        </w:rPr>
        <w:t>uzyskała pomoc z banków, występując z powodu COVID-19 o odroczenie spłaty rat swoich kredytów</w:t>
      </w:r>
      <w:r w:rsidR="00F46717">
        <w:rPr>
          <w:i/>
          <w:sz w:val="22"/>
          <w:szCs w:val="22"/>
        </w:rPr>
        <w:t xml:space="preserve">. W mojej opinii to właśnie z tej grupy mogą pochodzić kredytobiorcy, którzy po skończonych „wakacjach” nie będą w stanie terminowo regulować swoich kredytów gotówkowych. Należy więc ze zdwojoną uwagą śledzić status </w:t>
      </w:r>
      <w:r w:rsidR="00504A5D">
        <w:rPr>
          <w:i/>
          <w:sz w:val="22"/>
          <w:szCs w:val="22"/>
        </w:rPr>
        <w:t xml:space="preserve">tych </w:t>
      </w:r>
      <w:r w:rsidR="00F46717">
        <w:rPr>
          <w:i/>
          <w:sz w:val="22"/>
          <w:szCs w:val="22"/>
        </w:rPr>
        <w:t>rachunków kredytowych. W BIK-u już prowadzimy stosowne analizy. Dużo lepiej przedstawia się jakość kredytów ratalnych. W ich przypadku wartość Indeksu w okresie 12 miesięcy pogorszyła się (wzrosła) jedynie o 0,02</w:t>
      </w:r>
      <w:r w:rsidR="00413BBB">
        <w:rPr>
          <w:i/>
          <w:sz w:val="22"/>
          <w:szCs w:val="22"/>
        </w:rPr>
        <w:t xml:space="preserve">. Wartość lipcowa jest dwukrotnie niższa od wartości z 2015 r. </w:t>
      </w:r>
      <w:r w:rsidR="00AE74F1" w:rsidRPr="00161040">
        <w:rPr>
          <w:i/>
          <w:sz w:val="22"/>
          <w:szCs w:val="22"/>
        </w:rPr>
        <w:t xml:space="preserve"> </w:t>
      </w:r>
      <w:r w:rsidR="00990BF0" w:rsidRPr="00161040">
        <w:rPr>
          <w:sz w:val="22"/>
          <w:szCs w:val="22"/>
        </w:rPr>
        <w:t>–</w:t>
      </w:r>
      <w:r w:rsidR="005D3B52" w:rsidRPr="00161040">
        <w:rPr>
          <w:sz w:val="22"/>
          <w:szCs w:val="22"/>
        </w:rPr>
        <w:t xml:space="preserve"> </w:t>
      </w:r>
      <w:r w:rsidR="00990BF0" w:rsidRPr="00161040">
        <w:rPr>
          <w:sz w:val="22"/>
          <w:szCs w:val="22"/>
        </w:rPr>
        <w:t>wyjaśnia</w:t>
      </w:r>
      <w:r w:rsidR="00990BF0" w:rsidRPr="00453739">
        <w:rPr>
          <w:sz w:val="22"/>
          <w:szCs w:val="22"/>
        </w:rPr>
        <w:t xml:space="preserve"> główny</w:t>
      </w:r>
      <w:r w:rsidR="00990BF0" w:rsidRPr="00883EE2">
        <w:rPr>
          <w:sz w:val="22"/>
          <w:szCs w:val="22"/>
        </w:rPr>
        <w:t xml:space="preserve"> analityk B</w:t>
      </w:r>
      <w:r w:rsidR="00990BF0">
        <w:rPr>
          <w:sz w:val="22"/>
          <w:szCs w:val="22"/>
        </w:rPr>
        <w:t xml:space="preserve">IK. </w:t>
      </w:r>
    </w:p>
    <w:p w14:paraId="67373367" w14:textId="77777777" w:rsidR="00C20849" w:rsidRPr="00DE7236" w:rsidRDefault="00C20849" w:rsidP="005D656F">
      <w:pPr>
        <w:pStyle w:val="Nagwek2"/>
        <w:jc w:val="both"/>
        <w:rPr>
          <w:rFonts w:asciiTheme="minorHAnsi" w:hAnsiTheme="minorHAnsi"/>
          <w:color w:val="auto"/>
          <w:sz w:val="22"/>
          <w:szCs w:val="22"/>
        </w:rPr>
      </w:pPr>
      <w:r w:rsidRPr="00DE7236">
        <w:rPr>
          <w:rFonts w:asciiTheme="minorHAnsi" w:hAnsiTheme="minorHAnsi"/>
          <w:color w:val="auto"/>
          <w:sz w:val="22"/>
          <w:szCs w:val="22"/>
        </w:rPr>
        <w:t>Kredyty mieszkaniowe</w:t>
      </w:r>
    </w:p>
    <w:p w14:paraId="4BBBD2F4" w14:textId="43546A34" w:rsidR="00F454FA" w:rsidRDefault="00076DCC" w:rsidP="002B3528">
      <w:pPr>
        <w:pStyle w:val="Akapitzlist"/>
        <w:ind w:left="34"/>
        <w:contextualSpacing w:val="0"/>
        <w:jc w:val="both"/>
        <w:rPr>
          <w:i/>
          <w:sz w:val="22"/>
          <w:szCs w:val="22"/>
        </w:rPr>
      </w:pPr>
      <w:r w:rsidRPr="00F454FA">
        <w:rPr>
          <w:sz w:val="22"/>
          <w:szCs w:val="22"/>
        </w:rPr>
        <w:t xml:space="preserve">W </w:t>
      </w:r>
      <w:r w:rsidR="00BE2B72">
        <w:rPr>
          <w:sz w:val="22"/>
          <w:szCs w:val="22"/>
        </w:rPr>
        <w:t>lipcu</w:t>
      </w:r>
      <w:r w:rsidRPr="00F454FA">
        <w:rPr>
          <w:sz w:val="22"/>
          <w:szCs w:val="22"/>
        </w:rPr>
        <w:t xml:space="preserve"> br. na rynku kredytów mieszkaniowych </w:t>
      </w:r>
      <w:r w:rsidR="00A25C66" w:rsidRPr="00F454FA">
        <w:rPr>
          <w:sz w:val="22"/>
          <w:szCs w:val="22"/>
        </w:rPr>
        <w:t xml:space="preserve">odnotowaliśmy </w:t>
      </w:r>
      <w:r w:rsidR="004944B7" w:rsidRPr="00F454FA">
        <w:rPr>
          <w:sz w:val="22"/>
          <w:szCs w:val="22"/>
        </w:rPr>
        <w:t xml:space="preserve">wysokie </w:t>
      </w:r>
      <w:r w:rsidR="00FB5952">
        <w:rPr>
          <w:sz w:val="22"/>
          <w:szCs w:val="22"/>
        </w:rPr>
        <w:t>ujemne</w:t>
      </w:r>
      <w:r w:rsidR="00254F83" w:rsidRPr="00F454FA">
        <w:rPr>
          <w:sz w:val="22"/>
          <w:szCs w:val="22"/>
        </w:rPr>
        <w:t xml:space="preserve"> dynamik</w:t>
      </w:r>
      <w:r w:rsidR="00A25C66" w:rsidRPr="00F454FA">
        <w:rPr>
          <w:sz w:val="22"/>
          <w:szCs w:val="22"/>
        </w:rPr>
        <w:t>i</w:t>
      </w:r>
      <w:r w:rsidR="00E5530A" w:rsidRPr="00F454FA">
        <w:rPr>
          <w:sz w:val="22"/>
          <w:szCs w:val="22"/>
        </w:rPr>
        <w:t xml:space="preserve"> </w:t>
      </w:r>
      <w:r w:rsidRPr="00F454FA">
        <w:rPr>
          <w:sz w:val="22"/>
          <w:szCs w:val="22"/>
        </w:rPr>
        <w:t xml:space="preserve">wartości </w:t>
      </w:r>
      <w:r w:rsidR="00FB5952">
        <w:rPr>
          <w:sz w:val="22"/>
          <w:szCs w:val="22"/>
        </w:rPr>
        <w:br/>
      </w:r>
      <w:r w:rsidR="004944B7" w:rsidRPr="00F454FA">
        <w:rPr>
          <w:sz w:val="22"/>
          <w:szCs w:val="22"/>
        </w:rPr>
        <w:t>(</w:t>
      </w:r>
      <w:r w:rsidR="00FB5952">
        <w:rPr>
          <w:sz w:val="22"/>
          <w:szCs w:val="22"/>
        </w:rPr>
        <w:t>-</w:t>
      </w:r>
      <w:r w:rsidR="008C6AB3">
        <w:rPr>
          <w:sz w:val="22"/>
          <w:szCs w:val="22"/>
        </w:rPr>
        <w:t>22</w:t>
      </w:r>
      <w:r w:rsidR="00BD52F2">
        <w:rPr>
          <w:sz w:val="22"/>
          <w:szCs w:val="22"/>
        </w:rPr>
        <w:t>,</w:t>
      </w:r>
      <w:r w:rsidR="00AD43CE">
        <w:rPr>
          <w:sz w:val="22"/>
          <w:szCs w:val="22"/>
        </w:rPr>
        <w:t>6</w:t>
      </w:r>
      <w:r w:rsidR="004944B7" w:rsidRPr="00F454FA">
        <w:rPr>
          <w:sz w:val="22"/>
          <w:szCs w:val="22"/>
        </w:rPr>
        <w:t xml:space="preserve">%) </w:t>
      </w:r>
      <w:r w:rsidR="00E5530A" w:rsidRPr="00F454FA">
        <w:rPr>
          <w:sz w:val="22"/>
          <w:szCs w:val="22"/>
        </w:rPr>
        <w:t xml:space="preserve">udzielonych </w:t>
      </w:r>
      <w:r w:rsidRPr="00F454FA">
        <w:rPr>
          <w:sz w:val="22"/>
          <w:szCs w:val="22"/>
        </w:rPr>
        <w:t>kredytów</w:t>
      </w:r>
      <w:r w:rsidR="006B5187" w:rsidRPr="00F454FA">
        <w:rPr>
          <w:sz w:val="22"/>
          <w:szCs w:val="22"/>
        </w:rPr>
        <w:t>,</w:t>
      </w:r>
      <w:r w:rsidR="00254F83" w:rsidRPr="00F454FA">
        <w:rPr>
          <w:sz w:val="22"/>
          <w:szCs w:val="22"/>
        </w:rPr>
        <w:t xml:space="preserve"> </w:t>
      </w:r>
      <w:r w:rsidR="00AE74F1">
        <w:rPr>
          <w:sz w:val="22"/>
          <w:szCs w:val="22"/>
        </w:rPr>
        <w:t xml:space="preserve">przy również </w:t>
      </w:r>
      <w:r w:rsidR="008C6AB3">
        <w:rPr>
          <w:sz w:val="22"/>
          <w:szCs w:val="22"/>
        </w:rPr>
        <w:t xml:space="preserve">wysokiej </w:t>
      </w:r>
      <w:r w:rsidR="00FB5952">
        <w:rPr>
          <w:sz w:val="22"/>
          <w:szCs w:val="22"/>
        </w:rPr>
        <w:t>ujemnej</w:t>
      </w:r>
      <w:r w:rsidR="00AE74F1">
        <w:rPr>
          <w:sz w:val="22"/>
          <w:szCs w:val="22"/>
        </w:rPr>
        <w:t xml:space="preserve"> dynamice</w:t>
      </w:r>
      <w:r w:rsidR="00A25C66" w:rsidRPr="00F454FA">
        <w:rPr>
          <w:sz w:val="22"/>
          <w:szCs w:val="22"/>
        </w:rPr>
        <w:t xml:space="preserve"> liczby </w:t>
      </w:r>
      <w:r w:rsidR="00AE74F1">
        <w:rPr>
          <w:sz w:val="22"/>
          <w:szCs w:val="22"/>
        </w:rPr>
        <w:t xml:space="preserve">udzielonych kredytów </w:t>
      </w:r>
      <w:r w:rsidR="008C6AB3">
        <w:rPr>
          <w:sz w:val="22"/>
          <w:szCs w:val="22"/>
        </w:rPr>
        <w:br/>
      </w:r>
      <w:r w:rsidR="004944B7" w:rsidRPr="00F454FA">
        <w:rPr>
          <w:sz w:val="22"/>
          <w:szCs w:val="22"/>
        </w:rPr>
        <w:t>(</w:t>
      </w:r>
      <w:r w:rsidR="00FB5952">
        <w:rPr>
          <w:sz w:val="22"/>
          <w:szCs w:val="22"/>
        </w:rPr>
        <w:t>-</w:t>
      </w:r>
      <w:r w:rsidR="00BD52F2">
        <w:rPr>
          <w:sz w:val="22"/>
          <w:szCs w:val="22"/>
        </w:rPr>
        <w:t>2</w:t>
      </w:r>
      <w:r w:rsidR="00AD43CE">
        <w:rPr>
          <w:sz w:val="22"/>
          <w:szCs w:val="22"/>
        </w:rPr>
        <w:t>2</w:t>
      </w:r>
      <w:r w:rsidR="008C6AB3">
        <w:rPr>
          <w:sz w:val="22"/>
          <w:szCs w:val="22"/>
        </w:rPr>
        <w:t>,</w:t>
      </w:r>
      <w:r w:rsidR="00AD43CE">
        <w:rPr>
          <w:sz w:val="22"/>
          <w:szCs w:val="22"/>
        </w:rPr>
        <w:t>7</w:t>
      </w:r>
      <w:r w:rsidR="004944B7" w:rsidRPr="00F454FA">
        <w:rPr>
          <w:sz w:val="22"/>
          <w:szCs w:val="22"/>
        </w:rPr>
        <w:t xml:space="preserve">%) </w:t>
      </w:r>
      <w:r w:rsidR="00A25C66" w:rsidRPr="00F454FA">
        <w:rPr>
          <w:sz w:val="22"/>
          <w:szCs w:val="22"/>
        </w:rPr>
        <w:t xml:space="preserve">w porównaniu z </w:t>
      </w:r>
      <w:r w:rsidR="00AD43CE">
        <w:rPr>
          <w:sz w:val="22"/>
          <w:szCs w:val="22"/>
        </w:rPr>
        <w:t>lipcem</w:t>
      </w:r>
      <w:r w:rsidR="00A25C66" w:rsidRPr="00F454FA">
        <w:rPr>
          <w:sz w:val="22"/>
          <w:szCs w:val="22"/>
        </w:rPr>
        <w:t xml:space="preserve"> </w:t>
      </w:r>
      <w:r w:rsidR="00BF6770" w:rsidRPr="00F454FA">
        <w:rPr>
          <w:sz w:val="22"/>
          <w:szCs w:val="22"/>
        </w:rPr>
        <w:t>20</w:t>
      </w:r>
      <w:r w:rsidR="004944B7" w:rsidRPr="00F454FA">
        <w:rPr>
          <w:sz w:val="22"/>
          <w:szCs w:val="22"/>
        </w:rPr>
        <w:t>19</w:t>
      </w:r>
      <w:r w:rsidR="00BB7EC2">
        <w:rPr>
          <w:sz w:val="22"/>
          <w:szCs w:val="22"/>
        </w:rPr>
        <w:t xml:space="preserve"> r</w:t>
      </w:r>
      <w:r w:rsidR="00CE6789" w:rsidRPr="00F454FA">
        <w:rPr>
          <w:sz w:val="22"/>
          <w:szCs w:val="22"/>
        </w:rPr>
        <w:t xml:space="preserve">. </w:t>
      </w:r>
      <w:r w:rsidR="00FB5952">
        <w:rPr>
          <w:sz w:val="22"/>
          <w:szCs w:val="22"/>
        </w:rPr>
        <w:t>W</w:t>
      </w:r>
      <w:r w:rsidRPr="00F454FA">
        <w:rPr>
          <w:sz w:val="22"/>
          <w:szCs w:val="22"/>
        </w:rPr>
        <w:t xml:space="preserve"> </w:t>
      </w:r>
      <w:r w:rsidR="00E22EA6">
        <w:rPr>
          <w:sz w:val="22"/>
          <w:szCs w:val="22"/>
        </w:rPr>
        <w:t>okresie styczeń</w:t>
      </w:r>
      <w:r w:rsidR="00B14C75">
        <w:rPr>
          <w:sz w:val="22"/>
          <w:szCs w:val="22"/>
        </w:rPr>
        <w:t xml:space="preserve"> </w:t>
      </w:r>
      <w:r w:rsidR="00E22EA6">
        <w:rPr>
          <w:sz w:val="22"/>
          <w:szCs w:val="22"/>
        </w:rPr>
        <w:t>-</w:t>
      </w:r>
      <w:r w:rsidR="00B14C75">
        <w:rPr>
          <w:sz w:val="22"/>
          <w:szCs w:val="22"/>
        </w:rPr>
        <w:t xml:space="preserve"> </w:t>
      </w:r>
      <w:r w:rsidR="00AD43CE">
        <w:rPr>
          <w:sz w:val="22"/>
          <w:szCs w:val="22"/>
        </w:rPr>
        <w:t>lipiec</w:t>
      </w:r>
      <w:r w:rsidR="00E5530A" w:rsidRPr="00F454FA">
        <w:rPr>
          <w:sz w:val="22"/>
          <w:szCs w:val="22"/>
        </w:rPr>
        <w:t xml:space="preserve"> 20</w:t>
      </w:r>
      <w:r w:rsidR="00114554" w:rsidRPr="00F454FA">
        <w:rPr>
          <w:sz w:val="22"/>
          <w:szCs w:val="22"/>
        </w:rPr>
        <w:t>20</w:t>
      </w:r>
      <w:r w:rsidR="00F454FA">
        <w:rPr>
          <w:sz w:val="22"/>
          <w:szCs w:val="22"/>
        </w:rPr>
        <w:t xml:space="preserve"> r.</w:t>
      </w:r>
      <w:r w:rsidRPr="00F454FA">
        <w:rPr>
          <w:sz w:val="22"/>
          <w:szCs w:val="22"/>
        </w:rPr>
        <w:t xml:space="preserve"> </w:t>
      </w:r>
      <w:r w:rsidR="00594452" w:rsidRPr="00F454FA">
        <w:rPr>
          <w:sz w:val="22"/>
          <w:szCs w:val="22"/>
        </w:rPr>
        <w:t xml:space="preserve">już </w:t>
      </w:r>
      <w:r w:rsidR="00AD43CE">
        <w:rPr>
          <w:sz w:val="22"/>
          <w:szCs w:val="22"/>
        </w:rPr>
        <w:t>41</w:t>
      </w:r>
      <w:r w:rsidR="00114554" w:rsidRPr="00F454FA">
        <w:rPr>
          <w:sz w:val="22"/>
          <w:szCs w:val="22"/>
        </w:rPr>
        <w:t>,</w:t>
      </w:r>
      <w:r w:rsidR="00AD43CE">
        <w:rPr>
          <w:sz w:val="22"/>
          <w:szCs w:val="22"/>
        </w:rPr>
        <w:t>7</w:t>
      </w:r>
      <w:r w:rsidR="00594452" w:rsidRPr="00F454FA">
        <w:rPr>
          <w:sz w:val="22"/>
          <w:szCs w:val="22"/>
        </w:rPr>
        <w:t xml:space="preserve">% wartości </w:t>
      </w:r>
      <w:r w:rsidRPr="00F454FA">
        <w:rPr>
          <w:sz w:val="22"/>
          <w:szCs w:val="22"/>
        </w:rPr>
        <w:t xml:space="preserve">udzielonych kredytów </w:t>
      </w:r>
      <w:r w:rsidR="00594452" w:rsidRPr="00F454FA">
        <w:rPr>
          <w:sz w:val="22"/>
          <w:szCs w:val="22"/>
        </w:rPr>
        <w:t>dotyczy</w:t>
      </w:r>
      <w:r w:rsidRPr="00F454FA">
        <w:rPr>
          <w:sz w:val="22"/>
          <w:szCs w:val="22"/>
        </w:rPr>
        <w:t>ło</w:t>
      </w:r>
      <w:r w:rsidR="00594452" w:rsidRPr="00F454FA">
        <w:rPr>
          <w:sz w:val="22"/>
          <w:szCs w:val="22"/>
        </w:rPr>
        <w:t xml:space="preserve"> przedziału kwotowego powyżej </w:t>
      </w:r>
      <w:r w:rsidR="00AD43CE">
        <w:rPr>
          <w:sz w:val="22"/>
          <w:szCs w:val="22"/>
        </w:rPr>
        <w:t>3</w:t>
      </w:r>
      <w:r w:rsidR="00594452" w:rsidRPr="00F454FA">
        <w:rPr>
          <w:sz w:val="22"/>
          <w:szCs w:val="22"/>
        </w:rPr>
        <w:t>50 tys. zł.</w:t>
      </w:r>
      <w:r w:rsidR="00FD6E84" w:rsidRPr="00F454FA">
        <w:rPr>
          <w:sz w:val="22"/>
          <w:szCs w:val="22"/>
        </w:rPr>
        <w:t xml:space="preserve"> </w:t>
      </w:r>
      <w:r w:rsidR="00376EAE" w:rsidRPr="00F454FA">
        <w:rPr>
          <w:sz w:val="22"/>
          <w:szCs w:val="22"/>
        </w:rPr>
        <w:t>Analizując sytuację w poszczególnych przedziałach kwotowych określających wartość udzielanego kredytu mieszkaniowego</w:t>
      </w:r>
      <w:r w:rsidR="00F454FA">
        <w:rPr>
          <w:sz w:val="22"/>
          <w:szCs w:val="22"/>
        </w:rPr>
        <w:t xml:space="preserve"> </w:t>
      </w:r>
      <w:r w:rsidR="00FB5952">
        <w:rPr>
          <w:sz w:val="22"/>
          <w:szCs w:val="22"/>
        </w:rPr>
        <w:t xml:space="preserve">w okresie styczeń – </w:t>
      </w:r>
      <w:r w:rsidR="00AD43CE">
        <w:rPr>
          <w:sz w:val="22"/>
          <w:szCs w:val="22"/>
        </w:rPr>
        <w:t>lipiec</w:t>
      </w:r>
      <w:r w:rsidR="00FB5952">
        <w:rPr>
          <w:sz w:val="22"/>
          <w:szCs w:val="22"/>
        </w:rPr>
        <w:t xml:space="preserve"> 2020 r. </w:t>
      </w:r>
      <w:r w:rsidR="00E92F23" w:rsidRPr="00F454FA">
        <w:rPr>
          <w:sz w:val="22"/>
          <w:szCs w:val="22"/>
        </w:rPr>
        <w:t xml:space="preserve">nadal </w:t>
      </w:r>
      <w:r w:rsidR="00114554" w:rsidRPr="00F454FA">
        <w:rPr>
          <w:sz w:val="22"/>
          <w:szCs w:val="22"/>
        </w:rPr>
        <w:t>tak</w:t>
      </w:r>
      <w:r w:rsidR="00F454FA">
        <w:rPr>
          <w:sz w:val="22"/>
          <w:szCs w:val="22"/>
        </w:rPr>
        <w:t>,</w:t>
      </w:r>
      <w:r w:rsidR="00114554" w:rsidRPr="00F454FA">
        <w:rPr>
          <w:sz w:val="22"/>
          <w:szCs w:val="22"/>
        </w:rPr>
        <w:t xml:space="preserve"> jak</w:t>
      </w:r>
      <w:r w:rsidR="004944B7" w:rsidRPr="00F454FA">
        <w:rPr>
          <w:sz w:val="22"/>
          <w:szCs w:val="22"/>
        </w:rPr>
        <w:t xml:space="preserve"> i w poprzednich okresach</w:t>
      </w:r>
      <w:r w:rsidR="00114554" w:rsidRPr="00F454FA">
        <w:rPr>
          <w:sz w:val="22"/>
          <w:szCs w:val="22"/>
        </w:rPr>
        <w:t xml:space="preserve">, </w:t>
      </w:r>
      <w:r w:rsidR="00376EAE" w:rsidRPr="00F454FA">
        <w:rPr>
          <w:sz w:val="22"/>
          <w:szCs w:val="22"/>
        </w:rPr>
        <w:t xml:space="preserve">obserwujemy odmienne tendencje. </w:t>
      </w:r>
      <w:r w:rsidRPr="00F454FA">
        <w:rPr>
          <w:sz w:val="22"/>
          <w:szCs w:val="22"/>
        </w:rPr>
        <w:t>Dodatnie</w:t>
      </w:r>
      <w:r w:rsidR="00594452" w:rsidRPr="00F454FA">
        <w:rPr>
          <w:sz w:val="22"/>
          <w:szCs w:val="22"/>
        </w:rPr>
        <w:t xml:space="preserve"> dynamiki sprzedaży kredytów mieszkaniowych zarówno w ujęciu </w:t>
      </w:r>
      <w:r w:rsidR="00BB7EC2">
        <w:rPr>
          <w:sz w:val="22"/>
          <w:szCs w:val="22"/>
        </w:rPr>
        <w:t>liczbowym</w:t>
      </w:r>
      <w:r w:rsidR="00FD6E84" w:rsidRPr="00F454FA">
        <w:rPr>
          <w:sz w:val="22"/>
          <w:szCs w:val="22"/>
        </w:rPr>
        <w:t>,</w:t>
      </w:r>
      <w:r w:rsidR="00594452" w:rsidRPr="00F454FA">
        <w:rPr>
          <w:sz w:val="22"/>
          <w:szCs w:val="22"/>
        </w:rPr>
        <w:t xml:space="preserve"> jak i wartościowym dotyczą </w:t>
      </w:r>
      <w:r w:rsidR="00114554" w:rsidRPr="00F454FA">
        <w:rPr>
          <w:sz w:val="22"/>
          <w:szCs w:val="22"/>
        </w:rPr>
        <w:t>tylko</w:t>
      </w:r>
      <w:r w:rsidR="00584124" w:rsidRPr="00F454FA">
        <w:rPr>
          <w:sz w:val="22"/>
          <w:szCs w:val="22"/>
        </w:rPr>
        <w:t xml:space="preserve"> </w:t>
      </w:r>
      <w:r w:rsidR="00594452" w:rsidRPr="00F454FA">
        <w:rPr>
          <w:sz w:val="22"/>
          <w:szCs w:val="22"/>
        </w:rPr>
        <w:t xml:space="preserve">kredytów </w:t>
      </w:r>
      <w:r w:rsidR="00283E6B" w:rsidRPr="00F454FA">
        <w:rPr>
          <w:sz w:val="22"/>
          <w:szCs w:val="22"/>
        </w:rPr>
        <w:t>powyżej</w:t>
      </w:r>
      <w:r w:rsidR="00594452" w:rsidRPr="00F454FA">
        <w:rPr>
          <w:sz w:val="22"/>
          <w:szCs w:val="22"/>
        </w:rPr>
        <w:t xml:space="preserve"> </w:t>
      </w:r>
      <w:r w:rsidR="00AD43CE">
        <w:rPr>
          <w:sz w:val="22"/>
          <w:szCs w:val="22"/>
        </w:rPr>
        <w:t>3</w:t>
      </w:r>
      <w:r w:rsidR="00FB5952">
        <w:rPr>
          <w:sz w:val="22"/>
          <w:szCs w:val="22"/>
        </w:rPr>
        <w:t>5</w:t>
      </w:r>
      <w:r w:rsidR="00594452" w:rsidRPr="00F454FA">
        <w:rPr>
          <w:sz w:val="22"/>
          <w:szCs w:val="22"/>
        </w:rPr>
        <w:t>0 tys. zł</w:t>
      </w:r>
      <w:r w:rsidR="00376EAE" w:rsidRPr="00F454FA">
        <w:rPr>
          <w:sz w:val="22"/>
          <w:szCs w:val="22"/>
        </w:rPr>
        <w:t xml:space="preserve">, których </w:t>
      </w:r>
      <w:r w:rsidR="00FB5952">
        <w:rPr>
          <w:sz w:val="22"/>
          <w:szCs w:val="22"/>
        </w:rPr>
        <w:t xml:space="preserve">pomiędzy styczniem a </w:t>
      </w:r>
      <w:r w:rsidR="00AD43CE">
        <w:rPr>
          <w:sz w:val="22"/>
          <w:szCs w:val="22"/>
        </w:rPr>
        <w:t>lipcem</w:t>
      </w:r>
      <w:r w:rsidR="00376EAE" w:rsidRPr="00F454FA">
        <w:rPr>
          <w:sz w:val="22"/>
          <w:szCs w:val="22"/>
        </w:rPr>
        <w:t xml:space="preserve"> 20</w:t>
      </w:r>
      <w:r w:rsidR="00114554" w:rsidRPr="00F454FA">
        <w:rPr>
          <w:sz w:val="22"/>
          <w:szCs w:val="22"/>
        </w:rPr>
        <w:t>20</w:t>
      </w:r>
      <w:r w:rsidR="00376EAE" w:rsidRPr="00F454FA">
        <w:rPr>
          <w:sz w:val="22"/>
          <w:szCs w:val="22"/>
        </w:rPr>
        <w:t xml:space="preserve"> r. w porównaniu do analogicznego okresu </w:t>
      </w:r>
      <w:r w:rsidR="00BF6770" w:rsidRPr="00F454FA">
        <w:rPr>
          <w:sz w:val="22"/>
          <w:szCs w:val="22"/>
        </w:rPr>
        <w:t>201</w:t>
      </w:r>
      <w:r w:rsidR="00114554" w:rsidRPr="00F454FA">
        <w:rPr>
          <w:sz w:val="22"/>
          <w:szCs w:val="22"/>
        </w:rPr>
        <w:t>9</w:t>
      </w:r>
      <w:r w:rsidR="00BF6770" w:rsidRPr="00F454FA">
        <w:rPr>
          <w:sz w:val="22"/>
          <w:szCs w:val="22"/>
        </w:rPr>
        <w:t xml:space="preserve"> </w:t>
      </w:r>
      <w:r w:rsidR="00376EAE" w:rsidRPr="00F454FA">
        <w:rPr>
          <w:sz w:val="22"/>
          <w:szCs w:val="22"/>
        </w:rPr>
        <w:t>r</w:t>
      </w:r>
      <w:r w:rsidR="00F454FA">
        <w:rPr>
          <w:sz w:val="22"/>
          <w:szCs w:val="22"/>
        </w:rPr>
        <w:t>.</w:t>
      </w:r>
      <w:r w:rsidR="00376EAE" w:rsidRPr="00F454FA">
        <w:rPr>
          <w:sz w:val="22"/>
          <w:szCs w:val="22"/>
        </w:rPr>
        <w:t xml:space="preserve"> w ujęciu liczbowym udzielono więcej o </w:t>
      </w:r>
      <w:r w:rsidR="00AD43CE">
        <w:rPr>
          <w:sz w:val="22"/>
          <w:szCs w:val="22"/>
        </w:rPr>
        <w:t>9,4</w:t>
      </w:r>
      <w:r w:rsidR="00E92F23" w:rsidRPr="00F454FA">
        <w:rPr>
          <w:sz w:val="22"/>
          <w:szCs w:val="22"/>
        </w:rPr>
        <w:t>%</w:t>
      </w:r>
      <w:r w:rsidR="00584124" w:rsidRPr="00F454FA">
        <w:rPr>
          <w:sz w:val="22"/>
          <w:szCs w:val="22"/>
        </w:rPr>
        <w:t>,</w:t>
      </w:r>
      <w:r w:rsidR="00254F83" w:rsidRPr="00F454FA">
        <w:rPr>
          <w:sz w:val="22"/>
          <w:szCs w:val="22"/>
        </w:rPr>
        <w:t xml:space="preserve"> a </w:t>
      </w:r>
      <w:r w:rsidR="00F454FA">
        <w:rPr>
          <w:sz w:val="22"/>
          <w:szCs w:val="22"/>
        </w:rPr>
        <w:t xml:space="preserve">w </w:t>
      </w:r>
      <w:r w:rsidR="00254F83" w:rsidRPr="00F454FA">
        <w:rPr>
          <w:sz w:val="22"/>
          <w:szCs w:val="22"/>
        </w:rPr>
        <w:t xml:space="preserve">wartościowym o </w:t>
      </w:r>
      <w:r w:rsidR="00AD43CE">
        <w:rPr>
          <w:sz w:val="22"/>
          <w:szCs w:val="22"/>
        </w:rPr>
        <w:t>9</w:t>
      </w:r>
      <w:r w:rsidR="00254F83" w:rsidRPr="00F454FA">
        <w:rPr>
          <w:sz w:val="22"/>
          <w:szCs w:val="22"/>
        </w:rPr>
        <w:t>,</w:t>
      </w:r>
      <w:r w:rsidR="00F770C0">
        <w:rPr>
          <w:sz w:val="22"/>
          <w:szCs w:val="22"/>
        </w:rPr>
        <w:t>5</w:t>
      </w:r>
      <w:r w:rsidR="00254F83" w:rsidRPr="00F454FA">
        <w:rPr>
          <w:sz w:val="22"/>
          <w:szCs w:val="22"/>
        </w:rPr>
        <w:t>%</w:t>
      </w:r>
      <w:r w:rsidR="00376EAE" w:rsidRPr="00F454FA">
        <w:rPr>
          <w:sz w:val="22"/>
          <w:szCs w:val="22"/>
        </w:rPr>
        <w:t>.</w:t>
      </w:r>
      <w:r w:rsidR="00376EAE" w:rsidRPr="00DE7236">
        <w:rPr>
          <w:i/>
          <w:sz w:val="22"/>
          <w:szCs w:val="22"/>
        </w:rPr>
        <w:t xml:space="preserve"> </w:t>
      </w:r>
    </w:p>
    <w:p w14:paraId="7F98C0FD" w14:textId="77777777" w:rsidR="00B36B2C" w:rsidRDefault="00B36B2C" w:rsidP="002B3528">
      <w:pPr>
        <w:pStyle w:val="Akapitzlist"/>
        <w:ind w:left="34"/>
        <w:contextualSpacing w:val="0"/>
        <w:jc w:val="both"/>
        <w:rPr>
          <w:i/>
          <w:sz w:val="22"/>
          <w:szCs w:val="22"/>
        </w:rPr>
      </w:pPr>
    </w:p>
    <w:p w14:paraId="2230AEC3" w14:textId="02B80CE1" w:rsidR="00A221E7" w:rsidRDefault="00F454FA" w:rsidP="002B3528">
      <w:pPr>
        <w:pStyle w:val="Akapitzlist"/>
        <w:ind w:left="34"/>
        <w:contextualSpacing w:val="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BF6770">
        <w:rPr>
          <w:i/>
          <w:sz w:val="22"/>
          <w:szCs w:val="22"/>
        </w:rPr>
        <w:t xml:space="preserve">Wyniki </w:t>
      </w:r>
      <w:r w:rsidR="00AD43CE">
        <w:rPr>
          <w:i/>
          <w:sz w:val="22"/>
          <w:szCs w:val="22"/>
        </w:rPr>
        <w:t>lipcowej</w:t>
      </w:r>
      <w:r w:rsidR="006A1DE4">
        <w:rPr>
          <w:i/>
          <w:sz w:val="22"/>
          <w:szCs w:val="22"/>
        </w:rPr>
        <w:t xml:space="preserve"> sprzedaży kredytów mieszkaniowych </w:t>
      </w:r>
      <w:r w:rsidR="00F770C0">
        <w:rPr>
          <w:i/>
          <w:sz w:val="22"/>
          <w:szCs w:val="22"/>
        </w:rPr>
        <w:t xml:space="preserve">są już w pełni odzwierciedleniem </w:t>
      </w:r>
      <w:r w:rsidR="00AD43CE">
        <w:rPr>
          <w:i/>
          <w:sz w:val="22"/>
          <w:szCs w:val="22"/>
        </w:rPr>
        <w:t xml:space="preserve">końcówki </w:t>
      </w:r>
      <w:r w:rsidR="00F770C0">
        <w:rPr>
          <w:i/>
          <w:sz w:val="22"/>
          <w:szCs w:val="22"/>
        </w:rPr>
        <w:t>lockdownu</w:t>
      </w:r>
      <w:r w:rsidR="00AD43CE">
        <w:rPr>
          <w:i/>
          <w:sz w:val="22"/>
          <w:szCs w:val="22"/>
        </w:rPr>
        <w:t xml:space="preserve"> oraz początku defrostingu</w:t>
      </w:r>
      <w:r w:rsidR="00F770C0">
        <w:rPr>
          <w:i/>
          <w:sz w:val="22"/>
          <w:szCs w:val="22"/>
        </w:rPr>
        <w:t xml:space="preserve">. </w:t>
      </w:r>
      <w:r w:rsidR="00595036">
        <w:rPr>
          <w:i/>
          <w:sz w:val="22"/>
          <w:szCs w:val="22"/>
        </w:rPr>
        <w:t>Lepszy od czerwca</w:t>
      </w:r>
      <w:r w:rsidR="00A248AA">
        <w:rPr>
          <w:i/>
          <w:sz w:val="22"/>
          <w:szCs w:val="22"/>
        </w:rPr>
        <w:t xml:space="preserve"> </w:t>
      </w:r>
      <w:r w:rsidR="00AD43CE">
        <w:rPr>
          <w:i/>
          <w:sz w:val="22"/>
          <w:szCs w:val="22"/>
        </w:rPr>
        <w:t>lipiec</w:t>
      </w:r>
      <w:r w:rsidR="00A248AA">
        <w:rPr>
          <w:i/>
          <w:sz w:val="22"/>
          <w:szCs w:val="22"/>
        </w:rPr>
        <w:t xml:space="preserve"> </w:t>
      </w:r>
      <w:r w:rsidR="005D2DB5">
        <w:rPr>
          <w:i/>
          <w:sz w:val="22"/>
          <w:szCs w:val="22"/>
        </w:rPr>
        <w:t xml:space="preserve">(+8,3% liczbowo oraz 8% wartościowo), </w:t>
      </w:r>
      <w:r w:rsidR="00A248AA">
        <w:rPr>
          <w:i/>
          <w:sz w:val="22"/>
          <w:szCs w:val="22"/>
        </w:rPr>
        <w:t xml:space="preserve">sygnalizował </w:t>
      </w:r>
      <w:r w:rsidR="006A1DE4">
        <w:rPr>
          <w:i/>
          <w:sz w:val="22"/>
          <w:szCs w:val="22"/>
        </w:rPr>
        <w:t xml:space="preserve">już </w:t>
      </w:r>
      <w:r w:rsidR="005D2DB5">
        <w:rPr>
          <w:i/>
          <w:sz w:val="22"/>
          <w:szCs w:val="22"/>
        </w:rPr>
        <w:t xml:space="preserve">lepszy </w:t>
      </w:r>
      <w:r w:rsidR="00AD43CE">
        <w:rPr>
          <w:i/>
          <w:sz w:val="22"/>
          <w:szCs w:val="22"/>
        </w:rPr>
        <w:t>czerwcowy</w:t>
      </w:r>
      <w:r w:rsidR="00BF6770">
        <w:rPr>
          <w:i/>
          <w:sz w:val="22"/>
          <w:szCs w:val="22"/>
        </w:rPr>
        <w:t xml:space="preserve"> odczyt</w:t>
      </w:r>
      <w:r w:rsidR="00CE6789">
        <w:rPr>
          <w:i/>
          <w:sz w:val="22"/>
          <w:szCs w:val="22"/>
        </w:rPr>
        <w:t xml:space="preserve"> Indeks</w:t>
      </w:r>
      <w:r w:rsidR="003F7973">
        <w:rPr>
          <w:i/>
          <w:sz w:val="22"/>
          <w:szCs w:val="22"/>
        </w:rPr>
        <w:t>u</w:t>
      </w:r>
      <w:r w:rsidR="00CE6789">
        <w:rPr>
          <w:i/>
          <w:sz w:val="22"/>
          <w:szCs w:val="22"/>
        </w:rPr>
        <w:t xml:space="preserve"> Popytu na kredyty mieszkaniowe</w:t>
      </w:r>
      <w:r w:rsidR="00AD43CE">
        <w:rPr>
          <w:i/>
          <w:sz w:val="22"/>
          <w:szCs w:val="22"/>
        </w:rPr>
        <w:t xml:space="preserve"> </w:t>
      </w:r>
      <w:r w:rsidR="00CE6789">
        <w:rPr>
          <w:i/>
          <w:sz w:val="22"/>
          <w:szCs w:val="22"/>
        </w:rPr>
        <w:t>(</w:t>
      </w:r>
      <w:r w:rsidR="006A1DE4">
        <w:rPr>
          <w:i/>
          <w:sz w:val="22"/>
          <w:szCs w:val="22"/>
        </w:rPr>
        <w:t>-</w:t>
      </w:r>
      <w:r w:rsidR="00AD43CE">
        <w:rPr>
          <w:i/>
          <w:sz w:val="22"/>
          <w:szCs w:val="22"/>
        </w:rPr>
        <w:t>6</w:t>
      </w:r>
      <w:r w:rsidR="00CE6789">
        <w:rPr>
          <w:i/>
          <w:sz w:val="22"/>
          <w:szCs w:val="22"/>
        </w:rPr>
        <w:t>,</w:t>
      </w:r>
      <w:r w:rsidR="00AD43CE">
        <w:rPr>
          <w:i/>
          <w:sz w:val="22"/>
          <w:szCs w:val="22"/>
        </w:rPr>
        <w:t>7</w:t>
      </w:r>
      <w:r w:rsidR="00CE6789">
        <w:rPr>
          <w:i/>
          <w:sz w:val="22"/>
          <w:szCs w:val="22"/>
        </w:rPr>
        <w:t>%)</w:t>
      </w:r>
      <w:r w:rsidR="009C5683">
        <w:rPr>
          <w:i/>
          <w:sz w:val="22"/>
          <w:szCs w:val="22"/>
        </w:rPr>
        <w:t>.</w:t>
      </w:r>
      <w:r w:rsidR="009C5683">
        <w:rPr>
          <w:sz w:val="22"/>
          <w:szCs w:val="22"/>
        </w:rPr>
        <w:t xml:space="preserve"> </w:t>
      </w:r>
      <w:r w:rsidR="00FB096B" w:rsidRPr="00FB096B">
        <w:rPr>
          <w:i/>
          <w:sz w:val="22"/>
          <w:szCs w:val="22"/>
        </w:rPr>
        <w:t xml:space="preserve">Trzeba </w:t>
      </w:r>
      <w:r w:rsidR="005D2DB5">
        <w:rPr>
          <w:i/>
          <w:sz w:val="22"/>
          <w:szCs w:val="22"/>
        </w:rPr>
        <w:t xml:space="preserve">jednak </w:t>
      </w:r>
      <w:r w:rsidR="00FB096B" w:rsidRPr="00FB096B">
        <w:rPr>
          <w:i/>
          <w:sz w:val="22"/>
          <w:szCs w:val="22"/>
        </w:rPr>
        <w:t>pamiętać</w:t>
      </w:r>
      <w:r w:rsidR="00FB096B">
        <w:rPr>
          <w:sz w:val="22"/>
          <w:szCs w:val="22"/>
        </w:rPr>
        <w:t xml:space="preserve">, że </w:t>
      </w:r>
      <w:r w:rsidR="00FB096B">
        <w:rPr>
          <w:i/>
          <w:sz w:val="22"/>
          <w:szCs w:val="22"/>
        </w:rPr>
        <w:t>s</w:t>
      </w:r>
      <w:r w:rsidR="006A1DE4">
        <w:rPr>
          <w:i/>
          <w:sz w:val="22"/>
          <w:szCs w:val="22"/>
        </w:rPr>
        <w:t>ytuacja na rynku kredytów mieszkaniowych jest determinowana</w:t>
      </w:r>
      <w:r w:rsidR="00A248AA">
        <w:rPr>
          <w:i/>
          <w:sz w:val="22"/>
          <w:szCs w:val="22"/>
        </w:rPr>
        <w:t xml:space="preserve"> zachowani</w:t>
      </w:r>
      <w:r w:rsidR="006A1DE4">
        <w:rPr>
          <w:i/>
          <w:sz w:val="22"/>
          <w:szCs w:val="22"/>
        </w:rPr>
        <w:t>em</w:t>
      </w:r>
      <w:r w:rsidR="00A248AA">
        <w:rPr>
          <w:i/>
          <w:sz w:val="22"/>
          <w:szCs w:val="22"/>
        </w:rPr>
        <w:t xml:space="preserve"> </w:t>
      </w:r>
      <w:r w:rsidR="005D2DB5">
        <w:rPr>
          <w:i/>
          <w:sz w:val="22"/>
          <w:szCs w:val="22"/>
        </w:rPr>
        <w:t xml:space="preserve">zarówno </w:t>
      </w:r>
      <w:r w:rsidR="00A248AA">
        <w:rPr>
          <w:i/>
          <w:sz w:val="22"/>
          <w:szCs w:val="22"/>
        </w:rPr>
        <w:t>potencjalnych kredytobiorców</w:t>
      </w:r>
      <w:r w:rsidR="00B14C75">
        <w:rPr>
          <w:i/>
          <w:sz w:val="22"/>
          <w:szCs w:val="22"/>
        </w:rPr>
        <w:t>,</w:t>
      </w:r>
      <w:r w:rsidR="00A248AA">
        <w:rPr>
          <w:i/>
          <w:sz w:val="22"/>
          <w:szCs w:val="22"/>
        </w:rPr>
        <w:t xml:space="preserve"> chcących nabyć nieruchomość </w:t>
      </w:r>
      <w:r w:rsidR="00BB7EC2">
        <w:rPr>
          <w:i/>
          <w:sz w:val="22"/>
          <w:szCs w:val="22"/>
        </w:rPr>
        <w:t>na</w:t>
      </w:r>
      <w:r w:rsidR="003F1FCD">
        <w:rPr>
          <w:i/>
          <w:sz w:val="22"/>
          <w:szCs w:val="22"/>
        </w:rPr>
        <w:t xml:space="preserve"> kredyt</w:t>
      </w:r>
      <w:r w:rsidR="00BB7EC2">
        <w:rPr>
          <w:i/>
          <w:sz w:val="22"/>
          <w:szCs w:val="22"/>
        </w:rPr>
        <w:t>,</w:t>
      </w:r>
      <w:r w:rsidR="003F1FCD">
        <w:rPr>
          <w:i/>
          <w:sz w:val="22"/>
          <w:szCs w:val="22"/>
        </w:rPr>
        <w:t xml:space="preserve"> jak i banków udzielających kredytów. Banki</w:t>
      </w:r>
      <w:r w:rsidR="00BB7EC2">
        <w:rPr>
          <w:i/>
          <w:sz w:val="22"/>
          <w:szCs w:val="22"/>
        </w:rPr>
        <w:t>,</w:t>
      </w:r>
      <w:r w:rsidR="003F1FCD">
        <w:rPr>
          <w:i/>
          <w:sz w:val="22"/>
          <w:szCs w:val="22"/>
        </w:rPr>
        <w:t xml:space="preserve"> w nadal dużej niepewności</w:t>
      </w:r>
      <w:r w:rsidR="00BB7EC2">
        <w:rPr>
          <w:i/>
          <w:sz w:val="22"/>
          <w:szCs w:val="22"/>
        </w:rPr>
        <w:t>,</w:t>
      </w:r>
      <w:r w:rsidR="00B14C75">
        <w:rPr>
          <w:i/>
          <w:sz w:val="22"/>
          <w:szCs w:val="22"/>
        </w:rPr>
        <w:t xml:space="preserve"> </w:t>
      </w:r>
      <w:r w:rsidR="003F1FCD">
        <w:rPr>
          <w:i/>
          <w:sz w:val="22"/>
          <w:szCs w:val="22"/>
        </w:rPr>
        <w:t>maj</w:t>
      </w:r>
      <w:r w:rsidR="00BB7EC2">
        <w:rPr>
          <w:i/>
          <w:sz w:val="22"/>
          <w:szCs w:val="22"/>
        </w:rPr>
        <w:t>ą</w:t>
      </w:r>
      <w:r w:rsidR="003F1FCD">
        <w:rPr>
          <w:i/>
          <w:sz w:val="22"/>
          <w:szCs w:val="22"/>
        </w:rPr>
        <w:t xml:space="preserve"> </w:t>
      </w:r>
      <w:r w:rsidR="006A1DE4">
        <w:rPr>
          <w:i/>
          <w:sz w:val="22"/>
          <w:szCs w:val="22"/>
        </w:rPr>
        <w:t>zaostrzon</w:t>
      </w:r>
      <w:r w:rsidR="003F1FCD">
        <w:rPr>
          <w:i/>
          <w:sz w:val="22"/>
          <w:szCs w:val="22"/>
        </w:rPr>
        <w:t>ą</w:t>
      </w:r>
      <w:r w:rsidR="006A1DE4">
        <w:rPr>
          <w:i/>
          <w:sz w:val="22"/>
          <w:szCs w:val="22"/>
        </w:rPr>
        <w:t xml:space="preserve"> </w:t>
      </w:r>
      <w:r w:rsidR="00F7188C">
        <w:rPr>
          <w:i/>
          <w:sz w:val="22"/>
          <w:szCs w:val="22"/>
        </w:rPr>
        <w:t>polityk</w:t>
      </w:r>
      <w:r w:rsidR="003F1FCD">
        <w:rPr>
          <w:i/>
          <w:sz w:val="22"/>
          <w:szCs w:val="22"/>
        </w:rPr>
        <w:t>ę</w:t>
      </w:r>
      <w:r w:rsidR="00F7188C">
        <w:rPr>
          <w:i/>
          <w:sz w:val="22"/>
          <w:szCs w:val="22"/>
        </w:rPr>
        <w:t xml:space="preserve"> kredytow</w:t>
      </w:r>
      <w:r w:rsidR="003F1FCD">
        <w:rPr>
          <w:i/>
          <w:sz w:val="22"/>
          <w:szCs w:val="22"/>
        </w:rPr>
        <w:t>ą</w:t>
      </w:r>
      <w:r w:rsidR="00FB4223">
        <w:rPr>
          <w:i/>
          <w:sz w:val="22"/>
          <w:szCs w:val="22"/>
        </w:rPr>
        <w:t>,</w:t>
      </w:r>
      <w:r w:rsidR="00F7188C">
        <w:rPr>
          <w:i/>
          <w:sz w:val="22"/>
          <w:szCs w:val="22"/>
        </w:rPr>
        <w:t xml:space="preserve"> </w:t>
      </w:r>
      <w:r w:rsidR="00B14C75">
        <w:rPr>
          <w:i/>
          <w:sz w:val="22"/>
          <w:szCs w:val="22"/>
        </w:rPr>
        <w:t>skutkując</w:t>
      </w:r>
      <w:r w:rsidR="003F1FCD">
        <w:rPr>
          <w:i/>
          <w:sz w:val="22"/>
          <w:szCs w:val="22"/>
        </w:rPr>
        <w:t>ą</w:t>
      </w:r>
      <w:r w:rsidR="006A1DE4">
        <w:rPr>
          <w:i/>
          <w:sz w:val="22"/>
          <w:szCs w:val="22"/>
        </w:rPr>
        <w:t xml:space="preserve"> ograniczon</w:t>
      </w:r>
      <w:r w:rsidR="00B14C75">
        <w:rPr>
          <w:i/>
          <w:sz w:val="22"/>
          <w:szCs w:val="22"/>
        </w:rPr>
        <w:t>ą</w:t>
      </w:r>
      <w:r w:rsidR="006A1DE4">
        <w:rPr>
          <w:i/>
          <w:sz w:val="22"/>
          <w:szCs w:val="22"/>
        </w:rPr>
        <w:t xml:space="preserve"> </w:t>
      </w:r>
      <w:r w:rsidR="00F7188C">
        <w:rPr>
          <w:i/>
          <w:sz w:val="22"/>
          <w:szCs w:val="22"/>
        </w:rPr>
        <w:t>dostępnoś</w:t>
      </w:r>
      <w:r w:rsidR="00B14C75">
        <w:rPr>
          <w:i/>
          <w:sz w:val="22"/>
          <w:szCs w:val="22"/>
        </w:rPr>
        <w:t>cią</w:t>
      </w:r>
      <w:r w:rsidR="00F7188C">
        <w:rPr>
          <w:i/>
          <w:sz w:val="22"/>
          <w:szCs w:val="22"/>
        </w:rPr>
        <w:t xml:space="preserve"> kredytu</w:t>
      </w:r>
      <w:r w:rsidR="006A1DE4">
        <w:rPr>
          <w:i/>
          <w:sz w:val="22"/>
          <w:szCs w:val="22"/>
        </w:rPr>
        <w:t>,</w:t>
      </w:r>
      <w:r w:rsidR="00F7188C">
        <w:rPr>
          <w:i/>
          <w:sz w:val="22"/>
          <w:szCs w:val="22"/>
        </w:rPr>
        <w:t xml:space="preserve"> szczególnie w wyniku zmniejszenia akceptowalnego poziomu wskaźnika LtV</w:t>
      </w:r>
      <w:r w:rsidR="00B14C75">
        <w:rPr>
          <w:i/>
          <w:sz w:val="22"/>
          <w:szCs w:val="22"/>
        </w:rPr>
        <w:t xml:space="preserve">. Te czynniki oraz </w:t>
      </w:r>
      <w:r w:rsidR="00F7188C">
        <w:rPr>
          <w:i/>
          <w:sz w:val="22"/>
          <w:szCs w:val="22"/>
        </w:rPr>
        <w:t xml:space="preserve">wyższe wymagania </w:t>
      </w:r>
      <w:r w:rsidR="00B14C75">
        <w:rPr>
          <w:i/>
          <w:sz w:val="22"/>
          <w:szCs w:val="22"/>
        </w:rPr>
        <w:t xml:space="preserve">odnośnie </w:t>
      </w:r>
      <w:r w:rsidR="00F7188C">
        <w:rPr>
          <w:i/>
          <w:sz w:val="22"/>
          <w:szCs w:val="22"/>
        </w:rPr>
        <w:t>wysokości wkładu własnego</w:t>
      </w:r>
      <w:r w:rsidR="00B14C75">
        <w:rPr>
          <w:i/>
          <w:sz w:val="22"/>
          <w:szCs w:val="22"/>
        </w:rPr>
        <w:t xml:space="preserve"> mogą stanowić istotną barierę</w:t>
      </w:r>
      <w:r w:rsidR="006A1DE4">
        <w:rPr>
          <w:i/>
          <w:sz w:val="22"/>
          <w:szCs w:val="22"/>
        </w:rPr>
        <w:t xml:space="preserve"> uzyskania kredytu</w:t>
      </w:r>
      <w:r w:rsidR="00B14C75">
        <w:rPr>
          <w:i/>
          <w:sz w:val="22"/>
          <w:szCs w:val="22"/>
        </w:rPr>
        <w:t>,</w:t>
      </w:r>
      <w:r w:rsidR="006A1DE4">
        <w:rPr>
          <w:i/>
          <w:sz w:val="22"/>
          <w:szCs w:val="22"/>
        </w:rPr>
        <w:t xml:space="preserve"> szczególnie w grupie wiekowej 22 – 35 lat</w:t>
      </w:r>
      <w:r w:rsidR="00B14C75">
        <w:rPr>
          <w:i/>
          <w:sz w:val="22"/>
          <w:szCs w:val="22"/>
        </w:rPr>
        <w:t xml:space="preserve">. </w:t>
      </w:r>
      <w:r w:rsidR="003F1FCD">
        <w:rPr>
          <w:i/>
          <w:sz w:val="22"/>
          <w:szCs w:val="22"/>
        </w:rPr>
        <w:t>Stąd duże ujemne dynamiki w przedziałach</w:t>
      </w:r>
      <w:r w:rsidR="00BB7EC2">
        <w:rPr>
          <w:i/>
          <w:sz w:val="22"/>
          <w:szCs w:val="22"/>
        </w:rPr>
        <w:t xml:space="preserve"> kredytów</w:t>
      </w:r>
      <w:r w:rsidR="003F1FCD">
        <w:rPr>
          <w:i/>
          <w:sz w:val="22"/>
          <w:szCs w:val="22"/>
        </w:rPr>
        <w:t xml:space="preserve"> 100 -150 tys</w:t>
      </w:r>
      <w:r w:rsidR="002F1EA6">
        <w:rPr>
          <w:i/>
          <w:sz w:val="22"/>
          <w:szCs w:val="22"/>
        </w:rPr>
        <w:t>.</w:t>
      </w:r>
      <w:r w:rsidR="003F1FCD">
        <w:rPr>
          <w:i/>
          <w:sz w:val="22"/>
          <w:szCs w:val="22"/>
        </w:rPr>
        <w:t xml:space="preserve"> zł or</w:t>
      </w:r>
      <w:r w:rsidR="00BB7EC2">
        <w:rPr>
          <w:i/>
          <w:sz w:val="22"/>
          <w:szCs w:val="22"/>
        </w:rPr>
        <w:t>a</w:t>
      </w:r>
      <w:r w:rsidR="003F1FCD">
        <w:rPr>
          <w:i/>
          <w:sz w:val="22"/>
          <w:szCs w:val="22"/>
        </w:rPr>
        <w:t>z 150 – 200 tys. zł (odpowiednio liczbowo minus 24,2% oraz minus 20,5%). To właśnie strona podażowa a nie popytowa (która praktycznie już się odbudowała – lipcowy odczyt Indeksu popytu to tylko minus 3,5%,</w:t>
      </w:r>
      <w:r w:rsidR="00FA1096">
        <w:rPr>
          <w:i/>
          <w:sz w:val="22"/>
          <w:szCs w:val="22"/>
        </w:rPr>
        <w:t xml:space="preserve"> decydowa</w:t>
      </w:r>
      <w:r w:rsidR="003F1FCD">
        <w:rPr>
          <w:i/>
          <w:sz w:val="22"/>
          <w:szCs w:val="22"/>
        </w:rPr>
        <w:t>ć</w:t>
      </w:r>
      <w:r w:rsidR="00FA1096">
        <w:rPr>
          <w:i/>
          <w:sz w:val="22"/>
          <w:szCs w:val="22"/>
        </w:rPr>
        <w:t xml:space="preserve"> </w:t>
      </w:r>
      <w:r w:rsidR="003F1FCD">
        <w:rPr>
          <w:i/>
          <w:sz w:val="22"/>
          <w:szCs w:val="22"/>
        </w:rPr>
        <w:t xml:space="preserve">będzie </w:t>
      </w:r>
      <w:r w:rsidR="00FA1096">
        <w:rPr>
          <w:i/>
          <w:sz w:val="22"/>
          <w:szCs w:val="22"/>
        </w:rPr>
        <w:t>o oblicz</w:t>
      </w:r>
      <w:r w:rsidR="00FB4223">
        <w:rPr>
          <w:i/>
          <w:sz w:val="22"/>
          <w:szCs w:val="22"/>
        </w:rPr>
        <w:t>u</w:t>
      </w:r>
      <w:r w:rsidR="00FA1096">
        <w:rPr>
          <w:i/>
          <w:sz w:val="22"/>
          <w:szCs w:val="22"/>
        </w:rPr>
        <w:t xml:space="preserve"> rynku kredytów mieszkaniowych w kolejnych miesiącach i całej drugiej połowie 2020 r.</w:t>
      </w:r>
      <w:r w:rsidR="003F1FCD">
        <w:rPr>
          <w:i/>
          <w:sz w:val="22"/>
          <w:szCs w:val="22"/>
        </w:rPr>
        <w:t xml:space="preserve"> </w:t>
      </w:r>
      <w:r w:rsidR="00E1561F">
        <w:rPr>
          <w:i/>
          <w:sz w:val="22"/>
          <w:szCs w:val="22"/>
        </w:rPr>
        <w:t>B</w:t>
      </w:r>
      <w:r w:rsidR="003F1FCD">
        <w:rPr>
          <w:i/>
          <w:sz w:val="22"/>
          <w:szCs w:val="22"/>
        </w:rPr>
        <w:t>anki sygnalizują już w cyklicznej ankiecie sporządzanej dla NBP poluzowanie wymagań wobec potencjalnych kredytobiorców hipotecznych</w:t>
      </w:r>
      <w:r w:rsidR="00E1561F">
        <w:rPr>
          <w:i/>
          <w:sz w:val="22"/>
          <w:szCs w:val="22"/>
        </w:rPr>
        <w:t xml:space="preserve"> </w:t>
      </w:r>
      <w:r w:rsidR="00F7188C" w:rsidRPr="00F454FA">
        <w:rPr>
          <w:sz w:val="22"/>
          <w:szCs w:val="22"/>
        </w:rPr>
        <w:t>–</w:t>
      </w:r>
      <w:r w:rsidR="00F7188C">
        <w:rPr>
          <w:sz w:val="22"/>
          <w:szCs w:val="22"/>
        </w:rPr>
        <w:t xml:space="preserve"> progno</w:t>
      </w:r>
      <w:r w:rsidR="00F7188C" w:rsidRPr="00F454FA">
        <w:rPr>
          <w:sz w:val="22"/>
          <w:szCs w:val="22"/>
        </w:rPr>
        <w:t>zuje prof. Rogowski</w:t>
      </w:r>
      <w:r w:rsidR="003573A4">
        <w:rPr>
          <w:sz w:val="22"/>
          <w:szCs w:val="22"/>
        </w:rPr>
        <w:t xml:space="preserve">. </w:t>
      </w:r>
    </w:p>
    <w:p w14:paraId="40AD2444" w14:textId="77777777" w:rsidR="003573A4" w:rsidRDefault="003573A4" w:rsidP="002B3528">
      <w:pPr>
        <w:pStyle w:val="Akapitzlist"/>
        <w:ind w:left="34"/>
        <w:contextualSpacing w:val="0"/>
        <w:jc w:val="both"/>
        <w:rPr>
          <w:sz w:val="22"/>
          <w:szCs w:val="22"/>
        </w:rPr>
      </w:pPr>
    </w:p>
    <w:p w14:paraId="4D550BBC" w14:textId="77777777" w:rsidR="00F7188C" w:rsidRDefault="00051713" w:rsidP="002B3528">
      <w:pPr>
        <w:pStyle w:val="Akapitzlist"/>
        <w:ind w:left="34"/>
        <w:contextualSpacing w:val="0"/>
        <w:jc w:val="both"/>
        <w:rPr>
          <w:sz w:val="22"/>
          <w:szCs w:val="22"/>
        </w:rPr>
      </w:pPr>
      <w:r w:rsidRPr="00216AB5">
        <w:rPr>
          <w:sz w:val="22"/>
          <w:szCs w:val="22"/>
        </w:rPr>
        <w:t>Miesięczny odczyt Indeksu Jakości por</w:t>
      </w:r>
      <w:r w:rsidR="0023077E">
        <w:rPr>
          <w:sz w:val="22"/>
          <w:szCs w:val="22"/>
        </w:rPr>
        <w:t xml:space="preserve">tfela kredytów mieszkaniowych w </w:t>
      </w:r>
      <w:r w:rsidR="003F1FCD">
        <w:rPr>
          <w:sz w:val="22"/>
          <w:szCs w:val="22"/>
        </w:rPr>
        <w:t>lipcu</w:t>
      </w:r>
      <w:r w:rsidR="00F7188C">
        <w:rPr>
          <w:sz w:val="22"/>
          <w:szCs w:val="22"/>
        </w:rPr>
        <w:t xml:space="preserve"> </w:t>
      </w:r>
      <w:r w:rsidRPr="00216AB5">
        <w:rPr>
          <w:sz w:val="22"/>
          <w:szCs w:val="22"/>
        </w:rPr>
        <w:t>20</w:t>
      </w:r>
      <w:r w:rsidR="00114554">
        <w:rPr>
          <w:sz w:val="22"/>
          <w:szCs w:val="22"/>
        </w:rPr>
        <w:t>20</w:t>
      </w:r>
      <w:r w:rsidRPr="00216AB5">
        <w:rPr>
          <w:sz w:val="22"/>
          <w:szCs w:val="22"/>
        </w:rPr>
        <w:t xml:space="preserve"> r. wyniósł </w:t>
      </w:r>
      <w:r w:rsidRPr="0011201C">
        <w:rPr>
          <w:sz w:val="22"/>
          <w:szCs w:val="22"/>
        </w:rPr>
        <w:t>0,</w:t>
      </w:r>
      <w:r w:rsidR="00FA1096">
        <w:rPr>
          <w:sz w:val="22"/>
          <w:szCs w:val="22"/>
        </w:rPr>
        <w:t>84</w:t>
      </w:r>
      <w:r w:rsidRPr="0011201C">
        <w:rPr>
          <w:sz w:val="22"/>
          <w:szCs w:val="22"/>
        </w:rPr>
        <w:t>%</w:t>
      </w:r>
      <w:r w:rsidR="00375261" w:rsidRPr="00216AB5">
        <w:rPr>
          <w:sz w:val="22"/>
          <w:szCs w:val="22"/>
        </w:rPr>
        <w:t xml:space="preserve">. </w:t>
      </w:r>
    </w:p>
    <w:p w14:paraId="52B00CA1" w14:textId="308408A0" w:rsidR="001B59DD" w:rsidRPr="0011201C" w:rsidRDefault="00375261" w:rsidP="002B3528">
      <w:pPr>
        <w:pStyle w:val="Akapitzlist"/>
        <w:ind w:left="34"/>
        <w:contextualSpacing w:val="0"/>
        <w:jc w:val="both"/>
        <w:rPr>
          <w:sz w:val="22"/>
          <w:szCs w:val="22"/>
        </w:rPr>
      </w:pPr>
      <w:r w:rsidRPr="00216AB5">
        <w:rPr>
          <w:sz w:val="22"/>
          <w:szCs w:val="22"/>
        </w:rPr>
        <w:lastRenderedPageBreak/>
        <w:t xml:space="preserve">W ostatnich 12 miesiącach </w:t>
      </w:r>
      <w:r w:rsidR="00922F60" w:rsidRPr="00216AB5">
        <w:rPr>
          <w:sz w:val="22"/>
          <w:szCs w:val="22"/>
        </w:rPr>
        <w:t>(</w:t>
      </w:r>
      <w:r w:rsidR="003F1FCD">
        <w:rPr>
          <w:sz w:val="22"/>
          <w:szCs w:val="22"/>
        </w:rPr>
        <w:t>lipiec</w:t>
      </w:r>
      <w:r w:rsidR="0008249F" w:rsidRPr="00216AB5">
        <w:rPr>
          <w:sz w:val="22"/>
          <w:szCs w:val="22"/>
        </w:rPr>
        <w:t xml:space="preserve"> </w:t>
      </w:r>
      <w:r w:rsidR="00E1561F">
        <w:rPr>
          <w:sz w:val="22"/>
          <w:szCs w:val="22"/>
        </w:rPr>
        <w:t xml:space="preserve">2019 </w:t>
      </w:r>
      <w:r w:rsidR="003573A4">
        <w:rPr>
          <w:sz w:val="22"/>
          <w:szCs w:val="22"/>
        </w:rPr>
        <w:t>r.</w:t>
      </w:r>
      <w:r w:rsidR="00922F60" w:rsidRPr="00216AB5">
        <w:rPr>
          <w:sz w:val="22"/>
          <w:szCs w:val="22"/>
        </w:rPr>
        <w:t xml:space="preserve"> </w:t>
      </w:r>
      <w:r w:rsidR="003F1FCD">
        <w:rPr>
          <w:sz w:val="22"/>
          <w:szCs w:val="22"/>
        </w:rPr>
        <w:t>- lipiec</w:t>
      </w:r>
      <w:r w:rsidR="0008249F" w:rsidRPr="00216AB5">
        <w:rPr>
          <w:sz w:val="22"/>
          <w:szCs w:val="22"/>
        </w:rPr>
        <w:t xml:space="preserve"> </w:t>
      </w:r>
      <w:r w:rsidR="00E1561F">
        <w:rPr>
          <w:sz w:val="22"/>
          <w:szCs w:val="22"/>
        </w:rPr>
        <w:t>2020</w:t>
      </w:r>
      <w:r w:rsidR="003573A4">
        <w:rPr>
          <w:sz w:val="22"/>
          <w:szCs w:val="22"/>
        </w:rPr>
        <w:t xml:space="preserve"> r.</w:t>
      </w:r>
      <w:r w:rsidR="00922F60" w:rsidRPr="00216AB5">
        <w:rPr>
          <w:sz w:val="22"/>
          <w:szCs w:val="22"/>
        </w:rPr>
        <w:t xml:space="preserve">) </w:t>
      </w:r>
      <w:r w:rsidR="00C52C0F" w:rsidRPr="00216AB5">
        <w:rPr>
          <w:sz w:val="22"/>
          <w:szCs w:val="22"/>
        </w:rPr>
        <w:t>jakość portfela</w:t>
      </w:r>
      <w:r w:rsidR="00C52C0F" w:rsidRPr="0011201C">
        <w:rPr>
          <w:sz w:val="22"/>
          <w:szCs w:val="22"/>
        </w:rPr>
        <w:t xml:space="preserve"> </w:t>
      </w:r>
      <w:r w:rsidR="006B4395">
        <w:rPr>
          <w:sz w:val="22"/>
          <w:szCs w:val="22"/>
        </w:rPr>
        <w:t xml:space="preserve">nieznacznie </w:t>
      </w:r>
      <w:r w:rsidR="00176C94" w:rsidRPr="0011201C">
        <w:rPr>
          <w:sz w:val="22"/>
          <w:szCs w:val="22"/>
        </w:rPr>
        <w:t>się</w:t>
      </w:r>
      <w:r w:rsidR="006B4395">
        <w:rPr>
          <w:sz w:val="22"/>
          <w:szCs w:val="22"/>
        </w:rPr>
        <w:t xml:space="preserve"> </w:t>
      </w:r>
      <w:r w:rsidR="00B365E5">
        <w:rPr>
          <w:sz w:val="22"/>
          <w:szCs w:val="22"/>
        </w:rPr>
        <w:t>pogorszyła</w:t>
      </w:r>
      <w:r w:rsidR="00922F60" w:rsidRPr="0011201C">
        <w:rPr>
          <w:sz w:val="22"/>
          <w:szCs w:val="22"/>
        </w:rPr>
        <w:t>,</w:t>
      </w:r>
      <w:r w:rsidRPr="0011201C">
        <w:rPr>
          <w:sz w:val="22"/>
          <w:szCs w:val="22"/>
        </w:rPr>
        <w:t xml:space="preserve"> </w:t>
      </w:r>
      <w:r w:rsidRPr="00216AB5">
        <w:rPr>
          <w:sz w:val="22"/>
          <w:szCs w:val="22"/>
        </w:rPr>
        <w:t xml:space="preserve">o czym świadczy </w:t>
      </w:r>
      <w:r w:rsidR="008D7C5E">
        <w:rPr>
          <w:sz w:val="22"/>
          <w:szCs w:val="22"/>
        </w:rPr>
        <w:t xml:space="preserve">niewielki </w:t>
      </w:r>
      <w:r w:rsidR="00B365E5">
        <w:rPr>
          <w:sz w:val="22"/>
          <w:szCs w:val="22"/>
        </w:rPr>
        <w:t>wzrost</w:t>
      </w:r>
      <w:r w:rsidR="008D7C5E">
        <w:rPr>
          <w:sz w:val="22"/>
          <w:szCs w:val="22"/>
        </w:rPr>
        <w:t xml:space="preserve"> (</w:t>
      </w:r>
      <w:r w:rsidR="00B365E5">
        <w:rPr>
          <w:sz w:val="22"/>
          <w:szCs w:val="22"/>
        </w:rPr>
        <w:t>pogorszenie</w:t>
      </w:r>
      <w:r w:rsidR="008D7C5E">
        <w:rPr>
          <w:sz w:val="22"/>
          <w:szCs w:val="22"/>
        </w:rPr>
        <w:t>)</w:t>
      </w:r>
      <w:r w:rsidR="00DA6AE9">
        <w:rPr>
          <w:sz w:val="22"/>
          <w:szCs w:val="22"/>
        </w:rPr>
        <w:t xml:space="preserve"> </w:t>
      </w:r>
      <w:r w:rsidRPr="0011201C">
        <w:rPr>
          <w:sz w:val="22"/>
          <w:szCs w:val="22"/>
        </w:rPr>
        <w:t xml:space="preserve">Indeksu o </w:t>
      </w:r>
      <w:r w:rsidR="008D7C5E">
        <w:rPr>
          <w:sz w:val="22"/>
          <w:szCs w:val="22"/>
        </w:rPr>
        <w:t>(</w:t>
      </w:r>
      <w:r w:rsidR="00B365E5">
        <w:rPr>
          <w:sz w:val="22"/>
          <w:szCs w:val="22"/>
        </w:rPr>
        <w:t>+</w:t>
      </w:r>
      <w:r w:rsidRPr="0011201C">
        <w:rPr>
          <w:sz w:val="22"/>
          <w:szCs w:val="22"/>
        </w:rPr>
        <w:t>0,</w:t>
      </w:r>
      <w:r w:rsidR="003F1FCD">
        <w:rPr>
          <w:sz w:val="22"/>
          <w:szCs w:val="22"/>
        </w:rPr>
        <w:t>05</w:t>
      </w:r>
      <w:r w:rsidR="008D7C5E">
        <w:rPr>
          <w:sz w:val="22"/>
          <w:szCs w:val="22"/>
        </w:rPr>
        <w:t>)</w:t>
      </w:r>
      <w:r w:rsidR="00771809" w:rsidRPr="0011201C">
        <w:rPr>
          <w:sz w:val="22"/>
          <w:szCs w:val="22"/>
        </w:rPr>
        <w:t xml:space="preserve">. </w:t>
      </w:r>
    </w:p>
    <w:p w14:paraId="46E15474" w14:textId="77777777" w:rsidR="00F35A7E" w:rsidRDefault="00F35A7E" w:rsidP="002B3528">
      <w:pPr>
        <w:pStyle w:val="Akapitzlist"/>
        <w:ind w:left="34"/>
        <w:contextualSpacing w:val="0"/>
        <w:jc w:val="both"/>
        <w:rPr>
          <w:i/>
          <w:sz w:val="22"/>
          <w:szCs w:val="22"/>
        </w:rPr>
      </w:pPr>
    </w:p>
    <w:p w14:paraId="4D71C96C" w14:textId="3C5C004B" w:rsidR="00650982" w:rsidRPr="000C6466" w:rsidRDefault="001B59DD" w:rsidP="002B3528">
      <w:pPr>
        <w:pStyle w:val="Akapitzlist"/>
        <w:ind w:left="34"/>
        <w:contextualSpacing w:val="0"/>
        <w:jc w:val="both"/>
        <w:rPr>
          <w:sz w:val="22"/>
          <w:szCs w:val="22"/>
        </w:rPr>
      </w:pPr>
      <w:r w:rsidRPr="00216AB5">
        <w:rPr>
          <w:i/>
          <w:sz w:val="22"/>
          <w:szCs w:val="22"/>
        </w:rPr>
        <w:t xml:space="preserve">- </w:t>
      </w:r>
      <w:r w:rsidR="003F1FCD">
        <w:rPr>
          <w:i/>
          <w:sz w:val="22"/>
          <w:szCs w:val="22"/>
        </w:rPr>
        <w:t>Pomimo dużych wcześniejszych obaw o</w:t>
      </w:r>
      <w:r w:rsidR="00F7188C">
        <w:rPr>
          <w:i/>
          <w:sz w:val="22"/>
          <w:szCs w:val="22"/>
        </w:rPr>
        <w:t>becnie</w:t>
      </w:r>
      <w:r w:rsidR="00771809" w:rsidRPr="00216AB5">
        <w:rPr>
          <w:i/>
          <w:sz w:val="22"/>
          <w:szCs w:val="22"/>
        </w:rPr>
        <w:t xml:space="preserve"> </w:t>
      </w:r>
      <w:r w:rsidR="003F1FCD">
        <w:rPr>
          <w:i/>
          <w:sz w:val="22"/>
          <w:szCs w:val="22"/>
        </w:rPr>
        <w:t>nie odnotowujemy spadku</w:t>
      </w:r>
      <w:r w:rsidR="00B365E5">
        <w:rPr>
          <w:i/>
          <w:sz w:val="22"/>
          <w:szCs w:val="22"/>
        </w:rPr>
        <w:t xml:space="preserve"> jakości portfela kredytów mieszkaniowych</w:t>
      </w:r>
      <w:r w:rsidR="00F7188C">
        <w:rPr>
          <w:i/>
          <w:sz w:val="22"/>
          <w:szCs w:val="22"/>
        </w:rPr>
        <w:t>. Przy czym należy pamiętać, że mówimy o opóźnieniach 90</w:t>
      </w:r>
      <w:r w:rsidR="00651A29">
        <w:rPr>
          <w:i/>
          <w:sz w:val="22"/>
          <w:szCs w:val="22"/>
        </w:rPr>
        <w:t>-</w:t>
      </w:r>
      <w:r w:rsidR="00F7188C">
        <w:rPr>
          <w:i/>
          <w:sz w:val="22"/>
          <w:szCs w:val="22"/>
        </w:rPr>
        <w:t xml:space="preserve">dniowych, czyli możliwych do wystąpienia </w:t>
      </w:r>
      <w:r w:rsidR="003F1FCD">
        <w:rPr>
          <w:i/>
          <w:sz w:val="22"/>
          <w:szCs w:val="22"/>
        </w:rPr>
        <w:t>dopiero po 3 miesięcznym opóźnieniu w spłacie raty kredytu</w:t>
      </w:r>
      <w:r w:rsidR="00F7188C" w:rsidRPr="00161040">
        <w:rPr>
          <w:i/>
          <w:sz w:val="22"/>
          <w:szCs w:val="22"/>
        </w:rPr>
        <w:t xml:space="preserve">. </w:t>
      </w:r>
      <w:r w:rsidR="00F35A7E" w:rsidRPr="00161040">
        <w:rPr>
          <w:i/>
          <w:sz w:val="22"/>
          <w:szCs w:val="22"/>
        </w:rPr>
        <w:t>P</w:t>
      </w:r>
      <w:r w:rsidR="00F7188C" w:rsidRPr="00161040">
        <w:rPr>
          <w:i/>
          <w:sz w:val="22"/>
          <w:szCs w:val="22"/>
        </w:rPr>
        <w:t xml:space="preserve">onadto część kredytobiorców </w:t>
      </w:r>
      <w:r w:rsidR="007B2241">
        <w:rPr>
          <w:i/>
          <w:sz w:val="22"/>
          <w:szCs w:val="22"/>
        </w:rPr>
        <w:t xml:space="preserve">skorzystała lub nadal </w:t>
      </w:r>
      <w:r w:rsidR="00F7188C" w:rsidRPr="00161040">
        <w:rPr>
          <w:i/>
          <w:sz w:val="22"/>
          <w:szCs w:val="22"/>
        </w:rPr>
        <w:t xml:space="preserve">korzysta z </w:t>
      </w:r>
      <w:r w:rsidR="00FA1096" w:rsidRPr="00161040">
        <w:rPr>
          <w:i/>
          <w:sz w:val="22"/>
          <w:szCs w:val="22"/>
        </w:rPr>
        <w:t xml:space="preserve">bankowych </w:t>
      </w:r>
      <w:r w:rsidR="00F7188C" w:rsidRPr="00161040">
        <w:rPr>
          <w:i/>
          <w:sz w:val="22"/>
          <w:szCs w:val="22"/>
        </w:rPr>
        <w:t>„wakacji kredytowych”</w:t>
      </w:r>
      <w:r w:rsidR="00FB4223" w:rsidRPr="00161040">
        <w:rPr>
          <w:i/>
          <w:sz w:val="22"/>
          <w:szCs w:val="22"/>
        </w:rPr>
        <w:t>,</w:t>
      </w:r>
      <w:r w:rsidR="00F7188C" w:rsidRPr="00161040">
        <w:rPr>
          <w:i/>
          <w:sz w:val="22"/>
          <w:szCs w:val="22"/>
        </w:rPr>
        <w:t xml:space="preserve"> </w:t>
      </w:r>
      <w:r w:rsidR="00FB4223" w:rsidRPr="00161040">
        <w:rPr>
          <w:i/>
          <w:sz w:val="22"/>
          <w:szCs w:val="22"/>
        </w:rPr>
        <w:t xml:space="preserve">i </w:t>
      </w:r>
      <w:r w:rsidR="00F7188C" w:rsidRPr="00161040">
        <w:rPr>
          <w:i/>
          <w:sz w:val="22"/>
          <w:szCs w:val="22"/>
        </w:rPr>
        <w:t xml:space="preserve">w ich przypadku ewentualne przeterminowanie może najwcześniej wystąpić </w:t>
      </w:r>
      <w:r w:rsidR="00FA1096" w:rsidRPr="00161040">
        <w:rPr>
          <w:i/>
          <w:sz w:val="22"/>
          <w:szCs w:val="22"/>
        </w:rPr>
        <w:t>w IV kwartale 2020</w:t>
      </w:r>
      <w:r w:rsidR="00F35A7E" w:rsidRPr="00161040">
        <w:rPr>
          <w:i/>
          <w:sz w:val="22"/>
          <w:szCs w:val="22"/>
        </w:rPr>
        <w:t xml:space="preserve"> r</w:t>
      </w:r>
      <w:r w:rsidR="007B2241">
        <w:rPr>
          <w:i/>
          <w:sz w:val="22"/>
          <w:szCs w:val="22"/>
        </w:rPr>
        <w:t>. Podobnie jak w przypadku pozostałych rodzajów kredytów musimy szczególnie obserwować „powakacyjne” zachowania kredytobiorców mieszkaniowych. Czy po zakończeniu okresu odroczenia będą regularnie miesięcznie spłacać raty kr</w:t>
      </w:r>
      <w:r w:rsidR="00A82DFF">
        <w:rPr>
          <w:i/>
          <w:sz w:val="22"/>
          <w:szCs w:val="22"/>
        </w:rPr>
        <w:t>e</w:t>
      </w:r>
      <w:r w:rsidR="007B2241">
        <w:rPr>
          <w:i/>
          <w:sz w:val="22"/>
          <w:szCs w:val="22"/>
        </w:rPr>
        <w:t>dytu, czy też nie. Intuicja i doświadczenie podpowiadają, że większość wróci do regularnej comiesięcznej spłaty zaciągniętego kredytu mieszkaniowego</w:t>
      </w:r>
      <w:r w:rsidR="00E1561F">
        <w:rPr>
          <w:i/>
          <w:sz w:val="22"/>
          <w:szCs w:val="22"/>
        </w:rPr>
        <w:t xml:space="preserve"> </w:t>
      </w:r>
      <w:r w:rsidR="00A221E7" w:rsidRPr="00B365E5">
        <w:rPr>
          <w:i/>
          <w:sz w:val="22"/>
          <w:szCs w:val="22"/>
        </w:rPr>
        <w:t>-</w:t>
      </w:r>
      <w:r w:rsidR="005A2039" w:rsidRPr="00B365E5">
        <w:rPr>
          <w:i/>
          <w:sz w:val="22"/>
          <w:szCs w:val="22"/>
        </w:rPr>
        <w:t xml:space="preserve"> </w:t>
      </w:r>
      <w:r w:rsidRPr="00B365E5">
        <w:rPr>
          <w:sz w:val="22"/>
          <w:szCs w:val="22"/>
        </w:rPr>
        <w:t>zaznacza</w:t>
      </w:r>
      <w:r w:rsidR="00051713" w:rsidRPr="00216AB5">
        <w:rPr>
          <w:sz w:val="22"/>
          <w:szCs w:val="22"/>
        </w:rPr>
        <w:t xml:space="preserve"> prof. Rogowski.</w:t>
      </w:r>
    </w:p>
    <w:p w14:paraId="21490190" w14:textId="77777777" w:rsidR="00C20849" w:rsidRPr="00D31E2B" w:rsidRDefault="00C20849" w:rsidP="00D31E2B">
      <w:pPr>
        <w:pStyle w:val="Nagwek2"/>
        <w:jc w:val="both"/>
        <w:rPr>
          <w:rFonts w:asciiTheme="minorHAnsi" w:hAnsiTheme="minorHAnsi"/>
          <w:color w:val="auto"/>
          <w:sz w:val="22"/>
          <w:szCs w:val="22"/>
        </w:rPr>
      </w:pPr>
      <w:r w:rsidRPr="00D31E2B">
        <w:rPr>
          <w:rFonts w:asciiTheme="minorHAnsi" w:hAnsiTheme="minorHAnsi"/>
          <w:color w:val="auto"/>
          <w:sz w:val="22"/>
          <w:szCs w:val="22"/>
        </w:rPr>
        <w:t>Karty kredytowe</w:t>
      </w:r>
    </w:p>
    <w:p w14:paraId="08CDB62D" w14:textId="77777777" w:rsidR="00C20849" w:rsidRDefault="00C20849" w:rsidP="00D31E2B">
      <w:pPr>
        <w:pStyle w:val="Akapitzlist"/>
        <w:ind w:left="34"/>
        <w:contextualSpacing w:val="0"/>
        <w:jc w:val="both"/>
        <w:rPr>
          <w:sz w:val="22"/>
          <w:szCs w:val="22"/>
        </w:rPr>
      </w:pPr>
      <w:r w:rsidRPr="00D31E2B">
        <w:rPr>
          <w:sz w:val="22"/>
          <w:szCs w:val="22"/>
        </w:rPr>
        <w:t xml:space="preserve">W </w:t>
      </w:r>
      <w:r w:rsidR="00A82DFF">
        <w:rPr>
          <w:sz w:val="22"/>
          <w:szCs w:val="22"/>
        </w:rPr>
        <w:t>lipcu</w:t>
      </w:r>
      <w:r w:rsidR="00657323">
        <w:rPr>
          <w:sz w:val="22"/>
          <w:szCs w:val="22"/>
        </w:rPr>
        <w:t xml:space="preserve"> </w:t>
      </w:r>
      <w:r w:rsidRPr="00D31E2B">
        <w:rPr>
          <w:sz w:val="22"/>
          <w:szCs w:val="22"/>
        </w:rPr>
        <w:t>20</w:t>
      </w:r>
      <w:r w:rsidR="00657323">
        <w:rPr>
          <w:sz w:val="22"/>
          <w:szCs w:val="22"/>
        </w:rPr>
        <w:t>20</w:t>
      </w:r>
      <w:r w:rsidRPr="00D31E2B">
        <w:rPr>
          <w:sz w:val="22"/>
          <w:szCs w:val="22"/>
        </w:rPr>
        <w:t xml:space="preserve"> r. </w:t>
      </w:r>
      <w:r w:rsidR="00DF4D91" w:rsidRPr="00D31E2B">
        <w:rPr>
          <w:sz w:val="22"/>
          <w:szCs w:val="22"/>
        </w:rPr>
        <w:t xml:space="preserve">banki </w:t>
      </w:r>
      <w:r w:rsidRPr="00D31E2B">
        <w:rPr>
          <w:sz w:val="22"/>
          <w:szCs w:val="22"/>
        </w:rPr>
        <w:t>wyda</w:t>
      </w:r>
      <w:r w:rsidR="00DF4D91" w:rsidRPr="00D31E2B">
        <w:rPr>
          <w:sz w:val="22"/>
          <w:szCs w:val="22"/>
        </w:rPr>
        <w:t>ły</w:t>
      </w:r>
      <w:r w:rsidRPr="00D31E2B">
        <w:rPr>
          <w:sz w:val="22"/>
          <w:szCs w:val="22"/>
        </w:rPr>
        <w:t xml:space="preserve"> </w:t>
      </w:r>
      <w:r w:rsidR="00A82DFF">
        <w:rPr>
          <w:sz w:val="22"/>
          <w:szCs w:val="22"/>
        </w:rPr>
        <w:t>65</w:t>
      </w:r>
      <w:r w:rsidR="00C97926" w:rsidRPr="00D31E2B">
        <w:rPr>
          <w:sz w:val="22"/>
          <w:szCs w:val="22"/>
        </w:rPr>
        <w:t>,</w:t>
      </w:r>
      <w:r w:rsidR="00A82DFF">
        <w:rPr>
          <w:sz w:val="22"/>
          <w:szCs w:val="22"/>
        </w:rPr>
        <w:t>7</w:t>
      </w:r>
      <w:r w:rsidRPr="00D31E2B">
        <w:rPr>
          <w:sz w:val="22"/>
          <w:szCs w:val="22"/>
        </w:rPr>
        <w:t xml:space="preserve"> tys. kart kredytowych na łączną kwotę </w:t>
      </w:r>
      <w:r w:rsidR="004A3EF2" w:rsidRPr="00D31E2B">
        <w:rPr>
          <w:sz w:val="22"/>
          <w:szCs w:val="22"/>
        </w:rPr>
        <w:t xml:space="preserve">przyznanych </w:t>
      </w:r>
      <w:r w:rsidRPr="00D31E2B">
        <w:rPr>
          <w:sz w:val="22"/>
          <w:szCs w:val="22"/>
        </w:rPr>
        <w:t xml:space="preserve">limitów </w:t>
      </w:r>
      <w:r w:rsidR="00A82DFF">
        <w:rPr>
          <w:sz w:val="22"/>
          <w:szCs w:val="22"/>
        </w:rPr>
        <w:t>373</w:t>
      </w:r>
      <w:r w:rsidRPr="00D31E2B">
        <w:rPr>
          <w:sz w:val="22"/>
          <w:szCs w:val="22"/>
        </w:rPr>
        <w:t xml:space="preserve"> ml</w:t>
      </w:r>
      <w:r w:rsidR="00134688" w:rsidRPr="00D31E2B">
        <w:rPr>
          <w:sz w:val="22"/>
          <w:szCs w:val="22"/>
        </w:rPr>
        <w:t>n</w:t>
      </w:r>
      <w:r w:rsidRPr="00D31E2B">
        <w:rPr>
          <w:sz w:val="22"/>
          <w:szCs w:val="22"/>
        </w:rPr>
        <w:t xml:space="preserve"> zł. </w:t>
      </w:r>
    </w:p>
    <w:p w14:paraId="56D28D0D" w14:textId="77777777" w:rsidR="00D266D5" w:rsidRPr="00D31E2B" w:rsidRDefault="00D266D5" w:rsidP="00D31E2B">
      <w:pPr>
        <w:pStyle w:val="Akapitzlist"/>
        <w:ind w:left="34"/>
        <w:contextualSpacing w:val="0"/>
        <w:jc w:val="both"/>
        <w:rPr>
          <w:sz w:val="22"/>
          <w:szCs w:val="22"/>
        </w:rPr>
      </w:pPr>
    </w:p>
    <w:p w14:paraId="667A081B" w14:textId="374DDC88" w:rsidR="00017A15" w:rsidRPr="00D31E2B" w:rsidRDefault="00017A15" w:rsidP="00D31E2B">
      <w:pPr>
        <w:pStyle w:val="Zwykytekst"/>
        <w:jc w:val="both"/>
        <w:rPr>
          <w:i/>
          <w:szCs w:val="22"/>
        </w:rPr>
      </w:pPr>
      <w:r w:rsidRPr="00D31E2B">
        <w:rPr>
          <w:i/>
          <w:szCs w:val="22"/>
        </w:rPr>
        <w:t xml:space="preserve">- </w:t>
      </w:r>
      <w:r w:rsidR="009775EF" w:rsidRPr="00D31E2B">
        <w:rPr>
          <w:i/>
          <w:szCs w:val="22"/>
        </w:rPr>
        <w:t xml:space="preserve">W </w:t>
      </w:r>
      <w:r w:rsidR="00A82DFF">
        <w:rPr>
          <w:i/>
          <w:szCs w:val="22"/>
        </w:rPr>
        <w:t>lipcu</w:t>
      </w:r>
      <w:r w:rsidR="007E5298" w:rsidRPr="00D31E2B">
        <w:rPr>
          <w:i/>
          <w:szCs w:val="22"/>
        </w:rPr>
        <w:t xml:space="preserve"> </w:t>
      </w:r>
      <w:r w:rsidR="008E4AD7" w:rsidRPr="00D31E2B">
        <w:rPr>
          <w:i/>
          <w:szCs w:val="22"/>
        </w:rPr>
        <w:t>20</w:t>
      </w:r>
      <w:r w:rsidR="00657323">
        <w:rPr>
          <w:i/>
          <w:szCs w:val="22"/>
        </w:rPr>
        <w:t>20</w:t>
      </w:r>
      <w:r w:rsidR="008E4AD7" w:rsidRPr="00D31E2B">
        <w:rPr>
          <w:i/>
          <w:szCs w:val="22"/>
        </w:rPr>
        <w:t xml:space="preserve"> r.</w:t>
      </w:r>
      <w:r w:rsidR="00A221E7" w:rsidRPr="00D31E2B">
        <w:rPr>
          <w:i/>
          <w:szCs w:val="22"/>
        </w:rPr>
        <w:t>,</w:t>
      </w:r>
      <w:r w:rsidR="008E4AD7" w:rsidRPr="00D31E2B">
        <w:rPr>
          <w:i/>
          <w:szCs w:val="22"/>
        </w:rPr>
        <w:t xml:space="preserve"> </w:t>
      </w:r>
      <w:r w:rsidR="00001C18">
        <w:rPr>
          <w:i/>
          <w:szCs w:val="22"/>
        </w:rPr>
        <w:t xml:space="preserve">mamy </w:t>
      </w:r>
      <w:r w:rsidR="00870DAB">
        <w:rPr>
          <w:i/>
          <w:szCs w:val="22"/>
        </w:rPr>
        <w:t>kontynuację</w:t>
      </w:r>
      <w:r w:rsidR="00001C18">
        <w:rPr>
          <w:i/>
          <w:szCs w:val="22"/>
        </w:rPr>
        <w:t xml:space="preserve"> negatywnego trendu obserwowanego już od początku roku</w:t>
      </w:r>
      <w:r w:rsidR="00634A13" w:rsidRPr="00D31E2B">
        <w:rPr>
          <w:i/>
          <w:szCs w:val="22"/>
        </w:rPr>
        <w:t>.</w:t>
      </w:r>
      <w:r w:rsidR="004A310D" w:rsidRPr="00D31E2B">
        <w:rPr>
          <w:i/>
          <w:szCs w:val="22"/>
        </w:rPr>
        <w:t xml:space="preserve"> </w:t>
      </w:r>
      <w:r w:rsidR="00870DAB">
        <w:rPr>
          <w:i/>
          <w:szCs w:val="22"/>
        </w:rPr>
        <w:t xml:space="preserve">W </w:t>
      </w:r>
      <w:r w:rsidR="00A82DFF">
        <w:rPr>
          <w:i/>
          <w:szCs w:val="22"/>
        </w:rPr>
        <w:t xml:space="preserve">lipcu </w:t>
      </w:r>
      <w:r w:rsidR="00870DAB">
        <w:rPr>
          <w:i/>
          <w:szCs w:val="22"/>
        </w:rPr>
        <w:t>odnotowaliśmy</w:t>
      </w:r>
      <w:r w:rsidR="00A82DFF">
        <w:rPr>
          <w:i/>
          <w:szCs w:val="22"/>
        </w:rPr>
        <w:t xml:space="preserve"> bardzo wysokie</w:t>
      </w:r>
      <w:r w:rsidR="00B503F3">
        <w:rPr>
          <w:i/>
          <w:szCs w:val="22"/>
        </w:rPr>
        <w:t>, choć</w:t>
      </w:r>
      <w:r w:rsidR="00870DAB">
        <w:rPr>
          <w:i/>
          <w:szCs w:val="22"/>
        </w:rPr>
        <w:t xml:space="preserve"> nie tak </w:t>
      </w:r>
      <w:r w:rsidR="00001C18">
        <w:rPr>
          <w:i/>
          <w:szCs w:val="22"/>
        </w:rPr>
        <w:t>ekstremalnie w</w:t>
      </w:r>
      <w:r w:rsidR="0019154A">
        <w:rPr>
          <w:i/>
          <w:szCs w:val="22"/>
        </w:rPr>
        <w:t>ysokie ujemne dynamiki</w:t>
      </w:r>
      <w:r w:rsidR="00FB4223">
        <w:rPr>
          <w:i/>
          <w:szCs w:val="22"/>
        </w:rPr>
        <w:t>,</w:t>
      </w:r>
      <w:r w:rsidR="0019154A">
        <w:rPr>
          <w:i/>
          <w:szCs w:val="22"/>
        </w:rPr>
        <w:t xml:space="preserve"> </w:t>
      </w:r>
      <w:r w:rsidR="00870DAB">
        <w:rPr>
          <w:i/>
          <w:szCs w:val="22"/>
        </w:rPr>
        <w:t>jak w kwietniu</w:t>
      </w:r>
      <w:r w:rsidR="00D266D5">
        <w:rPr>
          <w:i/>
          <w:szCs w:val="22"/>
        </w:rPr>
        <w:t xml:space="preserve"> br</w:t>
      </w:r>
      <w:r w:rsidR="00A82DFF">
        <w:rPr>
          <w:i/>
          <w:szCs w:val="22"/>
        </w:rPr>
        <w:t>. W ujęciu liczbowym (</w:t>
      </w:r>
      <w:r w:rsidR="00870DAB">
        <w:rPr>
          <w:i/>
          <w:szCs w:val="22"/>
        </w:rPr>
        <w:t>-</w:t>
      </w:r>
      <w:r w:rsidR="00A82DFF">
        <w:rPr>
          <w:i/>
          <w:szCs w:val="22"/>
        </w:rPr>
        <w:t>39</w:t>
      </w:r>
      <w:r w:rsidR="00870DAB">
        <w:rPr>
          <w:i/>
          <w:szCs w:val="22"/>
        </w:rPr>
        <w:t>,</w:t>
      </w:r>
      <w:r w:rsidR="00A82DFF">
        <w:rPr>
          <w:i/>
          <w:szCs w:val="22"/>
        </w:rPr>
        <w:t>2</w:t>
      </w:r>
      <w:r w:rsidR="00870DAB">
        <w:rPr>
          <w:i/>
          <w:szCs w:val="22"/>
        </w:rPr>
        <w:t>%</w:t>
      </w:r>
      <w:r w:rsidR="00A82DFF">
        <w:rPr>
          <w:i/>
          <w:szCs w:val="22"/>
        </w:rPr>
        <w:t>)</w:t>
      </w:r>
      <w:r w:rsidR="00870DAB">
        <w:rPr>
          <w:i/>
          <w:szCs w:val="22"/>
        </w:rPr>
        <w:t xml:space="preserve"> i w ujęciu wartościowym</w:t>
      </w:r>
      <w:r w:rsidR="00A82DFF">
        <w:rPr>
          <w:i/>
          <w:szCs w:val="22"/>
        </w:rPr>
        <w:t xml:space="preserve"> (</w:t>
      </w:r>
      <w:r w:rsidR="00870DAB">
        <w:rPr>
          <w:i/>
          <w:szCs w:val="22"/>
        </w:rPr>
        <w:t>-</w:t>
      </w:r>
      <w:r w:rsidR="00A82DFF">
        <w:rPr>
          <w:i/>
          <w:szCs w:val="22"/>
        </w:rPr>
        <w:t>41</w:t>
      </w:r>
      <w:r w:rsidR="00870DAB">
        <w:rPr>
          <w:i/>
          <w:szCs w:val="22"/>
        </w:rPr>
        <w:t>,</w:t>
      </w:r>
      <w:r w:rsidR="00A82DFF">
        <w:rPr>
          <w:i/>
          <w:szCs w:val="22"/>
        </w:rPr>
        <w:t>0</w:t>
      </w:r>
      <w:r w:rsidR="00870DAB">
        <w:rPr>
          <w:i/>
          <w:szCs w:val="22"/>
        </w:rPr>
        <w:t>%</w:t>
      </w:r>
      <w:r w:rsidR="00A82DFF">
        <w:rPr>
          <w:i/>
          <w:szCs w:val="22"/>
        </w:rPr>
        <w:t>)</w:t>
      </w:r>
      <w:r w:rsidR="00870DAB">
        <w:rPr>
          <w:i/>
          <w:szCs w:val="22"/>
        </w:rPr>
        <w:t>.</w:t>
      </w:r>
      <w:r w:rsidR="0019154A">
        <w:rPr>
          <w:i/>
          <w:szCs w:val="22"/>
        </w:rPr>
        <w:t xml:space="preserve"> </w:t>
      </w:r>
      <w:r w:rsidR="00870DAB">
        <w:rPr>
          <w:i/>
          <w:szCs w:val="22"/>
        </w:rPr>
        <w:t>Negatywne z</w:t>
      </w:r>
      <w:r w:rsidR="00657323">
        <w:rPr>
          <w:i/>
          <w:szCs w:val="22"/>
        </w:rPr>
        <w:t xml:space="preserve">jawisko dotyczy wszystkich przedziałów kwotowych. </w:t>
      </w:r>
      <w:r w:rsidR="00A35CA3">
        <w:rPr>
          <w:i/>
          <w:szCs w:val="22"/>
        </w:rPr>
        <w:t xml:space="preserve">Należy pamiętać, że limity kartowe są </w:t>
      </w:r>
      <w:r w:rsidR="00870DAB">
        <w:rPr>
          <w:i/>
          <w:szCs w:val="22"/>
        </w:rPr>
        <w:t xml:space="preserve">jednym z </w:t>
      </w:r>
      <w:r w:rsidR="00A35CA3">
        <w:rPr>
          <w:i/>
          <w:szCs w:val="22"/>
        </w:rPr>
        <w:t>najbardziej ryzykowny</w:t>
      </w:r>
      <w:r w:rsidR="00870DAB">
        <w:rPr>
          <w:i/>
          <w:szCs w:val="22"/>
        </w:rPr>
        <w:t>ch</w:t>
      </w:r>
      <w:r w:rsidR="00A35CA3">
        <w:rPr>
          <w:i/>
          <w:szCs w:val="22"/>
        </w:rPr>
        <w:t xml:space="preserve"> produkt</w:t>
      </w:r>
      <w:r w:rsidR="00870DAB">
        <w:rPr>
          <w:i/>
          <w:szCs w:val="22"/>
        </w:rPr>
        <w:t>ów</w:t>
      </w:r>
      <w:r w:rsidR="00A35CA3">
        <w:rPr>
          <w:i/>
          <w:szCs w:val="22"/>
        </w:rPr>
        <w:t xml:space="preserve"> kredytowy</w:t>
      </w:r>
      <w:r w:rsidR="00870DAB">
        <w:rPr>
          <w:i/>
          <w:szCs w:val="22"/>
        </w:rPr>
        <w:t>ch</w:t>
      </w:r>
      <w:r w:rsidR="00A35CA3">
        <w:rPr>
          <w:i/>
          <w:szCs w:val="22"/>
        </w:rPr>
        <w:t xml:space="preserve">, stąd naturalna </w:t>
      </w:r>
      <w:r w:rsidR="00165500">
        <w:rPr>
          <w:i/>
          <w:szCs w:val="22"/>
        </w:rPr>
        <w:t xml:space="preserve">ostrożność </w:t>
      </w:r>
      <w:r w:rsidR="00001C18">
        <w:rPr>
          <w:i/>
          <w:szCs w:val="22"/>
        </w:rPr>
        <w:t>do</w:t>
      </w:r>
      <w:r w:rsidR="00A35CA3">
        <w:rPr>
          <w:i/>
          <w:szCs w:val="22"/>
        </w:rPr>
        <w:t xml:space="preserve"> ich </w:t>
      </w:r>
      <w:r w:rsidR="00001C18">
        <w:rPr>
          <w:i/>
          <w:szCs w:val="22"/>
        </w:rPr>
        <w:t>przyznawania</w:t>
      </w:r>
      <w:r w:rsidR="00A35CA3">
        <w:rPr>
          <w:i/>
          <w:szCs w:val="22"/>
        </w:rPr>
        <w:t xml:space="preserve"> przez banki w okresie niepewności. </w:t>
      </w:r>
      <w:r w:rsidR="00001C18">
        <w:rPr>
          <w:i/>
          <w:szCs w:val="22"/>
        </w:rPr>
        <w:t xml:space="preserve">Ostrożność </w:t>
      </w:r>
      <w:r w:rsidR="00870DAB">
        <w:rPr>
          <w:i/>
          <w:szCs w:val="22"/>
        </w:rPr>
        <w:t xml:space="preserve">banków </w:t>
      </w:r>
      <w:r w:rsidR="00001C18">
        <w:rPr>
          <w:i/>
          <w:szCs w:val="22"/>
        </w:rPr>
        <w:t xml:space="preserve">wpływa bezpośrednio na dostępność. </w:t>
      </w:r>
      <w:r w:rsidR="00A35CA3">
        <w:rPr>
          <w:i/>
          <w:szCs w:val="22"/>
        </w:rPr>
        <w:t xml:space="preserve">Ponadto </w:t>
      </w:r>
      <w:r w:rsidR="00870DAB">
        <w:rPr>
          <w:i/>
          <w:szCs w:val="22"/>
        </w:rPr>
        <w:t>ostatnie</w:t>
      </w:r>
      <w:r w:rsidR="00001C18">
        <w:rPr>
          <w:i/>
          <w:szCs w:val="22"/>
        </w:rPr>
        <w:t xml:space="preserve"> </w:t>
      </w:r>
      <w:r w:rsidR="00A35CA3">
        <w:rPr>
          <w:i/>
          <w:szCs w:val="22"/>
        </w:rPr>
        <w:t>obniżki stóp procentowych</w:t>
      </w:r>
      <w:r w:rsidR="00501259">
        <w:rPr>
          <w:i/>
          <w:szCs w:val="22"/>
        </w:rPr>
        <w:t>, które sprowadziły je</w:t>
      </w:r>
      <w:r w:rsidR="00A35CA3">
        <w:rPr>
          <w:i/>
          <w:szCs w:val="22"/>
        </w:rPr>
        <w:t xml:space="preserve"> </w:t>
      </w:r>
      <w:r w:rsidR="00001C18">
        <w:rPr>
          <w:i/>
          <w:szCs w:val="22"/>
        </w:rPr>
        <w:t xml:space="preserve">do historycznie niskiego, nawet ultraniskiego </w:t>
      </w:r>
      <w:r w:rsidR="00A35CA3">
        <w:rPr>
          <w:i/>
          <w:szCs w:val="22"/>
        </w:rPr>
        <w:t>poziomu, okreś</w:t>
      </w:r>
      <w:r w:rsidR="005829B9">
        <w:rPr>
          <w:i/>
          <w:szCs w:val="22"/>
        </w:rPr>
        <w:t>liły</w:t>
      </w:r>
      <w:r w:rsidR="00A35CA3">
        <w:rPr>
          <w:i/>
          <w:szCs w:val="22"/>
        </w:rPr>
        <w:t xml:space="preserve"> </w:t>
      </w:r>
      <w:r w:rsidR="00501259">
        <w:rPr>
          <w:i/>
          <w:szCs w:val="22"/>
        </w:rPr>
        <w:t>maksymalny poziom oprocentowania kredytów na poziomie</w:t>
      </w:r>
      <w:r w:rsidR="00B36B2C">
        <w:rPr>
          <w:i/>
          <w:szCs w:val="22"/>
        </w:rPr>
        <w:t xml:space="preserve"> </w:t>
      </w:r>
      <w:r w:rsidR="00870DAB">
        <w:rPr>
          <w:i/>
          <w:szCs w:val="22"/>
        </w:rPr>
        <w:t>7,2%</w:t>
      </w:r>
      <w:r w:rsidR="00A35CA3">
        <w:rPr>
          <w:i/>
          <w:szCs w:val="22"/>
        </w:rPr>
        <w:t xml:space="preserve">, </w:t>
      </w:r>
      <w:r w:rsidR="00870DAB">
        <w:rPr>
          <w:i/>
          <w:szCs w:val="22"/>
        </w:rPr>
        <w:t xml:space="preserve">a </w:t>
      </w:r>
      <w:r w:rsidR="00A82DFF">
        <w:rPr>
          <w:i/>
          <w:szCs w:val="22"/>
        </w:rPr>
        <w:t>lipcowy</w:t>
      </w:r>
      <w:r w:rsidR="00870DAB">
        <w:rPr>
          <w:i/>
          <w:szCs w:val="22"/>
        </w:rPr>
        <w:t xml:space="preserve"> odczyt Indeksu jakości </w:t>
      </w:r>
      <w:r w:rsidR="00B36B2C">
        <w:rPr>
          <w:i/>
          <w:szCs w:val="22"/>
        </w:rPr>
        <w:t>dla kart kredytowych to 4,</w:t>
      </w:r>
      <w:r w:rsidR="00A82DFF">
        <w:rPr>
          <w:i/>
          <w:szCs w:val="22"/>
        </w:rPr>
        <w:t>3</w:t>
      </w:r>
      <w:r w:rsidR="00B36B2C">
        <w:rPr>
          <w:i/>
          <w:szCs w:val="22"/>
        </w:rPr>
        <w:t>5%.</w:t>
      </w:r>
      <w:r w:rsidR="00A82DFF">
        <w:rPr>
          <w:i/>
          <w:szCs w:val="22"/>
        </w:rPr>
        <w:t xml:space="preserve"> </w:t>
      </w:r>
      <w:r w:rsidR="00B36B2C">
        <w:rPr>
          <w:i/>
          <w:szCs w:val="22"/>
        </w:rPr>
        <w:t>Pogorszenie w ciągu roku o 0,</w:t>
      </w:r>
      <w:r w:rsidR="00A82DFF">
        <w:rPr>
          <w:i/>
          <w:szCs w:val="22"/>
        </w:rPr>
        <w:t>49</w:t>
      </w:r>
      <w:r w:rsidR="00870DAB">
        <w:rPr>
          <w:i/>
          <w:szCs w:val="22"/>
        </w:rPr>
        <w:t xml:space="preserve">, </w:t>
      </w:r>
      <w:r w:rsidR="00A35CA3">
        <w:rPr>
          <w:i/>
          <w:szCs w:val="22"/>
        </w:rPr>
        <w:t>jeszcze bardziej zniechęca banki do ich przyznawania (</w:t>
      </w:r>
      <w:r w:rsidR="00ED048D">
        <w:rPr>
          <w:i/>
          <w:szCs w:val="22"/>
        </w:rPr>
        <w:t xml:space="preserve">duże </w:t>
      </w:r>
      <w:r w:rsidR="00A35CA3">
        <w:rPr>
          <w:i/>
          <w:szCs w:val="22"/>
        </w:rPr>
        <w:t xml:space="preserve">pogorszenie relacji dochód vs ryzyko) </w:t>
      </w:r>
      <w:r w:rsidR="00CC78F6" w:rsidRPr="00D31E2B">
        <w:rPr>
          <w:i/>
          <w:szCs w:val="22"/>
        </w:rPr>
        <w:t>-</w:t>
      </w:r>
      <w:r w:rsidR="00CF1A63" w:rsidRPr="00D31E2B">
        <w:rPr>
          <w:i/>
          <w:szCs w:val="22"/>
        </w:rPr>
        <w:t xml:space="preserve"> </w:t>
      </w:r>
      <w:r w:rsidR="004721EB" w:rsidRPr="00D31E2B">
        <w:rPr>
          <w:szCs w:val="22"/>
        </w:rPr>
        <w:t>mówi</w:t>
      </w:r>
      <w:r w:rsidR="00A221E7" w:rsidRPr="00D31E2B">
        <w:rPr>
          <w:szCs w:val="22"/>
        </w:rPr>
        <w:t xml:space="preserve"> prof.</w:t>
      </w:r>
      <w:r w:rsidR="00FA5A00" w:rsidRPr="00D31E2B">
        <w:rPr>
          <w:szCs w:val="22"/>
        </w:rPr>
        <w:t xml:space="preserve"> Rogowski</w:t>
      </w:r>
      <w:r w:rsidR="00AA07A8" w:rsidRPr="00D31E2B">
        <w:rPr>
          <w:szCs w:val="22"/>
        </w:rPr>
        <w:t xml:space="preserve"> z BIK.</w:t>
      </w:r>
    </w:p>
    <w:p w14:paraId="7295F296" w14:textId="77777777" w:rsidR="007B217A" w:rsidRPr="007748EF" w:rsidRDefault="007B217A" w:rsidP="00386B4D">
      <w:pPr>
        <w:pStyle w:val="Akapitzlist"/>
        <w:ind w:left="34"/>
        <w:contextualSpacing w:val="0"/>
        <w:jc w:val="both"/>
        <w:rPr>
          <w:sz w:val="22"/>
          <w:szCs w:val="22"/>
        </w:rPr>
      </w:pPr>
    </w:p>
    <w:p w14:paraId="7D884B37" w14:textId="77777777" w:rsidR="009A0E92" w:rsidRPr="00D01109" w:rsidRDefault="00EC04F4" w:rsidP="005D656F">
      <w:pPr>
        <w:pStyle w:val="Zwykytekst"/>
        <w:jc w:val="both"/>
        <w:rPr>
          <w:szCs w:val="22"/>
        </w:rPr>
      </w:pPr>
      <w:r>
        <w:rPr>
          <w:szCs w:val="22"/>
        </w:rPr>
        <w:t>Ak</w:t>
      </w:r>
      <w:r w:rsidR="009A0E92" w:rsidRPr="00D01109">
        <w:rPr>
          <w:szCs w:val="22"/>
        </w:rPr>
        <w:t xml:space="preserve">tualne informacje o rynku kredytowym publikowane są na: </w:t>
      </w:r>
      <w:hyperlink r:id="rId13" w:history="1">
        <w:r w:rsidR="009A0E92" w:rsidRPr="00D01109">
          <w:rPr>
            <w:rStyle w:val="Hipercze"/>
            <w:szCs w:val="22"/>
          </w:rPr>
          <w:t>www.bik.pl/newsletter-kredytowy</w:t>
        </w:r>
      </w:hyperlink>
      <w:r w:rsidR="009A0E92" w:rsidRPr="00D01109">
        <w:rPr>
          <w:szCs w:val="22"/>
        </w:rPr>
        <w:t xml:space="preserve"> </w:t>
      </w:r>
    </w:p>
    <w:p w14:paraId="70BA7E61" w14:textId="77777777" w:rsidR="0070263B" w:rsidRPr="00D01109" w:rsidRDefault="0070263B" w:rsidP="005D656F">
      <w:pPr>
        <w:tabs>
          <w:tab w:val="left" w:pos="1698"/>
          <w:tab w:val="right" w:pos="9072"/>
        </w:tabs>
        <w:ind w:left="1698"/>
        <w:jc w:val="both"/>
        <w:outlineLvl w:val="0"/>
        <w:rPr>
          <w:b/>
          <w:sz w:val="22"/>
          <w:szCs w:val="22"/>
        </w:rPr>
      </w:pPr>
      <w:r w:rsidRPr="00D01109">
        <w:rPr>
          <w:color w:val="1F497D"/>
          <w:sz w:val="22"/>
          <w:szCs w:val="22"/>
        </w:rPr>
        <w:tab/>
      </w:r>
    </w:p>
    <w:p w14:paraId="3D8F43C1" w14:textId="77777777" w:rsidR="00797469" w:rsidRPr="00797469" w:rsidRDefault="00797469" w:rsidP="00797469">
      <w:pPr>
        <w:jc w:val="both"/>
        <w:rPr>
          <w:bCs/>
          <w:color w:val="595959"/>
          <w:sz w:val="16"/>
          <w:szCs w:val="16"/>
        </w:rPr>
      </w:pPr>
      <w:r w:rsidRPr="00797469">
        <w:rPr>
          <w:b/>
          <w:bCs/>
          <w:color w:val="595959"/>
          <w:sz w:val="16"/>
          <w:szCs w:val="16"/>
        </w:rPr>
        <w:t xml:space="preserve">Biuro Informacji Kredytowej S.A. </w:t>
      </w:r>
      <w:r w:rsidRPr="00797469">
        <w:rPr>
          <w:bCs/>
          <w:color w:val="595959"/>
          <w:sz w:val="16"/>
          <w:szCs w:val="16"/>
        </w:rPr>
        <w:t>– jedyne biuro kredytowe w Polsce, które gromadzi i udostępnia dane o historii kredytowej klientów indywidualnych i przedsiębiorców z całego rynku kredytowego, oraz dane z obszaru pożyczek pozabankowych. Baza BIK zawiera informacje o 147 mln rachunków należących do 25 mln klientów indywidualnych oraz 1,4 mln firm, w tym o 845 tys. mikroprzedsiębiorców prowadzących działalność gospodarczą.</w:t>
      </w:r>
      <w:r w:rsidR="000221D8">
        <w:rPr>
          <w:bCs/>
          <w:color w:val="595959"/>
          <w:sz w:val="16"/>
          <w:szCs w:val="16"/>
        </w:rPr>
        <w:t xml:space="preserve"> </w:t>
      </w:r>
      <w:r w:rsidRPr="00797469">
        <w:rPr>
          <w:bCs/>
          <w:color w:val="595959"/>
          <w:sz w:val="16"/>
          <w:szCs w:val="16"/>
        </w:rPr>
        <w:t xml:space="preserve">BIK posiada najwyższe kompetencje w zakresie analizy danych i nowoczesnych technologii. Wspiera bezpieczeństwo instytucji finansowych i ich klientów, udostępniając bezpieczny system wymiany informacji kredytowych i gospodarczych oraz nowatorskie rozwiązania antyfraudowe. Łączy cechy nowoczesnej firmy technologicznej z atrybutami instytucji zaufania publicznego. Poprzez internetowy portal </w:t>
      </w:r>
      <w:hyperlink r:id="rId14" w:history="1">
        <w:r w:rsidRPr="00797469">
          <w:rPr>
            <w:rStyle w:val="Hipercze"/>
            <w:bCs/>
            <w:sz w:val="16"/>
            <w:szCs w:val="16"/>
          </w:rPr>
          <w:t>www.bik.pl</w:t>
        </w:r>
      </w:hyperlink>
      <w:r w:rsidRPr="00797469">
        <w:rPr>
          <w:bCs/>
          <w:color w:val="595959"/>
          <w:sz w:val="16"/>
          <w:szCs w:val="16"/>
        </w:rPr>
        <w:t xml:space="preserve"> umożliwia klientom indywidualnym monitorowanie własnej historii kredytowej, a dzięki </w:t>
      </w:r>
      <w:hyperlink r:id="rId15" w:history="1">
        <w:r w:rsidRPr="00797469">
          <w:rPr>
            <w:rStyle w:val="Hipercze"/>
            <w:bCs/>
            <w:sz w:val="16"/>
            <w:szCs w:val="16"/>
          </w:rPr>
          <w:t>Alertom BIK</w:t>
        </w:r>
      </w:hyperlink>
      <w:r w:rsidRPr="00797469">
        <w:rPr>
          <w:bCs/>
          <w:color w:val="595959"/>
          <w:sz w:val="16"/>
          <w:szCs w:val="16"/>
        </w:rPr>
        <w:t xml:space="preserve"> ostrzega przed każdą próbą wyłudzenia kredytu. </w:t>
      </w:r>
    </w:p>
    <w:p w14:paraId="3C2707F9" w14:textId="77777777" w:rsidR="00797469" w:rsidRPr="00797469" w:rsidRDefault="00797469" w:rsidP="00797469">
      <w:pPr>
        <w:jc w:val="both"/>
        <w:rPr>
          <w:bCs/>
          <w:color w:val="595959"/>
          <w:sz w:val="16"/>
          <w:szCs w:val="16"/>
        </w:rPr>
      </w:pPr>
      <w:r w:rsidRPr="00797469">
        <w:rPr>
          <w:bCs/>
          <w:color w:val="595959"/>
          <w:sz w:val="16"/>
          <w:szCs w:val="16"/>
        </w:rPr>
        <w:t xml:space="preserve">Od kilkunastu lat BIK jest aktywnym członkiem międzynarodowego Stowarzyszenia ACCIS (Association of Consumer Credit Information Suppliers), zrzeszającego największą grupę rejestrów kredytowych na świecie. </w:t>
      </w:r>
    </w:p>
    <w:p w14:paraId="4069B286" w14:textId="77777777" w:rsidR="006D2982" w:rsidRPr="00797469" w:rsidRDefault="006D2982" w:rsidP="005A2039">
      <w:pPr>
        <w:jc w:val="both"/>
        <w:rPr>
          <w:color w:val="595959" w:themeColor="text1" w:themeTint="A6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13"/>
        <w:gridCol w:w="236"/>
      </w:tblGrid>
      <w:tr w:rsidR="000B6348" w:rsidRPr="002F6CB6" w14:paraId="2467A83B" w14:textId="77777777" w:rsidTr="007770E6">
        <w:trPr>
          <w:trHeight w:val="1416"/>
        </w:trPr>
        <w:tc>
          <w:tcPr>
            <w:tcW w:w="0" w:type="auto"/>
          </w:tcPr>
          <w:p w14:paraId="4D1BE58C" w14:textId="77777777" w:rsidR="000B6348" w:rsidRPr="002F6CB6" w:rsidRDefault="000B6348" w:rsidP="007770E6">
            <w:pPr>
              <w:spacing w:after="60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</w:pPr>
            <w:r w:rsidRPr="002F6CB6"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  <w:t>Kontakt dla mediów:</w:t>
            </w:r>
          </w:p>
          <w:p w14:paraId="42420ACB" w14:textId="77777777" w:rsidR="000B6348" w:rsidRPr="002F6CB6" w:rsidRDefault="000B6348" w:rsidP="007770E6">
            <w:pPr>
              <w:jc w:val="both"/>
              <w:rPr>
                <w:rFonts w:ascii="Calibri" w:hAnsi="Calibri"/>
                <w:b/>
                <w:color w:val="595959"/>
                <w:sz w:val="16"/>
                <w:szCs w:val="16"/>
              </w:rPr>
            </w:pPr>
          </w:p>
          <w:p w14:paraId="7AA4ECE7" w14:textId="77777777" w:rsidR="000B6348" w:rsidRPr="002F6CB6" w:rsidRDefault="000B6348" w:rsidP="007770E6">
            <w:pPr>
              <w:jc w:val="both"/>
              <w:rPr>
                <w:rFonts w:ascii="Calibri" w:hAnsi="Calibri"/>
                <w:b/>
                <w:color w:val="595959"/>
                <w:sz w:val="16"/>
                <w:szCs w:val="16"/>
              </w:rPr>
            </w:pPr>
            <w:r w:rsidRPr="002F6CB6">
              <w:rPr>
                <w:rFonts w:ascii="Calibri" w:hAnsi="Calibri"/>
                <w:b/>
                <w:color w:val="595959"/>
                <w:sz w:val="16"/>
                <w:szCs w:val="16"/>
              </w:rPr>
              <w:t>Aleksandra Stankiewicz-Billewicz</w:t>
            </w:r>
          </w:p>
          <w:p w14:paraId="24214DFC" w14:textId="77777777" w:rsidR="000B6348" w:rsidRPr="002F6CB6" w:rsidRDefault="000B6348" w:rsidP="007770E6">
            <w:pPr>
              <w:jc w:val="both"/>
              <w:rPr>
                <w:rFonts w:ascii="Calibri" w:hAnsi="Calibri"/>
                <w:color w:val="595959"/>
                <w:sz w:val="16"/>
                <w:szCs w:val="16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</w:rPr>
              <w:t xml:space="preserve">Biuro prasowe BIK </w:t>
            </w:r>
          </w:p>
          <w:p w14:paraId="2CB97DF6" w14:textId="77777777" w:rsidR="000B6348" w:rsidRPr="002F6CB6" w:rsidRDefault="000B6348" w:rsidP="007770E6">
            <w:pPr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tel.:     + 48 22 348 4131</w:t>
            </w:r>
          </w:p>
          <w:p w14:paraId="63220FCC" w14:textId="77777777" w:rsidR="000B6348" w:rsidRPr="002F6CB6" w:rsidRDefault="000B6348" w:rsidP="007770E6">
            <w:pPr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kom.:  + 48 512 164 131</w:t>
            </w:r>
          </w:p>
          <w:p w14:paraId="2CC4DF40" w14:textId="77777777" w:rsidR="000B6348" w:rsidRPr="002F6CB6" w:rsidRDefault="008A4107" w:rsidP="007770E6">
            <w:pPr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hyperlink r:id="rId16" w:history="1">
              <w:r w:rsidR="000B6348" w:rsidRPr="002F6CB6">
                <w:rPr>
                  <w:rFonts w:ascii="Calibri" w:hAnsi="Calibri"/>
                  <w:color w:val="0000FF"/>
                  <w:sz w:val="16"/>
                  <w:szCs w:val="16"/>
                  <w:u w:val="single"/>
                  <w:lang w:val="sv-SE"/>
                </w:rPr>
                <w:t>aleksandra.stankiewicz-billewicz@bik.pl</w:t>
              </w:r>
            </w:hyperlink>
            <w:r w:rsidR="000B6348"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36" w:type="dxa"/>
          </w:tcPr>
          <w:p w14:paraId="17B5616F" w14:textId="77777777" w:rsidR="000B6348" w:rsidRPr="002F6CB6" w:rsidRDefault="000B6348" w:rsidP="007770E6">
            <w:pPr>
              <w:spacing w:after="60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</w:pPr>
          </w:p>
        </w:tc>
      </w:tr>
    </w:tbl>
    <w:p w14:paraId="26632BEB" w14:textId="77777777" w:rsidR="00803747" w:rsidRPr="0046374B" w:rsidRDefault="00803747" w:rsidP="000B6348">
      <w:pPr>
        <w:jc w:val="both"/>
        <w:rPr>
          <w:rStyle w:val="StylStBIKsubowagwkaZnak"/>
          <w:b w:val="0"/>
          <w:spacing w:val="0"/>
          <w:sz w:val="18"/>
          <w:szCs w:val="18"/>
          <w:lang w:eastAsia="pl-PL"/>
        </w:rPr>
      </w:pPr>
    </w:p>
    <w:sectPr w:rsidR="00803747" w:rsidRPr="0046374B" w:rsidSect="001A6E5F"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40" w:right="1080" w:bottom="1440" w:left="1080" w:header="1276" w:footer="3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DEB2B" w14:textId="77777777" w:rsidR="008A4107" w:rsidRDefault="008A4107">
      <w:r>
        <w:separator/>
      </w:r>
    </w:p>
  </w:endnote>
  <w:endnote w:type="continuationSeparator" w:id="0">
    <w:p w14:paraId="06A01C18" w14:textId="77777777" w:rsidR="008A4107" w:rsidRDefault="008A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A032A" w14:textId="77777777" w:rsidR="005600CF" w:rsidRDefault="005600CF" w:rsidP="00314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82360" w14:textId="77777777" w:rsidR="005600CF" w:rsidRDefault="005600CF" w:rsidP="00DB3A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CB196" w14:textId="77777777" w:rsidR="005600CF" w:rsidRDefault="005600CF" w:rsidP="00314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660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3058D2D" w14:textId="77777777" w:rsidR="005600CF" w:rsidRPr="00D94BC7" w:rsidRDefault="005600C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4396222"/>
      <w:docPartObj>
        <w:docPartGallery w:val="Page Numbers (Bottom of Page)"/>
        <w:docPartUnique/>
      </w:docPartObj>
    </w:sdtPr>
    <w:sdtEndPr/>
    <w:sdtContent>
      <w:p w14:paraId="02CFF014" w14:textId="77777777" w:rsidR="005600CF" w:rsidRDefault="005600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6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39CFEE" w14:textId="77777777" w:rsidR="005600CF" w:rsidRPr="00BD6B42" w:rsidRDefault="005600CF" w:rsidP="00445B34">
    <w:pPr>
      <w:pStyle w:val="Stopka"/>
      <w:jc w:val="center"/>
      <w:rPr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34ACD" w14:textId="77777777" w:rsidR="008A4107" w:rsidRDefault="008A4107">
      <w:r>
        <w:separator/>
      </w:r>
    </w:p>
  </w:footnote>
  <w:footnote w:type="continuationSeparator" w:id="0">
    <w:p w14:paraId="6BD27582" w14:textId="77777777" w:rsidR="008A4107" w:rsidRDefault="008A4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9B506" w14:textId="77777777" w:rsidR="005600CF" w:rsidRDefault="005600CF">
    <w:pPr>
      <w:pStyle w:val="Nagwek"/>
      <w:rPr>
        <w:b/>
        <w:smallCaps/>
        <w:sz w:val="32"/>
      </w:rPr>
    </w:pPr>
    <w:r w:rsidRPr="00445B34">
      <w:rPr>
        <w:b/>
        <w:smallCaps/>
        <w:noProof/>
        <w:sz w:val="32"/>
      </w:rPr>
      <w:drawing>
        <wp:anchor distT="0" distB="0" distL="114300" distR="114300" simplePos="0" relativeHeight="251659264" behindDoc="1" locked="0" layoutInCell="1" allowOverlap="1" wp14:anchorId="18ACEEB7" wp14:editId="3D4EB0A2">
          <wp:simplePos x="0" y="0"/>
          <wp:positionH relativeFrom="margin">
            <wp:posOffset>-901065</wp:posOffset>
          </wp:positionH>
          <wp:positionV relativeFrom="margin">
            <wp:posOffset>-1366106</wp:posOffset>
          </wp:positionV>
          <wp:extent cx="7560000" cy="10688450"/>
          <wp:effectExtent l="0" t="0" r="3175" b="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 NOTATKI v. szer ma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3283B8" w14:textId="77777777" w:rsidR="005600CF" w:rsidRDefault="005600CF">
    <w:pPr>
      <w:pStyle w:val="Nagwek"/>
      <w:rPr>
        <w:b/>
        <w:smallCaps/>
        <w:sz w:val="32"/>
      </w:rPr>
    </w:pPr>
  </w:p>
  <w:p w14:paraId="71F3E9D4" w14:textId="77777777" w:rsidR="005600CF" w:rsidRPr="001F5A75" w:rsidRDefault="005600CF">
    <w:pPr>
      <w:pStyle w:val="Nagwek"/>
      <w:rPr>
        <w:b/>
        <w:sz w:val="24"/>
      </w:rPr>
    </w:pPr>
    <w:r w:rsidRPr="001F5A75">
      <w:rPr>
        <w:b/>
        <w:sz w:val="24"/>
      </w:rPr>
      <w:t>Informacja prasowa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C456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18EA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5038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7A06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08B0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8E2E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B6B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468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E0A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042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732FA"/>
    <w:multiLevelType w:val="hybridMultilevel"/>
    <w:tmpl w:val="D7ECF842"/>
    <w:lvl w:ilvl="0" w:tplc="993C39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A86BAE0">
      <w:start w:val="1"/>
      <w:numFmt w:val="bullet"/>
      <w:lvlText w:val=""/>
      <w:lvlJc w:val="left"/>
      <w:pPr>
        <w:tabs>
          <w:tab w:val="num" w:pos="851"/>
        </w:tabs>
        <w:ind w:left="79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C45A7C"/>
    <w:multiLevelType w:val="hybridMultilevel"/>
    <w:tmpl w:val="15081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8340EE"/>
    <w:multiLevelType w:val="hybridMultilevel"/>
    <w:tmpl w:val="68BED43E"/>
    <w:lvl w:ilvl="0" w:tplc="993C39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E32615"/>
    <w:multiLevelType w:val="hybridMultilevel"/>
    <w:tmpl w:val="4A4CA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D40D8"/>
    <w:multiLevelType w:val="hybridMultilevel"/>
    <w:tmpl w:val="CB3E8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449FE"/>
    <w:multiLevelType w:val="hybridMultilevel"/>
    <w:tmpl w:val="7240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8506D"/>
    <w:multiLevelType w:val="hybridMultilevel"/>
    <w:tmpl w:val="36C45E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7FC1F51"/>
    <w:multiLevelType w:val="multilevel"/>
    <w:tmpl w:val="58BA587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9057BD"/>
    <w:multiLevelType w:val="multilevel"/>
    <w:tmpl w:val="635E6EF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8D3E16"/>
    <w:multiLevelType w:val="hybridMultilevel"/>
    <w:tmpl w:val="72B4D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B557A"/>
    <w:multiLevelType w:val="hybridMultilevel"/>
    <w:tmpl w:val="C59C8818"/>
    <w:lvl w:ilvl="0" w:tplc="993C39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5867B14">
      <w:start w:val="1"/>
      <w:numFmt w:val="bullet"/>
      <w:pStyle w:val="BIKWypunktowanie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592227"/>
    <w:multiLevelType w:val="hybridMultilevel"/>
    <w:tmpl w:val="EC946C3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CC62021"/>
    <w:multiLevelType w:val="hybridMultilevel"/>
    <w:tmpl w:val="9A50936A"/>
    <w:lvl w:ilvl="0" w:tplc="B17699FC">
      <w:start w:val="1"/>
      <w:numFmt w:val="bullet"/>
      <w:lvlText w:val=""/>
      <w:lvlJc w:val="left"/>
      <w:pPr>
        <w:tabs>
          <w:tab w:val="num" w:pos="1531"/>
        </w:tabs>
        <w:ind w:left="1531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93551"/>
    <w:multiLevelType w:val="multilevel"/>
    <w:tmpl w:val="68BED43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FB3B38"/>
    <w:multiLevelType w:val="hybridMultilevel"/>
    <w:tmpl w:val="58BA5878"/>
    <w:lvl w:ilvl="0" w:tplc="65EA5478">
      <w:start w:val="1"/>
      <w:numFmt w:val="lowerLetter"/>
      <w:pStyle w:val="BIKNumerowanie2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79706CB"/>
    <w:multiLevelType w:val="multilevel"/>
    <w:tmpl w:val="9A50936A"/>
    <w:lvl w:ilvl="0">
      <w:start w:val="1"/>
      <w:numFmt w:val="bullet"/>
      <w:lvlText w:val=""/>
      <w:lvlJc w:val="left"/>
      <w:pPr>
        <w:tabs>
          <w:tab w:val="num" w:pos="1531"/>
        </w:tabs>
        <w:ind w:left="1531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41D77"/>
    <w:multiLevelType w:val="hybridMultilevel"/>
    <w:tmpl w:val="4DE6C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85682"/>
    <w:multiLevelType w:val="hybridMultilevel"/>
    <w:tmpl w:val="E93E77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9D05BC7"/>
    <w:multiLevelType w:val="multilevel"/>
    <w:tmpl w:val="68BED43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373FB4"/>
    <w:multiLevelType w:val="multilevel"/>
    <w:tmpl w:val="221CFB24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AB0665"/>
    <w:multiLevelType w:val="hybridMultilevel"/>
    <w:tmpl w:val="09E877D8"/>
    <w:lvl w:ilvl="0" w:tplc="37AE66AA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5A92E4D"/>
    <w:multiLevelType w:val="multilevel"/>
    <w:tmpl w:val="D5769FD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B145C"/>
    <w:multiLevelType w:val="multilevel"/>
    <w:tmpl w:val="8318BF5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A15A12"/>
    <w:multiLevelType w:val="hybridMultilevel"/>
    <w:tmpl w:val="6DCA4A92"/>
    <w:lvl w:ilvl="0" w:tplc="993C39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5867B14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1A59DE"/>
    <w:multiLevelType w:val="hybridMultilevel"/>
    <w:tmpl w:val="8318BF52"/>
    <w:lvl w:ilvl="0" w:tplc="993C39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79AC6F0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0"/>
  </w:num>
  <w:num w:numId="3">
    <w:abstractNumId w:val="35"/>
  </w:num>
  <w:num w:numId="4">
    <w:abstractNumId w:val="24"/>
  </w:num>
  <w:num w:numId="5">
    <w:abstractNumId w:val="36"/>
  </w:num>
  <w:num w:numId="6">
    <w:abstractNumId w:val="22"/>
  </w:num>
  <w:num w:numId="7">
    <w:abstractNumId w:val="12"/>
  </w:num>
  <w:num w:numId="8">
    <w:abstractNumId w:val="29"/>
  </w:num>
  <w:num w:numId="9">
    <w:abstractNumId w:val="30"/>
  </w:num>
  <w:num w:numId="10">
    <w:abstractNumId w:val="18"/>
  </w:num>
  <w:num w:numId="11">
    <w:abstractNumId w:val="20"/>
  </w:num>
  <w:num w:numId="12">
    <w:abstractNumId w:val="26"/>
  </w:num>
  <w:num w:numId="13">
    <w:abstractNumId w:val="23"/>
  </w:num>
  <w:num w:numId="14">
    <w:abstractNumId w:val="31"/>
  </w:num>
  <w:num w:numId="15">
    <w:abstractNumId w:val="17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3"/>
  </w:num>
  <w:num w:numId="27">
    <w:abstractNumId w:val="34"/>
  </w:num>
  <w:num w:numId="28">
    <w:abstractNumId w:val="28"/>
  </w:num>
  <w:num w:numId="29">
    <w:abstractNumId w:val="25"/>
  </w:num>
  <w:num w:numId="30">
    <w:abstractNumId w:val="32"/>
  </w:num>
  <w:num w:numId="31">
    <w:abstractNumId w:val="13"/>
  </w:num>
  <w:num w:numId="32">
    <w:abstractNumId w:val="21"/>
  </w:num>
  <w:num w:numId="33">
    <w:abstractNumId w:val="16"/>
  </w:num>
  <w:num w:numId="34">
    <w:abstractNumId w:val="19"/>
  </w:num>
  <w:num w:numId="35">
    <w:abstractNumId w:val="14"/>
  </w:num>
  <w:num w:numId="36">
    <w:abstractNumId w:val="27"/>
  </w:num>
  <w:num w:numId="37">
    <w:abstractNumId w:val="1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49"/>
    <w:rsid w:val="00001C18"/>
    <w:rsid w:val="000045BA"/>
    <w:rsid w:val="000067D7"/>
    <w:rsid w:val="00011395"/>
    <w:rsid w:val="0001157A"/>
    <w:rsid w:val="00013934"/>
    <w:rsid w:val="0001467E"/>
    <w:rsid w:val="0001529B"/>
    <w:rsid w:val="00015F4D"/>
    <w:rsid w:val="00016B9E"/>
    <w:rsid w:val="0001749C"/>
    <w:rsid w:val="00017A15"/>
    <w:rsid w:val="000221D8"/>
    <w:rsid w:val="00025C90"/>
    <w:rsid w:val="00027897"/>
    <w:rsid w:val="00027AB6"/>
    <w:rsid w:val="00030816"/>
    <w:rsid w:val="00032D27"/>
    <w:rsid w:val="00033AF8"/>
    <w:rsid w:val="00034CAE"/>
    <w:rsid w:val="0003510C"/>
    <w:rsid w:val="0004125F"/>
    <w:rsid w:val="00043D3C"/>
    <w:rsid w:val="00051713"/>
    <w:rsid w:val="00052B12"/>
    <w:rsid w:val="0005322B"/>
    <w:rsid w:val="000544D7"/>
    <w:rsid w:val="00054B2F"/>
    <w:rsid w:val="00054F0C"/>
    <w:rsid w:val="00056FE3"/>
    <w:rsid w:val="00057FD2"/>
    <w:rsid w:val="000608AD"/>
    <w:rsid w:val="000616B3"/>
    <w:rsid w:val="0006213A"/>
    <w:rsid w:val="00062285"/>
    <w:rsid w:val="00063029"/>
    <w:rsid w:val="000648DF"/>
    <w:rsid w:val="00065020"/>
    <w:rsid w:val="0006686F"/>
    <w:rsid w:val="00066FAE"/>
    <w:rsid w:val="00067CA2"/>
    <w:rsid w:val="00070A0D"/>
    <w:rsid w:val="000734E5"/>
    <w:rsid w:val="00076DCC"/>
    <w:rsid w:val="00080306"/>
    <w:rsid w:val="00080D44"/>
    <w:rsid w:val="0008249F"/>
    <w:rsid w:val="0008287A"/>
    <w:rsid w:val="0008509F"/>
    <w:rsid w:val="0008521E"/>
    <w:rsid w:val="00085466"/>
    <w:rsid w:val="00086751"/>
    <w:rsid w:val="0008745A"/>
    <w:rsid w:val="00087E91"/>
    <w:rsid w:val="00091067"/>
    <w:rsid w:val="00093855"/>
    <w:rsid w:val="00093FD0"/>
    <w:rsid w:val="00095FF9"/>
    <w:rsid w:val="00097DA8"/>
    <w:rsid w:val="000A08A7"/>
    <w:rsid w:val="000A0F5E"/>
    <w:rsid w:val="000A1230"/>
    <w:rsid w:val="000A20B7"/>
    <w:rsid w:val="000A2974"/>
    <w:rsid w:val="000A6E77"/>
    <w:rsid w:val="000B0A7C"/>
    <w:rsid w:val="000B198E"/>
    <w:rsid w:val="000B2773"/>
    <w:rsid w:val="000B40B6"/>
    <w:rsid w:val="000B561B"/>
    <w:rsid w:val="000B6348"/>
    <w:rsid w:val="000B6DFE"/>
    <w:rsid w:val="000C53B4"/>
    <w:rsid w:val="000C5D3A"/>
    <w:rsid w:val="000C6466"/>
    <w:rsid w:val="000C7770"/>
    <w:rsid w:val="000C7BC9"/>
    <w:rsid w:val="000D4F9D"/>
    <w:rsid w:val="000D59F2"/>
    <w:rsid w:val="000D7374"/>
    <w:rsid w:val="000E2942"/>
    <w:rsid w:val="000E5D55"/>
    <w:rsid w:val="000E6BA2"/>
    <w:rsid w:val="000F2BCE"/>
    <w:rsid w:val="000F3BA6"/>
    <w:rsid w:val="001045C1"/>
    <w:rsid w:val="00105D6A"/>
    <w:rsid w:val="001067BF"/>
    <w:rsid w:val="001072CE"/>
    <w:rsid w:val="0011201C"/>
    <w:rsid w:val="00113C48"/>
    <w:rsid w:val="00113D83"/>
    <w:rsid w:val="00114554"/>
    <w:rsid w:val="001159A4"/>
    <w:rsid w:val="00122700"/>
    <w:rsid w:val="001245E7"/>
    <w:rsid w:val="00126FDB"/>
    <w:rsid w:val="00127BE1"/>
    <w:rsid w:val="001324D2"/>
    <w:rsid w:val="00134688"/>
    <w:rsid w:val="00134C14"/>
    <w:rsid w:val="00135562"/>
    <w:rsid w:val="0013754B"/>
    <w:rsid w:val="0014138F"/>
    <w:rsid w:val="00142A56"/>
    <w:rsid w:val="00142C25"/>
    <w:rsid w:val="00142DDF"/>
    <w:rsid w:val="001431EC"/>
    <w:rsid w:val="0014425B"/>
    <w:rsid w:val="00146256"/>
    <w:rsid w:val="00146B4F"/>
    <w:rsid w:val="00150CF5"/>
    <w:rsid w:val="001529E4"/>
    <w:rsid w:val="00152C1F"/>
    <w:rsid w:val="0015564C"/>
    <w:rsid w:val="00155D79"/>
    <w:rsid w:val="0015633E"/>
    <w:rsid w:val="00161040"/>
    <w:rsid w:val="00165500"/>
    <w:rsid w:val="001673F6"/>
    <w:rsid w:val="00167C82"/>
    <w:rsid w:val="00171BE3"/>
    <w:rsid w:val="00171D2F"/>
    <w:rsid w:val="0017315F"/>
    <w:rsid w:val="00175141"/>
    <w:rsid w:val="00175970"/>
    <w:rsid w:val="00175FA9"/>
    <w:rsid w:val="00176C94"/>
    <w:rsid w:val="00177DBD"/>
    <w:rsid w:val="00181484"/>
    <w:rsid w:val="00182A44"/>
    <w:rsid w:val="00185F29"/>
    <w:rsid w:val="00185FA8"/>
    <w:rsid w:val="001869B1"/>
    <w:rsid w:val="00186D4D"/>
    <w:rsid w:val="0019154A"/>
    <w:rsid w:val="0019205F"/>
    <w:rsid w:val="0019217E"/>
    <w:rsid w:val="0019226F"/>
    <w:rsid w:val="00192839"/>
    <w:rsid w:val="00192B5F"/>
    <w:rsid w:val="001949A7"/>
    <w:rsid w:val="00195F5A"/>
    <w:rsid w:val="00196157"/>
    <w:rsid w:val="00196A03"/>
    <w:rsid w:val="001A128F"/>
    <w:rsid w:val="001A1EE4"/>
    <w:rsid w:val="001A27CF"/>
    <w:rsid w:val="001A2AC2"/>
    <w:rsid w:val="001A4D6E"/>
    <w:rsid w:val="001A5AEF"/>
    <w:rsid w:val="001A69C4"/>
    <w:rsid w:val="001A6E5F"/>
    <w:rsid w:val="001A78F1"/>
    <w:rsid w:val="001A7BA3"/>
    <w:rsid w:val="001B04E9"/>
    <w:rsid w:val="001B34A1"/>
    <w:rsid w:val="001B5320"/>
    <w:rsid w:val="001B59DD"/>
    <w:rsid w:val="001B78E1"/>
    <w:rsid w:val="001D25BD"/>
    <w:rsid w:val="001D6B93"/>
    <w:rsid w:val="001D735D"/>
    <w:rsid w:val="001D7C89"/>
    <w:rsid w:val="001E0816"/>
    <w:rsid w:val="001E2E9A"/>
    <w:rsid w:val="001E492A"/>
    <w:rsid w:val="001E5B7C"/>
    <w:rsid w:val="001F0862"/>
    <w:rsid w:val="001F5315"/>
    <w:rsid w:val="001F5A75"/>
    <w:rsid w:val="001F6178"/>
    <w:rsid w:val="001F66DF"/>
    <w:rsid w:val="00200DD9"/>
    <w:rsid w:val="00202760"/>
    <w:rsid w:val="00207A55"/>
    <w:rsid w:val="00210F1D"/>
    <w:rsid w:val="00213A96"/>
    <w:rsid w:val="00216AB5"/>
    <w:rsid w:val="00216C1D"/>
    <w:rsid w:val="00227C95"/>
    <w:rsid w:val="0023077E"/>
    <w:rsid w:val="00234618"/>
    <w:rsid w:val="00234C0E"/>
    <w:rsid w:val="002358B5"/>
    <w:rsid w:val="0023682F"/>
    <w:rsid w:val="0024348F"/>
    <w:rsid w:val="00244B97"/>
    <w:rsid w:val="00245E26"/>
    <w:rsid w:val="00247DE8"/>
    <w:rsid w:val="00250412"/>
    <w:rsid w:val="00254F83"/>
    <w:rsid w:val="00256468"/>
    <w:rsid w:val="0025707C"/>
    <w:rsid w:val="00266C0C"/>
    <w:rsid w:val="002671BA"/>
    <w:rsid w:val="00271D4C"/>
    <w:rsid w:val="002739FD"/>
    <w:rsid w:val="00275B8F"/>
    <w:rsid w:val="00276E26"/>
    <w:rsid w:val="002772CF"/>
    <w:rsid w:val="002812B8"/>
    <w:rsid w:val="00281848"/>
    <w:rsid w:val="00283E6B"/>
    <w:rsid w:val="00285A27"/>
    <w:rsid w:val="0028732B"/>
    <w:rsid w:val="00291F02"/>
    <w:rsid w:val="0029265E"/>
    <w:rsid w:val="002939C0"/>
    <w:rsid w:val="00296EFA"/>
    <w:rsid w:val="0029728D"/>
    <w:rsid w:val="00297EE2"/>
    <w:rsid w:val="002A3927"/>
    <w:rsid w:val="002A56A1"/>
    <w:rsid w:val="002A7370"/>
    <w:rsid w:val="002A7C1A"/>
    <w:rsid w:val="002B1108"/>
    <w:rsid w:val="002B15A5"/>
    <w:rsid w:val="002B2943"/>
    <w:rsid w:val="002B2D5E"/>
    <w:rsid w:val="002B3528"/>
    <w:rsid w:val="002B538E"/>
    <w:rsid w:val="002B5ECC"/>
    <w:rsid w:val="002B650C"/>
    <w:rsid w:val="002C2F92"/>
    <w:rsid w:val="002C3A9E"/>
    <w:rsid w:val="002D10A1"/>
    <w:rsid w:val="002D1B36"/>
    <w:rsid w:val="002D43DE"/>
    <w:rsid w:val="002D48DD"/>
    <w:rsid w:val="002D6057"/>
    <w:rsid w:val="002D7770"/>
    <w:rsid w:val="002D7B50"/>
    <w:rsid w:val="002D7BB8"/>
    <w:rsid w:val="002E1247"/>
    <w:rsid w:val="002E2854"/>
    <w:rsid w:val="002E4298"/>
    <w:rsid w:val="002E5D90"/>
    <w:rsid w:val="002F1053"/>
    <w:rsid w:val="002F1DB6"/>
    <w:rsid w:val="002F1EA6"/>
    <w:rsid w:val="002F21F1"/>
    <w:rsid w:val="002F5990"/>
    <w:rsid w:val="002F6A6F"/>
    <w:rsid w:val="002F7501"/>
    <w:rsid w:val="00306F7D"/>
    <w:rsid w:val="0030742E"/>
    <w:rsid w:val="00311A7B"/>
    <w:rsid w:val="00312598"/>
    <w:rsid w:val="0031455F"/>
    <w:rsid w:val="003146FC"/>
    <w:rsid w:val="00314749"/>
    <w:rsid w:val="00314D45"/>
    <w:rsid w:val="003178EB"/>
    <w:rsid w:val="00322AC3"/>
    <w:rsid w:val="00324335"/>
    <w:rsid w:val="00333E66"/>
    <w:rsid w:val="00335180"/>
    <w:rsid w:val="00335E6F"/>
    <w:rsid w:val="003365A8"/>
    <w:rsid w:val="00337F22"/>
    <w:rsid w:val="00347D53"/>
    <w:rsid w:val="00350524"/>
    <w:rsid w:val="00356702"/>
    <w:rsid w:val="003573A4"/>
    <w:rsid w:val="00360D26"/>
    <w:rsid w:val="0036100E"/>
    <w:rsid w:val="00363372"/>
    <w:rsid w:val="00363C80"/>
    <w:rsid w:val="0036493D"/>
    <w:rsid w:val="003713FC"/>
    <w:rsid w:val="0037148D"/>
    <w:rsid w:val="00372A77"/>
    <w:rsid w:val="00375261"/>
    <w:rsid w:val="003760E3"/>
    <w:rsid w:val="00376C0F"/>
    <w:rsid w:val="00376EAE"/>
    <w:rsid w:val="00381974"/>
    <w:rsid w:val="003855B6"/>
    <w:rsid w:val="003863CE"/>
    <w:rsid w:val="00386B4D"/>
    <w:rsid w:val="00387AD7"/>
    <w:rsid w:val="00391FD2"/>
    <w:rsid w:val="003956A4"/>
    <w:rsid w:val="00395750"/>
    <w:rsid w:val="00395941"/>
    <w:rsid w:val="00396261"/>
    <w:rsid w:val="003A2A03"/>
    <w:rsid w:val="003A2D49"/>
    <w:rsid w:val="003A2F0A"/>
    <w:rsid w:val="003A3738"/>
    <w:rsid w:val="003A37FD"/>
    <w:rsid w:val="003A578F"/>
    <w:rsid w:val="003A7C0E"/>
    <w:rsid w:val="003B0B6F"/>
    <w:rsid w:val="003B0CCC"/>
    <w:rsid w:val="003B1165"/>
    <w:rsid w:val="003B1DD5"/>
    <w:rsid w:val="003B64B4"/>
    <w:rsid w:val="003B6EBD"/>
    <w:rsid w:val="003B72C1"/>
    <w:rsid w:val="003C13FD"/>
    <w:rsid w:val="003C248A"/>
    <w:rsid w:val="003D17DD"/>
    <w:rsid w:val="003D23AE"/>
    <w:rsid w:val="003D3254"/>
    <w:rsid w:val="003E0643"/>
    <w:rsid w:val="003E43E4"/>
    <w:rsid w:val="003E5322"/>
    <w:rsid w:val="003E578A"/>
    <w:rsid w:val="003E648D"/>
    <w:rsid w:val="003F1068"/>
    <w:rsid w:val="003F1FC1"/>
    <w:rsid w:val="003F1FCD"/>
    <w:rsid w:val="003F3DB0"/>
    <w:rsid w:val="003F5DEE"/>
    <w:rsid w:val="003F65C9"/>
    <w:rsid w:val="003F6A95"/>
    <w:rsid w:val="003F7973"/>
    <w:rsid w:val="004037F0"/>
    <w:rsid w:val="00404B58"/>
    <w:rsid w:val="00406932"/>
    <w:rsid w:val="004100DF"/>
    <w:rsid w:val="00411765"/>
    <w:rsid w:val="00412150"/>
    <w:rsid w:val="00413BBB"/>
    <w:rsid w:val="00414A51"/>
    <w:rsid w:val="00421F59"/>
    <w:rsid w:val="00425776"/>
    <w:rsid w:val="0042619B"/>
    <w:rsid w:val="0042787F"/>
    <w:rsid w:val="00430F60"/>
    <w:rsid w:val="0043169A"/>
    <w:rsid w:val="0043259D"/>
    <w:rsid w:val="004349B2"/>
    <w:rsid w:val="00442836"/>
    <w:rsid w:val="0044369B"/>
    <w:rsid w:val="00444E30"/>
    <w:rsid w:val="00445B34"/>
    <w:rsid w:val="00445E35"/>
    <w:rsid w:val="00450287"/>
    <w:rsid w:val="0045305D"/>
    <w:rsid w:val="00453739"/>
    <w:rsid w:val="00453E36"/>
    <w:rsid w:val="00455BA7"/>
    <w:rsid w:val="00457526"/>
    <w:rsid w:val="0046014B"/>
    <w:rsid w:val="0046103B"/>
    <w:rsid w:val="0046374B"/>
    <w:rsid w:val="00463AE5"/>
    <w:rsid w:val="0046509E"/>
    <w:rsid w:val="0046581F"/>
    <w:rsid w:val="00466CA3"/>
    <w:rsid w:val="0046717C"/>
    <w:rsid w:val="004721EB"/>
    <w:rsid w:val="00473700"/>
    <w:rsid w:val="00474874"/>
    <w:rsid w:val="004759BD"/>
    <w:rsid w:val="004765FF"/>
    <w:rsid w:val="004868A0"/>
    <w:rsid w:val="004944B7"/>
    <w:rsid w:val="004944F6"/>
    <w:rsid w:val="00495000"/>
    <w:rsid w:val="00495EA4"/>
    <w:rsid w:val="004A310D"/>
    <w:rsid w:val="004A3EF2"/>
    <w:rsid w:val="004A619F"/>
    <w:rsid w:val="004A73B4"/>
    <w:rsid w:val="004A7C8F"/>
    <w:rsid w:val="004B1308"/>
    <w:rsid w:val="004B2C11"/>
    <w:rsid w:val="004B4A0F"/>
    <w:rsid w:val="004B4ACF"/>
    <w:rsid w:val="004B4E82"/>
    <w:rsid w:val="004B77A9"/>
    <w:rsid w:val="004B7C9A"/>
    <w:rsid w:val="004C1889"/>
    <w:rsid w:val="004C4457"/>
    <w:rsid w:val="004D0AD2"/>
    <w:rsid w:val="004D0C66"/>
    <w:rsid w:val="004D1B4F"/>
    <w:rsid w:val="004D3033"/>
    <w:rsid w:val="004D31EE"/>
    <w:rsid w:val="004D350A"/>
    <w:rsid w:val="004D693E"/>
    <w:rsid w:val="004D7CD1"/>
    <w:rsid w:val="004E032F"/>
    <w:rsid w:val="004E1941"/>
    <w:rsid w:val="004E6370"/>
    <w:rsid w:val="004E7E4D"/>
    <w:rsid w:val="004F278A"/>
    <w:rsid w:val="004F7037"/>
    <w:rsid w:val="00500403"/>
    <w:rsid w:val="00500CC1"/>
    <w:rsid w:val="00501259"/>
    <w:rsid w:val="0050196F"/>
    <w:rsid w:val="00501DF3"/>
    <w:rsid w:val="0050323D"/>
    <w:rsid w:val="005049C9"/>
    <w:rsid w:val="00504A5D"/>
    <w:rsid w:val="00507980"/>
    <w:rsid w:val="00512ECB"/>
    <w:rsid w:val="00513DDF"/>
    <w:rsid w:val="00514CC2"/>
    <w:rsid w:val="0052063F"/>
    <w:rsid w:val="00522BA2"/>
    <w:rsid w:val="005235D2"/>
    <w:rsid w:val="00524111"/>
    <w:rsid w:val="00525E41"/>
    <w:rsid w:val="00526EA9"/>
    <w:rsid w:val="005334B5"/>
    <w:rsid w:val="005337D9"/>
    <w:rsid w:val="00536EA5"/>
    <w:rsid w:val="00536F86"/>
    <w:rsid w:val="00542F1D"/>
    <w:rsid w:val="00544F75"/>
    <w:rsid w:val="00545F95"/>
    <w:rsid w:val="00547DD2"/>
    <w:rsid w:val="00551AE9"/>
    <w:rsid w:val="005540EE"/>
    <w:rsid w:val="005543CB"/>
    <w:rsid w:val="005600CF"/>
    <w:rsid w:val="00560C8E"/>
    <w:rsid w:val="00565108"/>
    <w:rsid w:val="0056688A"/>
    <w:rsid w:val="0057481F"/>
    <w:rsid w:val="00575690"/>
    <w:rsid w:val="005775DC"/>
    <w:rsid w:val="005814AF"/>
    <w:rsid w:val="005829B9"/>
    <w:rsid w:val="00582CFC"/>
    <w:rsid w:val="00584124"/>
    <w:rsid w:val="0058449A"/>
    <w:rsid w:val="00584630"/>
    <w:rsid w:val="005850A2"/>
    <w:rsid w:val="00586236"/>
    <w:rsid w:val="00592EA2"/>
    <w:rsid w:val="00594452"/>
    <w:rsid w:val="00595036"/>
    <w:rsid w:val="005A2039"/>
    <w:rsid w:val="005A5AA0"/>
    <w:rsid w:val="005A5BEC"/>
    <w:rsid w:val="005A7ADA"/>
    <w:rsid w:val="005B0C45"/>
    <w:rsid w:val="005B3AF4"/>
    <w:rsid w:val="005C4621"/>
    <w:rsid w:val="005C6B1C"/>
    <w:rsid w:val="005C6D8D"/>
    <w:rsid w:val="005C7564"/>
    <w:rsid w:val="005D2DB5"/>
    <w:rsid w:val="005D3B52"/>
    <w:rsid w:val="005D4408"/>
    <w:rsid w:val="005D656F"/>
    <w:rsid w:val="005E4C6A"/>
    <w:rsid w:val="005E6B7B"/>
    <w:rsid w:val="005F05E8"/>
    <w:rsid w:val="005F11CA"/>
    <w:rsid w:val="005F7A24"/>
    <w:rsid w:val="006013C8"/>
    <w:rsid w:val="00605DD6"/>
    <w:rsid w:val="00606C98"/>
    <w:rsid w:val="00611DD3"/>
    <w:rsid w:val="006122F8"/>
    <w:rsid w:val="006128C7"/>
    <w:rsid w:val="0061648D"/>
    <w:rsid w:val="0061682B"/>
    <w:rsid w:val="00620152"/>
    <w:rsid w:val="00620CC1"/>
    <w:rsid w:val="00621661"/>
    <w:rsid w:val="00622E73"/>
    <w:rsid w:val="00624E59"/>
    <w:rsid w:val="006277E3"/>
    <w:rsid w:val="00631F71"/>
    <w:rsid w:val="00633B90"/>
    <w:rsid w:val="006347D3"/>
    <w:rsid w:val="00634A13"/>
    <w:rsid w:val="0063534B"/>
    <w:rsid w:val="0063637B"/>
    <w:rsid w:val="00636962"/>
    <w:rsid w:val="00646F11"/>
    <w:rsid w:val="00647E80"/>
    <w:rsid w:val="006508BA"/>
    <w:rsid w:val="00650982"/>
    <w:rsid w:val="006511D0"/>
    <w:rsid w:val="00651A29"/>
    <w:rsid w:val="00653D79"/>
    <w:rsid w:val="00655BC4"/>
    <w:rsid w:val="00655BF1"/>
    <w:rsid w:val="00655D7B"/>
    <w:rsid w:val="00656013"/>
    <w:rsid w:val="00657323"/>
    <w:rsid w:val="00657583"/>
    <w:rsid w:val="00662898"/>
    <w:rsid w:val="006649AE"/>
    <w:rsid w:val="00671226"/>
    <w:rsid w:val="0067193D"/>
    <w:rsid w:val="0067212B"/>
    <w:rsid w:val="006727CA"/>
    <w:rsid w:val="0067319C"/>
    <w:rsid w:val="006772DA"/>
    <w:rsid w:val="006805E3"/>
    <w:rsid w:val="00680642"/>
    <w:rsid w:val="006810A9"/>
    <w:rsid w:val="00681C53"/>
    <w:rsid w:val="00682854"/>
    <w:rsid w:val="00683401"/>
    <w:rsid w:val="00684A2C"/>
    <w:rsid w:val="00687620"/>
    <w:rsid w:val="00692833"/>
    <w:rsid w:val="00694C6D"/>
    <w:rsid w:val="00695729"/>
    <w:rsid w:val="00696266"/>
    <w:rsid w:val="006968DE"/>
    <w:rsid w:val="006973E3"/>
    <w:rsid w:val="00697550"/>
    <w:rsid w:val="006976EE"/>
    <w:rsid w:val="00697B5D"/>
    <w:rsid w:val="006A1DE4"/>
    <w:rsid w:val="006A2F9C"/>
    <w:rsid w:val="006A75C4"/>
    <w:rsid w:val="006B1DC4"/>
    <w:rsid w:val="006B2601"/>
    <w:rsid w:val="006B3240"/>
    <w:rsid w:val="006B4395"/>
    <w:rsid w:val="006B46AA"/>
    <w:rsid w:val="006B5187"/>
    <w:rsid w:val="006B5DDE"/>
    <w:rsid w:val="006B5E90"/>
    <w:rsid w:val="006B71E2"/>
    <w:rsid w:val="006B76A8"/>
    <w:rsid w:val="006C0090"/>
    <w:rsid w:val="006C4666"/>
    <w:rsid w:val="006D0303"/>
    <w:rsid w:val="006D2982"/>
    <w:rsid w:val="006D3FF7"/>
    <w:rsid w:val="006E1B80"/>
    <w:rsid w:val="006E27AA"/>
    <w:rsid w:val="006E2E4D"/>
    <w:rsid w:val="006E32BC"/>
    <w:rsid w:val="006E39D0"/>
    <w:rsid w:val="006E4213"/>
    <w:rsid w:val="006E5994"/>
    <w:rsid w:val="006E737C"/>
    <w:rsid w:val="006F0EFD"/>
    <w:rsid w:val="00700804"/>
    <w:rsid w:val="00700B4A"/>
    <w:rsid w:val="0070263B"/>
    <w:rsid w:val="00703472"/>
    <w:rsid w:val="00703643"/>
    <w:rsid w:val="007072BB"/>
    <w:rsid w:val="00711AAB"/>
    <w:rsid w:val="007142DC"/>
    <w:rsid w:val="00714938"/>
    <w:rsid w:val="007159B9"/>
    <w:rsid w:val="00720224"/>
    <w:rsid w:val="00724D5C"/>
    <w:rsid w:val="00731433"/>
    <w:rsid w:val="0073255A"/>
    <w:rsid w:val="007327FC"/>
    <w:rsid w:val="00734688"/>
    <w:rsid w:val="00735735"/>
    <w:rsid w:val="00735ACA"/>
    <w:rsid w:val="00736D22"/>
    <w:rsid w:val="00741A1E"/>
    <w:rsid w:val="007428CA"/>
    <w:rsid w:val="00743FFA"/>
    <w:rsid w:val="00744C42"/>
    <w:rsid w:val="00745FDE"/>
    <w:rsid w:val="007509E6"/>
    <w:rsid w:val="0075188C"/>
    <w:rsid w:val="00751ADC"/>
    <w:rsid w:val="00752EE9"/>
    <w:rsid w:val="00754657"/>
    <w:rsid w:val="007556AB"/>
    <w:rsid w:val="00756552"/>
    <w:rsid w:val="00756E1C"/>
    <w:rsid w:val="00760917"/>
    <w:rsid w:val="00761B06"/>
    <w:rsid w:val="0076237C"/>
    <w:rsid w:val="00764369"/>
    <w:rsid w:val="007652FF"/>
    <w:rsid w:val="00766D57"/>
    <w:rsid w:val="00767647"/>
    <w:rsid w:val="00770917"/>
    <w:rsid w:val="007717B0"/>
    <w:rsid w:val="00771809"/>
    <w:rsid w:val="00771BA9"/>
    <w:rsid w:val="007748EF"/>
    <w:rsid w:val="007750D9"/>
    <w:rsid w:val="00777C29"/>
    <w:rsid w:val="0078178E"/>
    <w:rsid w:val="007818A2"/>
    <w:rsid w:val="00785FD0"/>
    <w:rsid w:val="00794798"/>
    <w:rsid w:val="007948FA"/>
    <w:rsid w:val="00797469"/>
    <w:rsid w:val="007A745C"/>
    <w:rsid w:val="007A7726"/>
    <w:rsid w:val="007A7FD0"/>
    <w:rsid w:val="007B217A"/>
    <w:rsid w:val="007B2241"/>
    <w:rsid w:val="007B3637"/>
    <w:rsid w:val="007B4B01"/>
    <w:rsid w:val="007C37D3"/>
    <w:rsid w:val="007C61B3"/>
    <w:rsid w:val="007C6CFD"/>
    <w:rsid w:val="007C7389"/>
    <w:rsid w:val="007D3CD4"/>
    <w:rsid w:val="007D6692"/>
    <w:rsid w:val="007E0140"/>
    <w:rsid w:val="007E08AA"/>
    <w:rsid w:val="007E2350"/>
    <w:rsid w:val="007E4B1A"/>
    <w:rsid w:val="007E520E"/>
    <w:rsid w:val="007E5298"/>
    <w:rsid w:val="007E5FD5"/>
    <w:rsid w:val="007E7C40"/>
    <w:rsid w:val="007E7D20"/>
    <w:rsid w:val="007F13F5"/>
    <w:rsid w:val="007F20E7"/>
    <w:rsid w:val="007F4A3E"/>
    <w:rsid w:val="00801E7A"/>
    <w:rsid w:val="00803747"/>
    <w:rsid w:val="00805425"/>
    <w:rsid w:val="00805F34"/>
    <w:rsid w:val="008127D1"/>
    <w:rsid w:val="008136D2"/>
    <w:rsid w:val="00814B91"/>
    <w:rsid w:val="008168AE"/>
    <w:rsid w:val="008237B7"/>
    <w:rsid w:val="0082382F"/>
    <w:rsid w:val="00826565"/>
    <w:rsid w:val="00830DD5"/>
    <w:rsid w:val="00832D75"/>
    <w:rsid w:val="0083369F"/>
    <w:rsid w:val="00833AC0"/>
    <w:rsid w:val="00835AD3"/>
    <w:rsid w:val="008371DC"/>
    <w:rsid w:val="00837C1B"/>
    <w:rsid w:val="00840FE3"/>
    <w:rsid w:val="00844E62"/>
    <w:rsid w:val="00852575"/>
    <w:rsid w:val="0085280F"/>
    <w:rsid w:val="00852E63"/>
    <w:rsid w:val="008533EF"/>
    <w:rsid w:val="00853AEE"/>
    <w:rsid w:val="00856605"/>
    <w:rsid w:val="00857169"/>
    <w:rsid w:val="00857EBA"/>
    <w:rsid w:val="0086110E"/>
    <w:rsid w:val="00862D6F"/>
    <w:rsid w:val="00864CCF"/>
    <w:rsid w:val="008654A3"/>
    <w:rsid w:val="00867956"/>
    <w:rsid w:val="00867AD4"/>
    <w:rsid w:val="00870DAB"/>
    <w:rsid w:val="008713B9"/>
    <w:rsid w:val="008732FE"/>
    <w:rsid w:val="00875753"/>
    <w:rsid w:val="0087599E"/>
    <w:rsid w:val="0087728C"/>
    <w:rsid w:val="00883EE2"/>
    <w:rsid w:val="00884A51"/>
    <w:rsid w:val="00890711"/>
    <w:rsid w:val="008961EF"/>
    <w:rsid w:val="008976A6"/>
    <w:rsid w:val="008A0083"/>
    <w:rsid w:val="008A22BA"/>
    <w:rsid w:val="008A3ED3"/>
    <w:rsid w:val="008A4107"/>
    <w:rsid w:val="008A5868"/>
    <w:rsid w:val="008B076E"/>
    <w:rsid w:val="008B159B"/>
    <w:rsid w:val="008B588A"/>
    <w:rsid w:val="008B5902"/>
    <w:rsid w:val="008B7FA5"/>
    <w:rsid w:val="008C04BE"/>
    <w:rsid w:val="008C1C88"/>
    <w:rsid w:val="008C5E34"/>
    <w:rsid w:val="008C657F"/>
    <w:rsid w:val="008C6AB3"/>
    <w:rsid w:val="008C70D8"/>
    <w:rsid w:val="008C731C"/>
    <w:rsid w:val="008C73CB"/>
    <w:rsid w:val="008D2D38"/>
    <w:rsid w:val="008D3F68"/>
    <w:rsid w:val="008D4541"/>
    <w:rsid w:val="008D7C5E"/>
    <w:rsid w:val="008E2912"/>
    <w:rsid w:val="008E4AD7"/>
    <w:rsid w:val="008E6FD1"/>
    <w:rsid w:val="008E7583"/>
    <w:rsid w:val="008E76EB"/>
    <w:rsid w:val="008F4F57"/>
    <w:rsid w:val="008F5E86"/>
    <w:rsid w:val="00900F63"/>
    <w:rsid w:val="00901210"/>
    <w:rsid w:val="00901FAB"/>
    <w:rsid w:val="009037C0"/>
    <w:rsid w:val="00904565"/>
    <w:rsid w:val="009052C1"/>
    <w:rsid w:val="0090612A"/>
    <w:rsid w:val="00914815"/>
    <w:rsid w:val="00916D0E"/>
    <w:rsid w:val="00920335"/>
    <w:rsid w:val="00922F60"/>
    <w:rsid w:val="00924B33"/>
    <w:rsid w:val="009251F4"/>
    <w:rsid w:val="00925F15"/>
    <w:rsid w:val="009279EE"/>
    <w:rsid w:val="009310B8"/>
    <w:rsid w:val="0093288B"/>
    <w:rsid w:val="00932EEC"/>
    <w:rsid w:val="00935488"/>
    <w:rsid w:val="00935924"/>
    <w:rsid w:val="00935DEF"/>
    <w:rsid w:val="00935EEC"/>
    <w:rsid w:val="00937379"/>
    <w:rsid w:val="009403AA"/>
    <w:rsid w:val="009417E9"/>
    <w:rsid w:val="00945A12"/>
    <w:rsid w:val="009465B9"/>
    <w:rsid w:val="00946F73"/>
    <w:rsid w:val="0095126A"/>
    <w:rsid w:val="0095201B"/>
    <w:rsid w:val="009542D9"/>
    <w:rsid w:val="00955882"/>
    <w:rsid w:val="00956A79"/>
    <w:rsid w:val="00960120"/>
    <w:rsid w:val="00960275"/>
    <w:rsid w:val="00963B32"/>
    <w:rsid w:val="00970037"/>
    <w:rsid w:val="00974717"/>
    <w:rsid w:val="00975AA0"/>
    <w:rsid w:val="009775EF"/>
    <w:rsid w:val="009817C3"/>
    <w:rsid w:val="00984715"/>
    <w:rsid w:val="00986C88"/>
    <w:rsid w:val="00990BF0"/>
    <w:rsid w:val="00992523"/>
    <w:rsid w:val="00994031"/>
    <w:rsid w:val="00995A00"/>
    <w:rsid w:val="00996EF0"/>
    <w:rsid w:val="009A0E92"/>
    <w:rsid w:val="009A3E26"/>
    <w:rsid w:val="009A5F0A"/>
    <w:rsid w:val="009B4B97"/>
    <w:rsid w:val="009B5635"/>
    <w:rsid w:val="009C1B28"/>
    <w:rsid w:val="009C409A"/>
    <w:rsid w:val="009C5683"/>
    <w:rsid w:val="009C7C21"/>
    <w:rsid w:val="009D0855"/>
    <w:rsid w:val="009D1814"/>
    <w:rsid w:val="009D5B61"/>
    <w:rsid w:val="009E00BE"/>
    <w:rsid w:val="009E0E51"/>
    <w:rsid w:val="009E0F5C"/>
    <w:rsid w:val="009E22D3"/>
    <w:rsid w:val="009E2B9C"/>
    <w:rsid w:val="009E47C5"/>
    <w:rsid w:val="009E4870"/>
    <w:rsid w:val="009F04A2"/>
    <w:rsid w:val="009F2674"/>
    <w:rsid w:val="009F4CA6"/>
    <w:rsid w:val="009F4EA6"/>
    <w:rsid w:val="009F52DC"/>
    <w:rsid w:val="009F53F3"/>
    <w:rsid w:val="00A0372A"/>
    <w:rsid w:val="00A05BE6"/>
    <w:rsid w:val="00A060C9"/>
    <w:rsid w:val="00A07A17"/>
    <w:rsid w:val="00A11C38"/>
    <w:rsid w:val="00A12C6E"/>
    <w:rsid w:val="00A14110"/>
    <w:rsid w:val="00A1588B"/>
    <w:rsid w:val="00A17D0E"/>
    <w:rsid w:val="00A17E3A"/>
    <w:rsid w:val="00A20F32"/>
    <w:rsid w:val="00A221E7"/>
    <w:rsid w:val="00A248AA"/>
    <w:rsid w:val="00A24E98"/>
    <w:rsid w:val="00A25C66"/>
    <w:rsid w:val="00A30757"/>
    <w:rsid w:val="00A32269"/>
    <w:rsid w:val="00A331DC"/>
    <w:rsid w:val="00A3414E"/>
    <w:rsid w:val="00A35B9F"/>
    <w:rsid w:val="00A35CA3"/>
    <w:rsid w:val="00A4137B"/>
    <w:rsid w:val="00A45782"/>
    <w:rsid w:val="00A45A92"/>
    <w:rsid w:val="00A46762"/>
    <w:rsid w:val="00A468B3"/>
    <w:rsid w:val="00A5090E"/>
    <w:rsid w:val="00A56072"/>
    <w:rsid w:val="00A568AB"/>
    <w:rsid w:val="00A57A07"/>
    <w:rsid w:val="00A61548"/>
    <w:rsid w:val="00A629FD"/>
    <w:rsid w:val="00A63A97"/>
    <w:rsid w:val="00A67D8B"/>
    <w:rsid w:val="00A700BE"/>
    <w:rsid w:val="00A74832"/>
    <w:rsid w:val="00A74DCA"/>
    <w:rsid w:val="00A776B6"/>
    <w:rsid w:val="00A80665"/>
    <w:rsid w:val="00A82DFF"/>
    <w:rsid w:val="00A82E18"/>
    <w:rsid w:val="00A832E1"/>
    <w:rsid w:val="00A834C3"/>
    <w:rsid w:val="00A83734"/>
    <w:rsid w:val="00A859E7"/>
    <w:rsid w:val="00A85A18"/>
    <w:rsid w:val="00A90994"/>
    <w:rsid w:val="00A92936"/>
    <w:rsid w:val="00A93456"/>
    <w:rsid w:val="00A934E2"/>
    <w:rsid w:val="00A93DD3"/>
    <w:rsid w:val="00A95FA6"/>
    <w:rsid w:val="00A97609"/>
    <w:rsid w:val="00AA07A8"/>
    <w:rsid w:val="00AA0FAC"/>
    <w:rsid w:val="00AA13CD"/>
    <w:rsid w:val="00AA1C9C"/>
    <w:rsid w:val="00AA3C12"/>
    <w:rsid w:val="00AA3FB7"/>
    <w:rsid w:val="00AA6A69"/>
    <w:rsid w:val="00AA7A8D"/>
    <w:rsid w:val="00AB0F2D"/>
    <w:rsid w:val="00AB10B4"/>
    <w:rsid w:val="00AB1232"/>
    <w:rsid w:val="00AB268C"/>
    <w:rsid w:val="00AB2FED"/>
    <w:rsid w:val="00AB4246"/>
    <w:rsid w:val="00AB6CA2"/>
    <w:rsid w:val="00AB7EAA"/>
    <w:rsid w:val="00AC0E05"/>
    <w:rsid w:val="00AC1705"/>
    <w:rsid w:val="00AC1942"/>
    <w:rsid w:val="00AC2BCB"/>
    <w:rsid w:val="00AC3E1F"/>
    <w:rsid w:val="00AC6FD8"/>
    <w:rsid w:val="00AC74F8"/>
    <w:rsid w:val="00AD093C"/>
    <w:rsid w:val="00AD3FDB"/>
    <w:rsid w:val="00AD43CE"/>
    <w:rsid w:val="00AD6435"/>
    <w:rsid w:val="00AD6A0D"/>
    <w:rsid w:val="00AE07A6"/>
    <w:rsid w:val="00AE2E85"/>
    <w:rsid w:val="00AE5573"/>
    <w:rsid w:val="00AE687D"/>
    <w:rsid w:val="00AE74F1"/>
    <w:rsid w:val="00AE7998"/>
    <w:rsid w:val="00AF1DD6"/>
    <w:rsid w:val="00AF2B6B"/>
    <w:rsid w:val="00AF3C1B"/>
    <w:rsid w:val="00AF4780"/>
    <w:rsid w:val="00AF5DF5"/>
    <w:rsid w:val="00AF6D99"/>
    <w:rsid w:val="00AF7ADD"/>
    <w:rsid w:val="00B03FC1"/>
    <w:rsid w:val="00B05CB7"/>
    <w:rsid w:val="00B06001"/>
    <w:rsid w:val="00B11E22"/>
    <w:rsid w:val="00B14C75"/>
    <w:rsid w:val="00B160A2"/>
    <w:rsid w:val="00B1689D"/>
    <w:rsid w:val="00B16C82"/>
    <w:rsid w:val="00B17603"/>
    <w:rsid w:val="00B205CC"/>
    <w:rsid w:val="00B23E1D"/>
    <w:rsid w:val="00B2451B"/>
    <w:rsid w:val="00B337CC"/>
    <w:rsid w:val="00B33931"/>
    <w:rsid w:val="00B34024"/>
    <w:rsid w:val="00B34ACD"/>
    <w:rsid w:val="00B3516A"/>
    <w:rsid w:val="00B35B45"/>
    <w:rsid w:val="00B365E5"/>
    <w:rsid w:val="00B36AA9"/>
    <w:rsid w:val="00B36B2C"/>
    <w:rsid w:val="00B36E19"/>
    <w:rsid w:val="00B4249E"/>
    <w:rsid w:val="00B42DB7"/>
    <w:rsid w:val="00B44BFE"/>
    <w:rsid w:val="00B503F3"/>
    <w:rsid w:val="00B5127D"/>
    <w:rsid w:val="00B5138E"/>
    <w:rsid w:val="00B54D9A"/>
    <w:rsid w:val="00B56D12"/>
    <w:rsid w:val="00B6105B"/>
    <w:rsid w:val="00B61586"/>
    <w:rsid w:val="00B630C1"/>
    <w:rsid w:val="00B63630"/>
    <w:rsid w:val="00B63CF6"/>
    <w:rsid w:val="00B811FA"/>
    <w:rsid w:val="00B822FF"/>
    <w:rsid w:val="00B8403C"/>
    <w:rsid w:val="00B901D3"/>
    <w:rsid w:val="00B953B3"/>
    <w:rsid w:val="00B96C6A"/>
    <w:rsid w:val="00B97040"/>
    <w:rsid w:val="00B9775D"/>
    <w:rsid w:val="00BA05BC"/>
    <w:rsid w:val="00BA2008"/>
    <w:rsid w:val="00BA2CB0"/>
    <w:rsid w:val="00BA7A1A"/>
    <w:rsid w:val="00BB4A16"/>
    <w:rsid w:val="00BB5D21"/>
    <w:rsid w:val="00BB638E"/>
    <w:rsid w:val="00BB7307"/>
    <w:rsid w:val="00BB7EC2"/>
    <w:rsid w:val="00BC6B28"/>
    <w:rsid w:val="00BD12A7"/>
    <w:rsid w:val="00BD2158"/>
    <w:rsid w:val="00BD52F2"/>
    <w:rsid w:val="00BD5551"/>
    <w:rsid w:val="00BD6B42"/>
    <w:rsid w:val="00BE149F"/>
    <w:rsid w:val="00BE17AF"/>
    <w:rsid w:val="00BE2B72"/>
    <w:rsid w:val="00BE3FAA"/>
    <w:rsid w:val="00BE6B69"/>
    <w:rsid w:val="00BE7290"/>
    <w:rsid w:val="00BF581F"/>
    <w:rsid w:val="00BF5C73"/>
    <w:rsid w:val="00BF5DEC"/>
    <w:rsid w:val="00BF6770"/>
    <w:rsid w:val="00BF73B7"/>
    <w:rsid w:val="00BF7697"/>
    <w:rsid w:val="00C01024"/>
    <w:rsid w:val="00C076BA"/>
    <w:rsid w:val="00C0799C"/>
    <w:rsid w:val="00C12A3A"/>
    <w:rsid w:val="00C12D67"/>
    <w:rsid w:val="00C14B0D"/>
    <w:rsid w:val="00C14C5C"/>
    <w:rsid w:val="00C15348"/>
    <w:rsid w:val="00C20849"/>
    <w:rsid w:val="00C22468"/>
    <w:rsid w:val="00C2297D"/>
    <w:rsid w:val="00C25345"/>
    <w:rsid w:val="00C25F50"/>
    <w:rsid w:val="00C266CE"/>
    <w:rsid w:val="00C27645"/>
    <w:rsid w:val="00C30257"/>
    <w:rsid w:val="00C3113B"/>
    <w:rsid w:val="00C3456D"/>
    <w:rsid w:val="00C360D6"/>
    <w:rsid w:val="00C403DD"/>
    <w:rsid w:val="00C42B04"/>
    <w:rsid w:val="00C441D8"/>
    <w:rsid w:val="00C44FC5"/>
    <w:rsid w:val="00C46BA9"/>
    <w:rsid w:val="00C507DE"/>
    <w:rsid w:val="00C518F4"/>
    <w:rsid w:val="00C5213A"/>
    <w:rsid w:val="00C52560"/>
    <w:rsid w:val="00C525E6"/>
    <w:rsid w:val="00C52C0F"/>
    <w:rsid w:val="00C556CA"/>
    <w:rsid w:val="00C60907"/>
    <w:rsid w:val="00C624F3"/>
    <w:rsid w:val="00C63662"/>
    <w:rsid w:val="00C64BE3"/>
    <w:rsid w:val="00C66D20"/>
    <w:rsid w:val="00C7335C"/>
    <w:rsid w:val="00C73754"/>
    <w:rsid w:val="00C77AA2"/>
    <w:rsid w:val="00C8155D"/>
    <w:rsid w:val="00C8324F"/>
    <w:rsid w:val="00C838EC"/>
    <w:rsid w:val="00C845A6"/>
    <w:rsid w:val="00C8474D"/>
    <w:rsid w:val="00C874F1"/>
    <w:rsid w:val="00C91CFE"/>
    <w:rsid w:val="00C92B74"/>
    <w:rsid w:val="00C93774"/>
    <w:rsid w:val="00C94E7E"/>
    <w:rsid w:val="00C95ED6"/>
    <w:rsid w:val="00C963C9"/>
    <w:rsid w:val="00C97926"/>
    <w:rsid w:val="00CA0A55"/>
    <w:rsid w:val="00CA13E0"/>
    <w:rsid w:val="00CA3AD0"/>
    <w:rsid w:val="00CA5518"/>
    <w:rsid w:val="00CA563A"/>
    <w:rsid w:val="00CB3968"/>
    <w:rsid w:val="00CB3C74"/>
    <w:rsid w:val="00CB5420"/>
    <w:rsid w:val="00CB6C34"/>
    <w:rsid w:val="00CC78F6"/>
    <w:rsid w:val="00CD03F3"/>
    <w:rsid w:val="00CD0F79"/>
    <w:rsid w:val="00CD1A17"/>
    <w:rsid w:val="00CD2274"/>
    <w:rsid w:val="00CD5914"/>
    <w:rsid w:val="00CE0EF0"/>
    <w:rsid w:val="00CE3DDE"/>
    <w:rsid w:val="00CE6789"/>
    <w:rsid w:val="00CE69C9"/>
    <w:rsid w:val="00CF130F"/>
    <w:rsid w:val="00CF1A63"/>
    <w:rsid w:val="00CF1FEE"/>
    <w:rsid w:val="00CF41EF"/>
    <w:rsid w:val="00D01109"/>
    <w:rsid w:val="00D01F32"/>
    <w:rsid w:val="00D029D4"/>
    <w:rsid w:val="00D057A1"/>
    <w:rsid w:val="00D0673D"/>
    <w:rsid w:val="00D067F1"/>
    <w:rsid w:val="00D10209"/>
    <w:rsid w:val="00D10FAC"/>
    <w:rsid w:val="00D1100E"/>
    <w:rsid w:val="00D11E5C"/>
    <w:rsid w:val="00D135D0"/>
    <w:rsid w:val="00D162FC"/>
    <w:rsid w:val="00D17102"/>
    <w:rsid w:val="00D17A95"/>
    <w:rsid w:val="00D222B0"/>
    <w:rsid w:val="00D22310"/>
    <w:rsid w:val="00D22BA7"/>
    <w:rsid w:val="00D260B5"/>
    <w:rsid w:val="00D266D5"/>
    <w:rsid w:val="00D26C8D"/>
    <w:rsid w:val="00D3011E"/>
    <w:rsid w:val="00D31E2B"/>
    <w:rsid w:val="00D3382E"/>
    <w:rsid w:val="00D414CA"/>
    <w:rsid w:val="00D426BA"/>
    <w:rsid w:val="00D4343A"/>
    <w:rsid w:val="00D4476B"/>
    <w:rsid w:val="00D447CD"/>
    <w:rsid w:val="00D44C4B"/>
    <w:rsid w:val="00D44F07"/>
    <w:rsid w:val="00D45E16"/>
    <w:rsid w:val="00D46CF1"/>
    <w:rsid w:val="00D471AF"/>
    <w:rsid w:val="00D52336"/>
    <w:rsid w:val="00D52867"/>
    <w:rsid w:val="00D541D2"/>
    <w:rsid w:val="00D54DFE"/>
    <w:rsid w:val="00D55312"/>
    <w:rsid w:val="00D618BB"/>
    <w:rsid w:val="00D6385A"/>
    <w:rsid w:val="00D63FF3"/>
    <w:rsid w:val="00D71F3C"/>
    <w:rsid w:val="00D74529"/>
    <w:rsid w:val="00D756A2"/>
    <w:rsid w:val="00D76D4E"/>
    <w:rsid w:val="00D7778C"/>
    <w:rsid w:val="00D7787D"/>
    <w:rsid w:val="00D81C4A"/>
    <w:rsid w:val="00D827EA"/>
    <w:rsid w:val="00D82B83"/>
    <w:rsid w:val="00D90888"/>
    <w:rsid w:val="00D9145F"/>
    <w:rsid w:val="00D9348C"/>
    <w:rsid w:val="00D94BC7"/>
    <w:rsid w:val="00D950B4"/>
    <w:rsid w:val="00DA014C"/>
    <w:rsid w:val="00DA5DB0"/>
    <w:rsid w:val="00DA6737"/>
    <w:rsid w:val="00DA6959"/>
    <w:rsid w:val="00DA6AE9"/>
    <w:rsid w:val="00DA70B1"/>
    <w:rsid w:val="00DB0378"/>
    <w:rsid w:val="00DB080E"/>
    <w:rsid w:val="00DB1460"/>
    <w:rsid w:val="00DB2149"/>
    <w:rsid w:val="00DB2A68"/>
    <w:rsid w:val="00DB3A26"/>
    <w:rsid w:val="00DB43AF"/>
    <w:rsid w:val="00DB7318"/>
    <w:rsid w:val="00DC2191"/>
    <w:rsid w:val="00DC5381"/>
    <w:rsid w:val="00DD005E"/>
    <w:rsid w:val="00DE1C3A"/>
    <w:rsid w:val="00DE4916"/>
    <w:rsid w:val="00DE58DA"/>
    <w:rsid w:val="00DE6432"/>
    <w:rsid w:val="00DE7236"/>
    <w:rsid w:val="00DF22C2"/>
    <w:rsid w:val="00DF4D91"/>
    <w:rsid w:val="00DF5541"/>
    <w:rsid w:val="00DF6A56"/>
    <w:rsid w:val="00DF7201"/>
    <w:rsid w:val="00DF793C"/>
    <w:rsid w:val="00E00A0A"/>
    <w:rsid w:val="00E04938"/>
    <w:rsid w:val="00E0748D"/>
    <w:rsid w:val="00E0750F"/>
    <w:rsid w:val="00E13F75"/>
    <w:rsid w:val="00E146B5"/>
    <w:rsid w:val="00E1561F"/>
    <w:rsid w:val="00E179EC"/>
    <w:rsid w:val="00E209BF"/>
    <w:rsid w:val="00E21095"/>
    <w:rsid w:val="00E22E70"/>
    <w:rsid w:val="00E22EA6"/>
    <w:rsid w:val="00E232F0"/>
    <w:rsid w:val="00E24B05"/>
    <w:rsid w:val="00E24E9B"/>
    <w:rsid w:val="00E25FA3"/>
    <w:rsid w:val="00E319DA"/>
    <w:rsid w:val="00E3305E"/>
    <w:rsid w:val="00E3329A"/>
    <w:rsid w:val="00E404CB"/>
    <w:rsid w:val="00E40FAE"/>
    <w:rsid w:val="00E41CA6"/>
    <w:rsid w:val="00E46683"/>
    <w:rsid w:val="00E46B40"/>
    <w:rsid w:val="00E4763A"/>
    <w:rsid w:val="00E479B7"/>
    <w:rsid w:val="00E511B5"/>
    <w:rsid w:val="00E548C0"/>
    <w:rsid w:val="00E5530A"/>
    <w:rsid w:val="00E56584"/>
    <w:rsid w:val="00E60E3D"/>
    <w:rsid w:val="00E6281B"/>
    <w:rsid w:val="00E628EF"/>
    <w:rsid w:val="00E669C6"/>
    <w:rsid w:val="00E7185A"/>
    <w:rsid w:val="00E728C6"/>
    <w:rsid w:val="00E74AF1"/>
    <w:rsid w:val="00E74C60"/>
    <w:rsid w:val="00E756A7"/>
    <w:rsid w:val="00E75D8F"/>
    <w:rsid w:val="00E76CAA"/>
    <w:rsid w:val="00E76EEE"/>
    <w:rsid w:val="00E77698"/>
    <w:rsid w:val="00E8286D"/>
    <w:rsid w:val="00E82A36"/>
    <w:rsid w:val="00E832B2"/>
    <w:rsid w:val="00E84404"/>
    <w:rsid w:val="00E90A93"/>
    <w:rsid w:val="00E91E63"/>
    <w:rsid w:val="00E92878"/>
    <w:rsid w:val="00E92A79"/>
    <w:rsid w:val="00E92F23"/>
    <w:rsid w:val="00E9343F"/>
    <w:rsid w:val="00E93EC0"/>
    <w:rsid w:val="00E9439D"/>
    <w:rsid w:val="00E96852"/>
    <w:rsid w:val="00E96901"/>
    <w:rsid w:val="00EA72D6"/>
    <w:rsid w:val="00EB0410"/>
    <w:rsid w:val="00EB2082"/>
    <w:rsid w:val="00EB6F23"/>
    <w:rsid w:val="00EC04F4"/>
    <w:rsid w:val="00EC082B"/>
    <w:rsid w:val="00EC20BB"/>
    <w:rsid w:val="00EC2512"/>
    <w:rsid w:val="00EC2758"/>
    <w:rsid w:val="00EC3942"/>
    <w:rsid w:val="00EC6F9E"/>
    <w:rsid w:val="00EC7B83"/>
    <w:rsid w:val="00ED048D"/>
    <w:rsid w:val="00ED12A6"/>
    <w:rsid w:val="00ED245F"/>
    <w:rsid w:val="00ED572C"/>
    <w:rsid w:val="00ED5B79"/>
    <w:rsid w:val="00ED6444"/>
    <w:rsid w:val="00EE0518"/>
    <w:rsid w:val="00EE198F"/>
    <w:rsid w:val="00EE2BF3"/>
    <w:rsid w:val="00EE5F19"/>
    <w:rsid w:val="00EE7806"/>
    <w:rsid w:val="00EE7E92"/>
    <w:rsid w:val="00EF18CC"/>
    <w:rsid w:val="00EF20DD"/>
    <w:rsid w:val="00EF2262"/>
    <w:rsid w:val="00EF2AC4"/>
    <w:rsid w:val="00EF55E6"/>
    <w:rsid w:val="00F02A8F"/>
    <w:rsid w:val="00F06AC0"/>
    <w:rsid w:val="00F11F9B"/>
    <w:rsid w:val="00F17084"/>
    <w:rsid w:val="00F172FC"/>
    <w:rsid w:val="00F2316D"/>
    <w:rsid w:val="00F234E3"/>
    <w:rsid w:val="00F2454E"/>
    <w:rsid w:val="00F24712"/>
    <w:rsid w:val="00F25809"/>
    <w:rsid w:val="00F260C9"/>
    <w:rsid w:val="00F26CE3"/>
    <w:rsid w:val="00F31332"/>
    <w:rsid w:val="00F33F25"/>
    <w:rsid w:val="00F35A15"/>
    <w:rsid w:val="00F35A7E"/>
    <w:rsid w:val="00F363A5"/>
    <w:rsid w:val="00F379BC"/>
    <w:rsid w:val="00F37C25"/>
    <w:rsid w:val="00F400A0"/>
    <w:rsid w:val="00F454FA"/>
    <w:rsid w:val="00F46542"/>
    <w:rsid w:val="00F46717"/>
    <w:rsid w:val="00F5012C"/>
    <w:rsid w:val="00F54DC0"/>
    <w:rsid w:val="00F563D8"/>
    <w:rsid w:val="00F5672B"/>
    <w:rsid w:val="00F60498"/>
    <w:rsid w:val="00F62222"/>
    <w:rsid w:val="00F636B7"/>
    <w:rsid w:val="00F639AD"/>
    <w:rsid w:val="00F663F0"/>
    <w:rsid w:val="00F67CED"/>
    <w:rsid w:val="00F67F41"/>
    <w:rsid w:val="00F714C7"/>
    <w:rsid w:val="00F71544"/>
    <w:rsid w:val="00F7188C"/>
    <w:rsid w:val="00F75566"/>
    <w:rsid w:val="00F770C0"/>
    <w:rsid w:val="00F77731"/>
    <w:rsid w:val="00F82B90"/>
    <w:rsid w:val="00F8380C"/>
    <w:rsid w:val="00F85FBD"/>
    <w:rsid w:val="00F86522"/>
    <w:rsid w:val="00F9090D"/>
    <w:rsid w:val="00F9141D"/>
    <w:rsid w:val="00F91BCA"/>
    <w:rsid w:val="00F9291F"/>
    <w:rsid w:val="00F931A1"/>
    <w:rsid w:val="00F96E49"/>
    <w:rsid w:val="00FA1096"/>
    <w:rsid w:val="00FA2763"/>
    <w:rsid w:val="00FA379E"/>
    <w:rsid w:val="00FA4076"/>
    <w:rsid w:val="00FA4E01"/>
    <w:rsid w:val="00FA5A00"/>
    <w:rsid w:val="00FB096B"/>
    <w:rsid w:val="00FB24BC"/>
    <w:rsid w:val="00FB4223"/>
    <w:rsid w:val="00FB422B"/>
    <w:rsid w:val="00FB5952"/>
    <w:rsid w:val="00FB6554"/>
    <w:rsid w:val="00FC0C28"/>
    <w:rsid w:val="00FC5B14"/>
    <w:rsid w:val="00FC62E6"/>
    <w:rsid w:val="00FC7198"/>
    <w:rsid w:val="00FD2877"/>
    <w:rsid w:val="00FD472F"/>
    <w:rsid w:val="00FD6E84"/>
    <w:rsid w:val="00FD7DBC"/>
    <w:rsid w:val="00FE11EE"/>
    <w:rsid w:val="00FE1421"/>
    <w:rsid w:val="00FE1948"/>
    <w:rsid w:val="00FE2877"/>
    <w:rsid w:val="00FE3A42"/>
    <w:rsid w:val="00FE3EB3"/>
    <w:rsid w:val="00FE4070"/>
    <w:rsid w:val="00FE74D3"/>
    <w:rsid w:val="00FE7E7D"/>
    <w:rsid w:val="00FF2E05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F46C51"/>
  <w15:docId w15:val="{6992F6B5-7E9B-4556-883D-FF506CCE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222"/>
    <w:rPr>
      <w:rFonts w:asciiTheme="minorHAnsi" w:hAnsiTheme="minorHAnsi"/>
      <w:sz w:val="23"/>
      <w:szCs w:val="24"/>
    </w:rPr>
  </w:style>
  <w:style w:type="paragraph" w:styleId="Nagwek1">
    <w:name w:val="heading 1"/>
    <w:basedOn w:val="Normalny"/>
    <w:next w:val="Normalny"/>
    <w:link w:val="Nagwek1Znak"/>
    <w:qFormat/>
    <w:rsid w:val="00F62222"/>
    <w:pPr>
      <w:keepNext/>
      <w:keepLines/>
      <w:spacing w:before="120" w:after="120"/>
      <w:outlineLvl w:val="0"/>
    </w:pPr>
    <w:rPr>
      <w:rFonts w:eastAsiaTheme="majorEastAsia" w:cstheme="majorBidi"/>
      <w:b/>
      <w:smallCap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E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643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64369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1E0816"/>
    <w:rPr>
      <w:color w:val="0000FF"/>
      <w:u w:val="single"/>
    </w:rPr>
  </w:style>
  <w:style w:type="character" w:styleId="Odwoaniedokomentarza">
    <w:name w:val="annotation reference"/>
    <w:semiHidden/>
    <w:rsid w:val="00387A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87AD7"/>
    <w:rPr>
      <w:sz w:val="20"/>
      <w:szCs w:val="20"/>
    </w:rPr>
  </w:style>
  <w:style w:type="paragraph" w:styleId="Tekstdymka">
    <w:name w:val="Balloon Text"/>
    <w:basedOn w:val="Normalny"/>
    <w:semiHidden/>
    <w:rsid w:val="00387AD7"/>
    <w:rPr>
      <w:rFonts w:ascii="Tahoma" w:hAnsi="Tahoma" w:cs="Tahoma"/>
      <w:sz w:val="16"/>
      <w:szCs w:val="16"/>
    </w:rPr>
  </w:style>
  <w:style w:type="paragraph" w:customStyle="1" w:styleId="BIKadresatnadawca">
    <w:name w:val="BIK adresat/nadawca"/>
    <w:basedOn w:val="Normalny"/>
    <w:rsid w:val="000616B3"/>
    <w:pPr>
      <w:ind w:left="4500"/>
    </w:pPr>
  </w:style>
  <w:style w:type="paragraph" w:customStyle="1" w:styleId="BIKlisttekst">
    <w:name w:val="BIK list tekst"/>
    <w:basedOn w:val="Normalny"/>
    <w:rsid w:val="0046509E"/>
    <w:pPr>
      <w:spacing w:before="240" w:line="320" w:lineRule="exact"/>
      <w:jc w:val="both"/>
    </w:pPr>
    <w:rPr>
      <w:szCs w:val="23"/>
    </w:rPr>
  </w:style>
  <w:style w:type="paragraph" w:customStyle="1" w:styleId="BIKWypunktowanie">
    <w:name w:val="BIK Wypunktowanie"/>
    <w:basedOn w:val="Normalny"/>
    <w:rsid w:val="003B1DD5"/>
    <w:pPr>
      <w:numPr>
        <w:ilvl w:val="1"/>
        <w:numId w:val="11"/>
      </w:numPr>
      <w:spacing w:before="60"/>
    </w:pPr>
  </w:style>
  <w:style w:type="paragraph" w:customStyle="1" w:styleId="BIKNumerowanie1">
    <w:name w:val="BIK Numerowanie 1"/>
    <w:basedOn w:val="Normalny"/>
    <w:rsid w:val="000B561B"/>
    <w:pPr>
      <w:spacing w:before="60"/>
    </w:pPr>
  </w:style>
  <w:style w:type="paragraph" w:customStyle="1" w:styleId="BIKNumerowanie2">
    <w:name w:val="BIK Numerowanie 2"/>
    <w:basedOn w:val="Normalny"/>
    <w:rsid w:val="000B561B"/>
    <w:pPr>
      <w:numPr>
        <w:numId w:val="4"/>
      </w:numPr>
      <w:spacing w:before="60"/>
    </w:pPr>
  </w:style>
  <w:style w:type="character" w:styleId="Pogrubienie">
    <w:name w:val="Strong"/>
    <w:uiPriority w:val="22"/>
    <w:qFormat/>
    <w:rsid w:val="007E4B1A"/>
    <w:rPr>
      <w:b/>
      <w:bCs/>
    </w:rPr>
  </w:style>
  <w:style w:type="character" w:styleId="Numerstrony">
    <w:name w:val="page number"/>
    <w:basedOn w:val="Domylnaczcionkaakapitu"/>
    <w:rsid w:val="00DB3A26"/>
  </w:style>
  <w:style w:type="paragraph" w:customStyle="1" w:styleId="BIKlistadresat">
    <w:name w:val="BIK list adresat"/>
    <w:basedOn w:val="BIKadresatnadawca"/>
    <w:rsid w:val="00536EA5"/>
    <w:pPr>
      <w:ind w:left="5664"/>
    </w:pPr>
    <w:rPr>
      <w:szCs w:val="20"/>
    </w:rPr>
  </w:style>
  <w:style w:type="paragraph" w:customStyle="1" w:styleId="BIKlistnadawca">
    <w:name w:val="BIK list nadawca"/>
    <w:basedOn w:val="BIKadresatnadawca"/>
    <w:rsid w:val="00536EA5"/>
    <w:pPr>
      <w:ind w:left="5664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rsid w:val="00F62222"/>
    <w:rPr>
      <w:rFonts w:asciiTheme="minorHAnsi" w:eastAsiaTheme="majorEastAsia" w:hAnsiTheme="minorHAnsi" w:cstheme="majorBidi"/>
      <w:b/>
      <w:smallCaps/>
      <w:sz w:val="32"/>
      <w:szCs w:val="32"/>
    </w:rPr>
  </w:style>
  <w:style w:type="paragraph" w:customStyle="1" w:styleId="Etykietadokumentu">
    <w:name w:val="Etykieta dokumentu"/>
    <w:next w:val="Normalny"/>
    <w:rsid w:val="00F62222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character" w:customStyle="1" w:styleId="Nagwekwiadomoci-etykieta">
    <w:name w:val="Nagłówek wiadomości - etykieta"/>
    <w:rsid w:val="00F62222"/>
    <w:rPr>
      <w:rFonts w:ascii="Arial" w:hAnsi="Arial"/>
      <w:b/>
      <w:spacing w:val="-4"/>
      <w:sz w:val="18"/>
      <w:vertAlign w:val="baseline"/>
    </w:rPr>
  </w:style>
  <w:style w:type="paragraph" w:customStyle="1" w:styleId="BIKtre">
    <w:name w:val="BIK treść"/>
    <w:basedOn w:val="Normalny"/>
    <w:rsid w:val="00F62222"/>
    <w:pPr>
      <w:spacing w:before="240" w:line="320" w:lineRule="exact"/>
      <w:jc w:val="both"/>
    </w:pPr>
    <w:rPr>
      <w:spacing w:val="-5"/>
      <w:szCs w:val="23"/>
      <w:lang w:eastAsia="en-US"/>
    </w:rPr>
  </w:style>
  <w:style w:type="paragraph" w:customStyle="1" w:styleId="BIKfaxpodpisnadawcy">
    <w:name w:val="BIK fax podpis nadawcy"/>
    <w:basedOn w:val="Normalny"/>
    <w:rsid w:val="00F62222"/>
    <w:pPr>
      <w:jc w:val="right"/>
    </w:pPr>
    <w:rPr>
      <w:spacing w:val="-5"/>
      <w:szCs w:val="23"/>
      <w:lang w:eastAsia="en-US"/>
    </w:rPr>
  </w:style>
  <w:style w:type="paragraph" w:customStyle="1" w:styleId="BIKsubowagwka">
    <w:name w:val="BIK służbowa główka"/>
    <w:basedOn w:val="Normalny"/>
    <w:rsid w:val="00F62222"/>
    <w:pPr>
      <w:spacing w:line="360" w:lineRule="auto"/>
    </w:pPr>
    <w:rPr>
      <w:b/>
      <w:spacing w:val="-5"/>
      <w:sz w:val="24"/>
      <w:lang w:eastAsia="en-US"/>
    </w:rPr>
  </w:style>
  <w:style w:type="paragraph" w:customStyle="1" w:styleId="BIKsubowapodpis">
    <w:name w:val="BIK służbowa podpis"/>
    <w:basedOn w:val="Normalny"/>
    <w:rsid w:val="00F62222"/>
    <w:pPr>
      <w:jc w:val="right"/>
    </w:pPr>
    <w:rPr>
      <w:spacing w:val="-5"/>
      <w:szCs w:val="20"/>
      <w:lang w:eastAsia="en-US"/>
    </w:rPr>
  </w:style>
  <w:style w:type="paragraph" w:customStyle="1" w:styleId="StylBIKsubowagwka">
    <w:name w:val="Styl BIK służbowa główka"/>
    <w:basedOn w:val="Normalny"/>
    <w:link w:val="StylBIKsubowagwkaZnak"/>
    <w:rsid w:val="00F62222"/>
    <w:pPr>
      <w:keepLines/>
      <w:spacing w:line="415" w:lineRule="atLeast"/>
    </w:pPr>
    <w:rPr>
      <w:b/>
      <w:bCs/>
      <w:spacing w:val="-5"/>
      <w:sz w:val="24"/>
      <w:szCs w:val="20"/>
      <w:lang w:eastAsia="en-US"/>
    </w:rPr>
  </w:style>
  <w:style w:type="paragraph" w:customStyle="1" w:styleId="StylStBIKsubowagwka">
    <w:name w:val="Styl StBIK służbowa główka"/>
    <w:basedOn w:val="StylBIKsubowagwka"/>
    <w:link w:val="StylStBIKsubowagwkaZnak"/>
    <w:rsid w:val="00F62222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F62222"/>
    <w:rPr>
      <w:b/>
      <w:bCs/>
      <w:spacing w:val="-5"/>
      <w:sz w:val="24"/>
      <w:lang w:eastAsia="en-US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F62222"/>
    <w:rPr>
      <w:b/>
      <w:bCs w:val="0"/>
      <w:spacing w:val="-5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F6222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70263B"/>
    <w:rPr>
      <w:rFonts w:asciiTheme="minorHAnsi" w:hAnsiTheme="minorHAnsi"/>
      <w:sz w:val="23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85F29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85F29"/>
    <w:rPr>
      <w:rFonts w:asciiTheme="minorHAnsi" w:hAnsiTheme="minorHAnsi"/>
    </w:rPr>
  </w:style>
  <w:style w:type="character" w:customStyle="1" w:styleId="TematkomentarzaZnak">
    <w:name w:val="Temat komentarza Znak"/>
    <w:basedOn w:val="TekstkomentarzaZnak"/>
    <w:link w:val="Tematkomentarza"/>
    <w:semiHidden/>
    <w:rsid w:val="00185F29"/>
    <w:rPr>
      <w:rFonts w:asciiTheme="minorHAnsi" w:hAnsiTheme="minorHAnsi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A0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wykytekst">
    <w:name w:val="Plain Text"/>
    <w:basedOn w:val="Normalny"/>
    <w:link w:val="ZwykytekstZnak"/>
    <w:uiPriority w:val="99"/>
    <w:unhideWhenUsed/>
    <w:rsid w:val="009A0E92"/>
    <w:rPr>
      <w:rFonts w:ascii="Calibri" w:eastAsiaTheme="minorEastAsia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E92"/>
    <w:rPr>
      <w:rFonts w:ascii="Calibri" w:eastAsiaTheme="minorEastAsia" w:hAnsi="Calibri" w:cstheme="minorBidi"/>
      <w:sz w:val="22"/>
      <w:szCs w:val="21"/>
    </w:rPr>
  </w:style>
  <w:style w:type="character" w:styleId="UyteHipercze">
    <w:name w:val="FollowedHyperlink"/>
    <w:basedOn w:val="Domylnaczcionkaakapitu"/>
    <w:semiHidden/>
    <w:unhideWhenUsed/>
    <w:rsid w:val="004868A0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FC5B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C5B14"/>
    <w:rPr>
      <w:rFonts w:asciiTheme="minorHAnsi" w:hAnsiTheme="minorHAnsi"/>
    </w:rPr>
  </w:style>
  <w:style w:type="character" w:styleId="Odwoanieprzypisukocowego">
    <w:name w:val="endnote reference"/>
    <w:basedOn w:val="Domylnaczcionkaakapitu"/>
    <w:semiHidden/>
    <w:unhideWhenUsed/>
    <w:rsid w:val="00FC5B14"/>
    <w:rPr>
      <w:vertAlign w:val="superscript"/>
    </w:rPr>
  </w:style>
  <w:style w:type="character" w:customStyle="1" w:styleId="y0nh2b">
    <w:name w:val="y0nh2b"/>
    <w:basedOn w:val="Domylnaczcionkaakapitu"/>
    <w:rsid w:val="00296EFA"/>
  </w:style>
  <w:style w:type="paragraph" w:styleId="Poprawka">
    <w:name w:val="Revision"/>
    <w:hidden/>
    <w:uiPriority w:val="99"/>
    <w:semiHidden/>
    <w:rsid w:val="002F1053"/>
    <w:rPr>
      <w:rFonts w:asciiTheme="minorHAnsi" w:hAnsiTheme="minorHAnsi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bik.pl/newsletter-kredytow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leksandra.stankiewicz-billewicz@bik.pl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bik.pl/klienci-indywidualni/alerty-bik?utm_source=gazeta.pl&amp;utm_medium=artykul&amp;utm_campaign=alerty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bik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ir.grzybek\AppData\Roaming\Microsoft\Szablony\BIK%20Lis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BE1989A1C57B41B41576603DB34005" ma:contentTypeVersion="1" ma:contentTypeDescription="Utwórz nowy dokument." ma:contentTypeScope="" ma:versionID="bb140b959296dc1eb46f7a278710080f">
  <xsd:schema xmlns:xsd="http://www.w3.org/2001/XMLSchema" xmlns:xs="http://www.w3.org/2001/XMLSchema" xmlns:p="http://schemas.microsoft.com/office/2006/metadata/properties" xmlns:ns2="75adcc83-4f3a-4a6d-948d-ea6b9ad9de54" targetNamespace="http://schemas.microsoft.com/office/2006/metadata/properties" ma:root="true" ma:fieldsID="e24f22ebfa9b6ac481fbde3a3c261923" ns2:_="">
    <xsd:import namespace="75adcc83-4f3a-4a6d-948d-ea6b9ad9de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dcc83-4f3a-4a6d-948d-ea6b9ad9d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5adcc83-4f3a-4a6d-948d-ea6b9ad9de54">FXDJJSKKSCXN-13-388</_dlc_DocId>
    <_dlc_DocIdUrl xmlns="75adcc83-4f3a-4a6d-948d-ea6b9ad9de54">
      <Url>https://intranet.biksa.bik.pl/Departamenty/DMR/dm/_layouts/DocIdRedir.aspx?ID=FXDJJSKKSCXN-13-388</Url>
      <Description>FXDJJSKKSCXN-13-388</Description>
    </_dlc_DocIdUrl>
    <_dlc_DocIdPersistId xmlns="75adcc83-4f3a-4a6d-948d-ea6b9ad9de54">false</_dlc_DocIdPersistId>
  </documentManagement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defaultValue">
  <element uid="id_classification_nonbusiness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AAFEE-1FE7-405D-BF46-6F6AB3A0D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dcc83-4f3a-4a6d-948d-ea6b9ad9d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6C5A7D-DAAB-4420-ADFA-0BA32A390C5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45CE345-B99C-4AFA-85D3-1E9EAA134F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A40587-5138-495A-B67B-EB162BF80A9F}">
  <ds:schemaRefs>
    <ds:schemaRef ds:uri="http://schemas.microsoft.com/office/2006/metadata/properties"/>
    <ds:schemaRef ds:uri="http://schemas.microsoft.com/office/infopath/2007/PartnerControls"/>
    <ds:schemaRef ds:uri="75adcc83-4f3a-4a6d-948d-ea6b9ad9de54"/>
  </ds:schemaRefs>
</ds:datastoreItem>
</file>

<file path=customXml/itemProps5.xml><?xml version="1.0" encoding="utf-8"?>
<ds:datastoreItem xmlns:ds="http://schemas.openxmlformats.org/officeDocument/2006/customXml" ds:itemID="{478DBE3C-0B0C-4E7F-8D83-A87F6454405A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9E52D432-8011-404A-9A53-E9D01696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BIK List</Template>
  <TotalTime>30</TotalTime>
  <Pages>1</Pages>
  <Words>1713</Words>
  <Characters>10279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……</vt:lpstr>
    </vt:vector>
  </TitlesOfParts>
  <Company>BIK S.A.</Company>
  <LinksUpToDate>false</LinksUpToDate>
  <CharactersWithSpaces>11969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……</dc:title>
  <dc:creator>Skóra Karolina</dc:creator>
  <cp:lastModifiedBy>Stankiewicz-Billewicz Aleksandra</cp:lastModifiedBy>
  <cp:revision>11</cp:revision>
  <cp:lastPrinted>2019-04-18T08:22:00Z</cp:lastPrinted>
  <dcterms:created xsi:type="dcterms:W3CDTF">2020-08-20T08:20:00Z</dcterms:created>
  <dcterms:modified xsi:type="dcterms:W3CDTF">2020-08-21T11:25:00Z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0x010100A0BE1989A1C57B41B41576603DB34005</vt:lpwstr>
  </property>
  <property fmtid="{D5CDD505-2E9C-101B-9397-08002B2CF9AE}" pid="3" name="_dlc_DocIdItemGuid">
    <vt:lpwstr>1b4b014a-6f07-4565-a4b1-c2c2cd32b66f</vt:lpwstr>
  </property>
  <property fmtid="{D5CDD505-2E9C-101B-9397-08002B2CF9AE}" pid="4" name="TemplateUrl">
    <vt:lpwstr/>
  </property>
  <property fmtid="{D5CDD505-2E9C-101B-9397-08002B2CF9AE}" pid="5" name="Order">
    <vt:r8>38800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docIndexRef">
    <vt:lpwstr>942f519d-629c-4d99-9f72-950f33cfdc6e</vt:lpwstr>
  </property>
  <property fmtid="{D5CDD505-2E9C-101B-9397-08002B2CF9AE}" pid="10" name="bjSaver">
    <vt:lpwstr>jBC42ML9lobJmpzKKvR1BVwJoAXzZZTT</vt:lpwstr>
  </property>
  <property fmtid="{D5CDD505-2E9C-101B-9397-08002B2CF9AE}" pid="11" name="bjDocumentSecurityLabel">
    <vt:lpwstr>Jawne</vt:lpwstr>
  </property>
  <property fmtid="{D5CDD505-2E9C-101B-9397-08002B2CF9AE}" pid="12" name="bjDocumentLabelXML">
    <vt:lpwstr>&lt;?xml version="1.0" encoding="us-ascii"?&gt;&lt;sisl xmlns:xsi="http://www.w3.org/2001/XMLSchema-instance" xmlns:xsd="http://www.w3.org/2001/XMLSchema" sislVersion="0" policy="88413b39-65eb-4ae7-a910-008744c3d581" origin="defaultValue" xmlns="http://www.boldonj</vt:lpwstr>
  </property>
  <property fmtid="{D5CDD505-2E9C-101B-9397-08002B2CF9AE}" pid="13" name="bjDocumentLabelXML-0">
    <vt:lpwstr>ames.com/2008/01/sie/internal/label"&gt;&lt;element uid="id_classification_nonbusiness" value="" /&gt;&lt;/sisl&gt;</vt:lpwstr>
  </property>
</Properties>
</file>