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6D74" w14:textId="0E53B549" w:rsidR="00E21835" w:rsidRDefault="00E21835" w:rsidP="0003522F">
      <w:pPr>
        <w:spacing w:after="120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9C5726">
        <w:rPr>
          <w:sz w:val="20"/>
          <w:szCs w:val="20"/>
        </w:rPr>
        <w:t>2</w:t>
      </w:r>
      <w:r w:rsidR="00BA78C0">
        <w:rPr>
          <w:sz w:val="20"/>
          <w:szCs w:val="20"/>
        </w:rPr>
        <w:t>4</w:t>
      </w:r>
      <w:r w:rsidR="009C5726">
        <w:rPr>
          <w:sz w:val="20"/>
          <w:szCs w:val="20"/>
        </w:rPr>
        <w:t xml:space="preserve"> </w:t>
      </w:r>
      <w:r w:rsidR="0043602F">
        <w:rPr>
          <w:sz w:val="20"/>
          <w:szCs w:val="20"/>
        </w:rPr>
        <w:t>września</w:t>
      </w:r>
      <w:r>
        <w:rPr>
          <w:sz w:val="20"/>
          <w:szCs w:val="20"/>
        </w:rPr>
        <w:t xml:space="preserve"> 2020</w:t>
      </w:r>
      <w:r w:rsidRPr="000558A6">
        <w:rPr>
          <w:sz w:val="20"/>
          <w:szCs w:val="20"/>
        </w:rPr>
        <w:t xml:space="preserve"> r.</w:t>
      </w:r>
    </w:p>
    <w:p w14:paraId="6A47B588" w14:textId="77777777" w:rsidR="00E31475" w:rsidRPr="000558A6" w:rsidRDefault="00E31475" w:rsidP="0003522F">
      <w:pPr>
        <w:spacing w:after="120"/>
        <w:ind w:left="6372"/>
        <w:jc w:val="both"/>
        <w:rPr>
          <w:sz w:val="20"/>
          <w:szCs w:val="20"/>
        </w:rPr>
      </w:pPr>
    </w:p>
    <w:p w14:paraId="3CCA59E3" w14:textId="77777777" w:rsidR="0094749B" w:rsidRDefault="0094749B" w:rsidP="0003522F">
      <w:pPr>
        <w:spacing w:after="120"/>
        <w:jc w:val="both"/>
        <w:rPr>
          <w:b/>
          <w:bCs/>
          <w:sz w:val="28"/>
          <w:szCs w:val="28"/>
        </w:rPr>
      </w:pPr>
    </w:p>
    <w:p w14:paraId="1B150136" w14:textId="66F9E9F4" w:rsidR="00E21835" w:rsidRPr="004F04D8" w:rsidRDefault="00536EBA" w:rsidP="0003522F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pandemii </w:t>
      </w:r>
      <w:r w:rsidR="00775499" w:rsidRPr="004F04D8">
        <w:rPr>
          <w:b/>
          <w:bCs/>
          <w:sz w:val="28"/>
          <w:szCs w:val="28"/>
        </w:rPr>
        <w:t xml:space="preserve">omijamy </w:t>
      </w:r>
      <w:r>
        <w:rPr>
          <w:b/>
          <w:bCs/>
          <w:sz w:val="28"/>
          <w:szCs w:val="28"/>
        </w:rPr>
        <w:t>k</w:t>
      </w:r>
      <w:r w:rsidR="00087681" w:rsidRPr="004F04D8">
        <w:rPr>
          <w:b/>
          <w:bCs/>
          <w:sz w:val="28"/>
          <w:szCs w:val="28"/>
        </w:rPr>
        <w:t xml:space="preserve">ina </w:t>
      </w:r>
      <w:r>
        <w:rPr>
          <w:b/>
          <w:bCs/>
          <w:sz w:val="28"/>
          <w:szCs w:val="28"/>
        </w:rPr>
        <w:t>oraz centra handlowe</w:t>
      </w:r>
      <w:r w:rsidR="00087681" w:rsidRPr="004F04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idziemy do znajomych </w:t>
      </w:r>
    </w:p>
    <w:p w14:paraId="72FBE7C9" w14:textId="77777777" w:rsidR="0094749B" w:rsidRDefault="0094749B" w:rsidP="00F305B5">
      <w:pPr>
        <w:spacing w:after="120"/>
        <w:jc w:val="both"/>
        <w:rPr>
          <w:b/>
          <w:bCs/>
          <w:szCs w:val="23"/>
        </w:rPr>
      </w:pPr>
    </w:p>
    <w:p w14:paraId="01937F59" w14:textId="29759FCC" w:rsidR="00F305B5" w:rsidRDefault="000D0867" w:rsidP="00F305B5">
      <w:pPr>
        <w:spacing w:after="120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Lockdown się skończył, </w:t>
      </w:r>
      <w:r w:rsidR="00E31475">
        <w:rPr>
          <w:b/>
          <w:bCs/>
          <w:szCs w:val="23"/>
        </w:rPr>
        <w:t xml:space="preserve">ale </w:t>
      </w:r>
      <w:r w:rsidR="00F305B5">
        <w:rPr>
          <w:b/>
          <w:bCs/>
          <w:szCs w:val="23"/>
        </w:rPr>
        <w:t>nie w głowach</w:t>
      </w:r>
      <w:r w:rsidR="00575186">
        <w:rPr>
          <w:b/>
          <w:bCs/>
          <w:szCs w:val="23"/>
        </w:rPr>
        <w:t xml:space="preserve"> Polaków</w:t>
      </w:r>
      <w:r w:rsidR="00095856">
        <w:rPr>
          <w:b/>
          <w:bCs/>
          <w:szCs w:val="23"/>
        </w:rPr>
        <w:t>. M</w:t>
      </w:r>
      <w:r w:rsidR="00575186">
        <w:rPr>
          <w:b/>
          <w:bCs/>
          <w:szCs w:val="23"/>
        </w:rPr>
        <w:t xml:space="preserve">imo, że już od dłuższego czasu można </w:t>
      </w:r>
      <w:r w:rsidR="0014536D">
        <w:rPr>
          <w:b/>
          <w:bCs/>
          <w:szCs w:val="23"/>
        </w:rPr>
        <w:t>bez problemów</w:t>
      </w:r>
      <w:r w:rsidR="00F305B5">
        <w:rPr>
          <w:b/>
          <w:bCs/>
          <w:szCs w:val="23"/>
        </w:rPr>
        <w:t xml:space="preserve"> </w:t>
      </w:r>
      <w:r w:rsidR="00575186">
        <w:rPr>
          <w:b/>
          <w:bCs/>
          <w:szCs w:val="23"/>
        </w:rPr>
        <w:t>wybrać się do kina, restauracji, lekarza, fryzjera</w:t>
      </w:r>
      <w:r w:rsidR="00095856">
        <w:rPr>
          <w:b/>
          <w:bCs/>
          <w:szCs w:val="23"/>
        </w:rPr>
        <w:t>,</w:t>
      </w:r>
      <w:r w:rsidR="00575186">
        <w:rPr>
          <w:b/>
          <w:bCs/>
          <w:szCs w:val="23"/>
        </w:rPr>
        <w:t xml:space="preserve"> </w:t>
      </w:r>
      <w:r w:rsidR="002668C4">
        <w:rPr>
          <w:b/>
          <w:bCs/>
          <w:szCs w:val="23"/>
        </w:rPr>
        <w:t xml:space="preserve">na siłownię </w:t>
      </w:r>
      <w:r w:rsidR="00575186">
        <w:rPr>
          <w:b/>
          <w:bCs/>
          <w:szCs w:val="23"/>
        </w:rPr>
        <w:t xml:space="preserve">czy do kościoła, </w:t>
      </w:r>
      <w:r w:rsidR="0014536D">
        <w:rPr>
          <w:b/>
          <w:bCs/>
          <w:szCs w:val="23"/>
        </w:rPr>
        <w:t>większość osób, która wcześniej bywała w tych miejscach, teraz robi to rzadziej</w:t>
      </w:r>
      <w:r w:rsidR="00F305B5">
        <w:rPr>
          <w:b/>
          <w:bCs/>
          <w:szCs w:val="23"/>
        </w:rPr>
        <w:t xml:space="preserve">, a niektórzy nadal unikają wyjść. </w:t>
      </w:r>
      <w:r w:rsidR="00042822">
        <w:rPr>
          <w:b/>
          <w:bCs/>
          <w:szCs w:val="23"/>
        </w:rPr>
        <w:t xml:space="preserve">Z </w:t>
      </w:r>
      <w:r w:rsidR="00F305B5">
        <w:rPr>
          <w:b/>
          <w:bCs/>
          <w:szCs w:val="23"/>
        </w:rPr>
        <w:t>wizyt w kinie czy teatrze</w:t>
      </w:r>
      <w:r w:rsidR="00042822">
        <w:rPr>
          <w:b/>
          <w:bCs/>
          <w:szCs w:val="23"/>
        </w:rPr>
        <w:t xml:space="preserve"> </w:t>
      </w:r>
      <w:r w:rsidR="00837F44">
        <w:rPr>
          <w:b/>
          <w:bCs/>
          <w:szCs w:val="23"/>
        </w:rPr>
        <w:t xml:space="preserve">zupełnie </w:t>
      </w:r>
      <w:r w:rsidR="00042822">
        <w:rPr>
          <w:b/>
          <w:bCs/>
          <w:szCs w:val="23"/>
        </w:rPr>
        <w:t xml:space="preserve">zrezygnowało </w:t>
      </w:r>
      <w:r w:rsidR="00837F44">
        <w:rPr>
          <w:b/>
          <w:bCs/>
          <w:szCs w:val="23"/>
        </w:rPr>
        <w:t>47 proc. Polaków</w:t>
      </w:r>
      <w:r w:rsidR="00F305B5">
        <w:rPr>
          <w:b/>
          <w:bCs/>
          <w:szCs w:val="23"/>
        </w:rPr>
        <w:t xml:space="preserve">, </w:t>
      </w:r>
      <w:r w:rsidR="002448FD">
        <w:rPr>
          <w:b/>
          <w:bCs/>
          <w:szCs w:val="23"/>
        </w:rPr>
        <w:t xml:space="preserve">taki sam odsetek klientów </w:t>
      </w:r>
      <w:r w:rsidR="001B253A">
        <w:rPr>
          <w:b/>
          <w:bCs/>
          <w:szCs w:val="23"/>
        </w:rPr>
        <w:t xml:space="preserve">mniej chętnie chodzi na </w:t>
      </w:r>
      <w:r w:rsidR="002448FD">
        <w:rPr>
          <w:b/>
          <w:bCs/>
          <w:szCs w:val="23"/>
        </w:rPr>
        <w:t xml:space="preserve">zakupy </w:t>
      </w:r>
      <w:r w:rsidR="001B253A">
        <w:rPr>
          <w:b/>
          <w:bCs/>
          <w:szCs w:val="23"/>
        </w:rPr>
        <w:t xml:space="preserve">do </w:t>
      </w:r>
      <w:r w:rsidR="002448FD">
        <w:rPr>
          <w:b/>
          <w:bCs/>
          <w:szCs w:val="23"/>
        </w:rPr>
        <w:t>galeri</w:t>
      </w:r>
      <w:r w:rsidR="001B253A">
        <w:rPr>
          <w:b/>
          <w:bCs/>
          <w:szCs w:val="23"/>
        </w:rPr>
        <w:t>i</w:t>
      </w:r>
      <w:r w:rsidR="002448FD">
        <w:rPr>
          <w:b/>
          <w:bCs/>
          <w:szCs w:val="23"/>
        </w:rPr>
        <w:t xml:space="preserve"> handlowych, a </w:t>
      </w:r>
      <w:r w:rsidR="00F305B5">
        <w:rPr>
          <w:b/>
          <w:bCs/>
          <w:szCs w:val="23"/>
        </w:rPr>
        <w:t xml:space="preserve">46 proc. </w:t>
      </w:r>
      <w:r w:rsidR="002448FD">
        <w:rPr>
          <w:b/>
          <w:bCs/>
          <w:szCs w:val="23"/>
        </w:rPr>
        <w:t xml:space="preserve">nie tak często jak </w:t>
      </w:r>
      <w:r w:rsidR="00F305B5">
        <w:rPr>
          <w:b/>
          <w:bCs/>
          <w:szCs w:val="23"/>
        </w:rPr>
        <w:t xml:space="preserve">wcześniej </w:t>
      </w:r>
      <w:r w:rsidR="001B253A">
        <w:rPr>
          <w:b/>
          <w:bCs/>
          <w:szCs w:val="23"/>
        </w:rPr>
        <w:t>bywa</w:t>
      </w:r>
      <w:r w:rsidR="00F305B5">
        <w:rPr>
          <w:b/>
          <w:bCs/>
          <w:szCs w:val="23"/>
        </w:rPr>
        <w:t xml:space="preserve"> w restauracjach – wynika z badania zrealizowanego na zlecenie Rejestru Dłużników BIG InfoMonitor.</w:t>
      </w:r>
      <w:r w:rsidR="002448FD">
        <w:rPr>
          <w:b/>
          <w:bCs/>
          <w:szCs w:val="23"/>
        </w:rPr>
        <w:t xml:space="preserve"> Takie podejście konsumentów przekłada się oczywiście na problemy</w:t>
      </w:r>
      <w:r w:rsidR="002668C4">
        <w:rPr>
          <w:b/>
          <w:bCs/>
          <w:szCs w:val="23"/>
        </w:rPr>
        <w:t xml:space="preserve"> firm</w:t>
      </w:r>
      <w:r w:rsidR="002448FD">
        <w:rPr>
          <w:b/>
          <w:bCs/>
          <w:szCs w:val="23"/>
        </w:rPr>
        <w:t>.</w:t>
      </w:r>
    </w:p>
    <w:p w14:paraId="16306085" w14:textId="1866AA7F" w:rsidR="0056142E" w:rsidRPr="003837F3" w:rsidRDefault="0056142E">
      <w:pPr>
        <w:spacing w:after="120"/>
        <w:jc w:val="both"/>
        <w:rPr>
          <w:bCs/>
          <w:szCs w:val="23"/>
        </w:rPr>
      </w:pPr>
      <w:r w:rsidRPr="003837F3">
        <w:rPr>
          <w:bCs/>
          <w:szCs w:val="23"/>
        </w:rPr>
        <w:t xml:space="preserve">Wydawało się, że narodowa kwarantanna na której Polacy spędzili kilka tygodni skończy się odreagowaniem i nadrabianiem zaległości </w:t>
      </w:r>
      <w:r w:rsidR="003125A8" w:rsidRPr="003837F3">
        <w:rPr>
          <w:bCs/>
          <w:szCs w:val="23"/>
        </w:rPr>
        <w:t>w dbaniu o wygląd, zdrowie,</w:t>
      </w:r>
      <w:r w:rsidR="003125A8">
        <w:rPr>
          <w:bCs/>
          <w:szCs w:val="23"/>
        </w:rPr>
        <w:t xml:space="preserve"> formę fizyczną pod okiem fachowców,</w:t>
      </w:r>
      <w:r w:rsidR="003125A8" w:rsidRPr="003837F3">
        <w:rPr>
          <w:bCs/>
          <w:szCs w:val="23"/>
        </w:rPr>
        <w:t xml:space="preserve"> </w:t>
      </w:r>
      <w:r w:rsidR="003125A8" w:rsidRPr="00725D4B">
        <w:rPr>
          <w:bCs/>
          <w:szCs w:val="23"/>
        </w:rPr>
        <w:t xml:space="preserve">doznania </w:t>
      </w:r>
      <w:r w:rsidR="003125A8" w:rsidRPr="003837F3">
        <w:rPr>
          <w:bCs/>
          <w:szCs w:val="23"/>
        </w:rPr>
        <w:t>kultur</w:t>
      </w:r>
      <w:r w:rsidR="003125A8" w:rsidRPr="00725D4B">
        <w:rPr>
          <w:bCs/>
          <w:szCs w:val="23"/>
        </w:rPr>
        <w:t>alne, duchowe czy gastronomiczne</w:t>
      </w:r>
      <w:r w:rsidR="001B253A">
        <w:rPr>
          <w:bCs/>
          <w:szCs w:val="23"/>
        </w:rPr>
        <w:t>. N</w:t>
      </w:r>
      <w:r w:rsidR="002F71E3" w:rsidRPr="00725D4B">
        <w:rPr>
          <w:bCs/>
          <w:szCs w:val="23"/>
        </w:rPr>
        <w:t xml:space="preserve">ic takiego. Może tuż po otwarciu galerie handlowe, fryzjerzy czy restauracje odczuli zwiększony ruch, ale fala klientów pojawiła się tylko na chwilę. Z badania </w:t>
      </w:r>
      <w:r w:rsidR="002F71E3" w:rsidRPr="003837F3">
        <w:rPr>
          <w:iCs/>
          <w:szCs w:val="23"/>
        </w:rPr>
        <w:t xml:space="preserve">przeprowadzonego przez </w:t>
      </w:r>
      <w:r w:rsidR="0094749B">
        <w:rPr>
          <w:iCs/>
          <w:szCs w:val="23"/>
        </w:rPr>
        <w:t>r</w:t>
      </w:r>
      <w:r w:rsidR="0094749B" w:rsidRPr="003837F3">
        <w:rPr>
          <w:iCs/>
          <w:szCs w:val="23"/>
        </w:rPr>
        <w:t>esearch</w:t>
      </w:r>
      <w:r w:rsidR="002F71E3" w:rsidRPr="003837F3">
        <w:rPr>
          <w:iCs/>
          <w:szCs w:val="23"/>
        </w:rPr>
        <w:t>&amp;grow na zlecenie Rejestru Dłużników BIG InfoMonitor</w:t>
      </w:r>
      <w:r w:rsidR="002F71E3" w:rsidRPr="00725D4B">
        <w:rPr>
          <w:bCs/>
          <w:szCs w:val="23"/>
        </w:rPr>
        <w:t xml:space="preserve"> wynika, że większość osób wraca do swoich codziennych aktywności rzadziej niż przed pandemią, a</w:t>
      </w:r>
      <w:r w:rsidR="00837F44" w:rsidRPr="00725D4B">
        <w:rPr>
          <w:bCs/>
          <w:szCs w:val="23"/>
        </w:rPr>
        <w:t xml:space="preserve"> </w:t>
      </w:r>
      <w:r w:rsidR="002668C4">
        <w:rPr>
          <w:bCs/>
          <w:szCs w:val="23"/>
        </w:rPr>
        <w:t xml:space="preserve">niektórzy </w:t>
      </w:r>
      <w:r w:rsidR="007F0A62">
        <w:rPr>
          <w:bCs/>
          <w:szCs w:val="23"/>
        </w:rPr>
        <w:t>wciąż ich unikają</w:t>
      </w:r>
      <w:r w:rsidR="002F71E3">
        <w:rPr>
          <w:bCs/>
          <w:szCs w:val="23"/>
        </w:rPr>
        <w:t xml:space="preserve">. </w:t>
      </w:r>
    </w:p>
    <w:p w14:paraId="7A18E995" w14:textId="15A80034" w:rsidR="0003522F" w:rsidRDefault="0003522F">
      <w:pPr>
        <w:spacing w:after="120"/>
        <w:jc w:val="both"/>
        <w:rPr>
          <w:szCs w:val="23"/>
        </w:rPr>
      </w:pPr>
      <w:r>
        <w:rPr>
          <w:szCs w:val="23"/>
        </w:rPr>
        <w:t xml:space="preserve">– </w:t>
      </w:r>
      <w:r w:rsidR="0094749B" w:rsidRPr="009C5A07">
        <w:rPr>
          <w:i/>
          <w:iCs/>
          <w:szCs w:val="23"/>
        </w:rPr>
        <w:t>Wyraźnie widać, że w ostatnim czasie wszyscy zachowujemy się inaczej</w:t>
      </w:r>
      <w:r w:rsidR="009C5A07" w:rsidRPr="009C5A07">
        <w:rPr>
          <w:i/>
          <w:iCs/>
          <w:szCs w:val="23"/>
        </w:rPr>
        <w:t>.</w:t>
      </w:r>
      <w:r w:rsidR="002F71E3" w:rsidRPr="009C5A07">
        <w:rPr>
          <w:i/>
          <w:iCs/>
          <w:szCs w:val="23"/>
        </w:rPr>
        <w:t xml:space="preserve"> </w:t>
      </w:r>
      <w:r w:rsidR="009C5A07">
        <w:rPr>
          <w:i/>
          <w:iCs/>
          <w:szCs w:val="23"/>
        </w:rPr>
        <w:t>P</w:t>
      </w:r>
      <w:r w:rsidRPr="009C5A07">
        <w:rPr>
          <w:i/>
          <w:iCs/>
          <w:szCs w:val="23"/>
        </w:rPr>
        <w:t xml:space="preserve">o części bierze się </w:t>
      </w:r>
      <w:r w:rsidR="009C5A07">
        <w:rPr>
          <w:i/>
          <w:iCs/>
          <w:szCs w:val="23"/>
        </w:rPr>
        <w:t xml:space="preserve">to </w:t>
      </w:r>
      <w:r w:rsidRPr="009C5A07">
        <w:rPr>
          <w:i/>
          <w:iCs/>
          <w:szCs w:val="23"/>
        </w:rPr>
        <w:t>z o</w:t>
      </w:r>
      <w:r w:rsidRPr="0003522F">
        <w:rPr>
          <w:i/>
          <w:iCs/>
          <w:szCs w:val="23"/>
        </w:rPr>
        <w:t>baw o własne bezpieczeństwo</w:t>
      </w:r>
      <w:r w:rsidR="00F305B5">
        <w:rPr>
          <w:i/>
          <w:iCs/>
          <w:szCs w:val="23"/>
        </w:rPr>
        <w:t xml:space="preserve"> i ryzyko zarażenia, a</w:t>
      </w:r>
      <w:r w:rsidRPr="0003522F">
        <w:rPr>
          <w:i/>
          <w:iCs/>
          <w:szCs w:val="23"/>
        </w:rPr>
        <w:t>le t</w:t>
      </w:r>
      <w:r w:rsidR="00F305B5">
        <w:rPr>
          <w:i/>
          <w:iCs/>
          <w:szCs w:val="23"/>
        </w:rPr>
        <w:t>akże</w:t>
      </w:r>
      <w:r w:rsidRPr="0003522F">
        <w:rPr>
          <w:i/>
          <w:iCs/>
          <w:szCs w:val="23"/>
        </w:rPr>
        <w:t xml:space="preserve"> </w:t>
      </w:r>
      <w:r w:rsidR="00837F44">
        <w:rPr>
          <w:i/>
          <w:iCs/>
          <w:szCs w:val="23"/>
        </w:rPr>
        <w:t xml:space="preserve">z </w:t>
      </w:r>
      <w:r w:rsidRPr="0003522F">
        <w:rPr>
          <w:i/>
          <w:iCs/>
          <w:szCs w:val="23"/>
        </w:rPr>
        <w:t>trosk</w:t>
      </w:r>
      <w:r w:rsidR="00837F44">
        <w:rPr>
          <w:i/>
          <w:iCs/>
          <w:szCs w:val="23"/>
        </w:rPr>
        <w:t xml:space="preserve">i o nie </w:t>
      </w:r>
      <w:r w:rsidRPr="0003522F">
        <w:rPr>
          <w:i/>
          <w:iCs/>
          <w:szCs w:val="23"/>
        </w:rPr>
        <w:t xml:space="preserve">do końca </w:t>
      </w:r>
      <w:r w:rsidR="002F71E3">
        <w:rPr>
          <w:i/>
          <w:iCs/>
          <w:szCs w:val="23"/>
        </w:rPr>
        <w:t xml:space="preserve">pewną </w:t>
      </w:r>
      <w:r w:rsidRPr="0003522F">
        <w:rPr>
          <w:i/>
          <w:iCs/>
          <w:szCs w:val="23"/>
        </w:rPr>
        <w:t>sytuację domowych budżetów</w:t>
      </w:r>
      <w:r>
        <w:rPr>
          <w:i/>
          <w:iCs/>
          <w:szCs w:val="23"/>
        </w:rPr>
        <w:t xml:space="preserve">. </w:t>
      </w:r>
      <w:r w:rsidR="00CF6534">
        <w:rPr>
          <w:i/>
          <w:iCs/>
          <w:szCs w:val="23"/>
        </w:rPr>
        <w:t>Swoje robi rosnąca liczba zachorowań na Covid-19, oraz chęć ograniczania wydatków nawet na wszelki wypadek, bo gospodarka przecież ma się nie najlepiej. Dwie trzecie badanych osób mówi, że koncentruje się dziś na zaspokajaniu elementarnych potrzeb, ogranicza wyjazdy i wszelkiego rodzaju ekstrawagancje</w:t>
      </w:r>
      <w:r w:rsidR="00B57AFD">
        <w:rPr>
          <w:i/>
          <w:iCs/>
          <w:szCs w:val="23"/>
        </w:rPr>
        <w:t xml:space="preserve"> </w:t>
      </w:r>
      <w:r>
        <w:rPr>
          <w:szCs w:val="23"/>
        </w:rPr>
        <w:t xml:space="preserve">– </w:t>
      </w:r>
      <w:r w:rsidR="001B253A">
        <w:rPr>
          <w:szCs w:val="23"/>
        </w:rPr>
        <w:t>zwraca uwagę</w:t>
      </w:r>
      <w:r>
        <w:rPr>
          <w:szCs w:val="23"/>
        </w:rPr>
        <w:t xml:space="preserve"> </w:t>
      </w:r>
      <w:r>
        <w:rPr>
          <w:b/>
          <w:bCs/>
          <w:szCs w:val="23"/>
        </w:rPr>
        <w:t>Sławomir Grzelczak</w:t>
      </w:r>
      <w:r>
        <w:rPr>
          <w:szCs w:val="23"/>
        </w:rPr>
        <w:t>, prezes BIG InfoMonitor.</w:t>
      </w:r>
      <w:r w:rsidR="00B57AFD">
        <w:rPr>
          <w:szCs w:val="23"/>
        </w:rPr>
        <w:t xml:space="preserve"> </w:t>
      </w:r>
      <w:r w:rsidR="0094749B">
        <w:rPr>
          <w:szCs w:val="23"/>
        </w:rPr>
        <w:t>–</w:t>
      </w:r>
      <w:r w:rsidR="00CF6534" w:rsidRPr="00CF6534">
        <w:rPr>
          <w:szCs w:val="23"/>
        </w:rPr>
        <w:t xml:space="preserve"> </w:t>
      </w:r>
      <w:r w:rsidR="00CF6534">
        <w:rPr>
          <w:i/>
          <w:iCs/>
          <w:szCs w:val="23"/>
        </w:rPr>
        <w:t xml:space="preserve">Który z elementów ma większe znaczenie, zależy indywidulanie od kondycji zdrowotnej i finansowej badanych, ale </w:t>
      </w:r>
      <w:r w:rsidR="00CF6534">
        <w:rPr>
          <w:szCs w:val="23"/>
        </w:rPr>
        <w:t>t</w:t>
      </w:r>
      <w:r w:rsidR="00B57AFD" w:rsidRPr="0094749B">
        <w:rPr>
          <w:i/>
          <w:iCs/>
          <w:szCs w:val="23"/>
        </w:rPr>
        <w:t>rzeba też wziąć pod uwagę trzecią przyczynę</w:t>
      </w:r>
      <w:r w:rsidR="00095856">
        <w:rPr>
          <w:i/>
          <w:iCs/>
          <w:szCs w:val="23"/>
        </w:rPr>
        <w:t>:</w:t>
      </w:r>
      <w:r w:rsidR="00B57AFD" w:rsidRPr="0094749B">
        <w:rPr>
          <w:i/>
          <w:iCs/>
          <w:szCs w:val="23"/>
        </w:rPr>
        <w:t xml:space="preserve"> zmian</w:t>
      </w:r>
      <w:r w:rsidR="00095856">
        <w:rPr>
          <w:i/>
          <w:iCs/>
          <w:szCs w:val="23"/>
        </w:rPr>
        <w:t>ę</w:t>
      </w:r>
      <w:r w:rsidR="00B57AFD" w:rsidRPr="0094749B">
        <w:rPr>
          <w:i/>
          <w:iCs/>
          <w:szCs w:val="23"/>
        </w:rPr>
        <w:t xml:space="preserve"> społecznych zachowań</w:t>
      </w:r>
      <w:r w:rsidR="00CF6534">
        <w:rPr>
          <w:i/>
          <w:iCs/>
          <w:szCs w:val="23"/>
        </w:rPr>
        <w:t>, nowe mody, trendy czy nawyki</w:t>
      </w:r>
      <w:r w:rsidR="00B57AFD" w:rsidRPr="0094749B">
        <w:rPr>
          <w:i/>
          <w:iCs/>
          <w:szCs w:val="23"/>
        </w:rPr>
        <w:t xml:space="preserve">. Pandemia </w:t>
      </w:r>
      <w:r w:rsidR="00CF6534">
        <w:rPr>
          <w:i/>
          <w:iCs/>
          <w:szCs w:val="23"/>
        </w:rPr>
        <w:t xml:space="preserve">wiele </w:t>
      </w:r>
      <w:r w:rsidR="00B57AFD">
        <w:rPr>
          <w:i/>
          <w:iCs/>
          <w:szCs w:val="23"/>
        </w:rPr>
        <w:t>zmienił</w:t>
      </w:r>
      <w:r w:rsidR="00CF6534">
        <w:rPr>
          <w:i/>
          <w:iCs/>
          <w:szCs w:val="23"/>
        </w:rPr>
        <w:t>a</w:t>
      </w:r>
      <w:r w:rsidR="00B57AFD">
        <w:rPr>
          <w:i/>
          <w:iCs/>
          <w:szCs w:val="23"/>
        </w:rPr>
        <w:t>, pytanie na</w:t>
      </w:r>
      <w:r w:rsidR="007F0A62">
        <w:rPr>
          <w:i/>
          <w:iCs/>
          <w:szCs w:val="23"/>
        </w:rPr>
        <w:t xml:space="preserve"> jak długo</w:t>
      </w:r>
      <w:r w:rsidR="00B57AFD">
        <w:rPr>
          <w:i/>
          <w:iCs/>
          <w:szCs w:val="23"/>
        </w:rPr>
        <w:t>?</w:t>
      </w:r>
      <w:r w:rsidR="00B57AFD" w:rsidRPr="0094749B">
        <w:rPr>
          <w:szCs w:val="23"/>
        </w:rPr>
        <w:t xml:space="preserve"> – dodaje. </w:t>
      </w:r>
    </w:p>
    <w:p w14:paraId="73AFD409" w14:textId="6A06A70D" w:rsidR="009F7BCA" w:rsidRDefault="009F7BCA" w:rsidP="009F7BCA">
      <w:pPr>
        <w:spacing w:after="120"/>
        <w:jc w:val="both"/>
      </w:pPr>
      <w:r>
        <w:rPr>
          <w:szCs w:val="23"/>
        </w:rPr>
        <w:t>Najbardziej radyklane zmiany w codziennych nawykach pandemia spowodowała w podejściu do aktywności rozrywkowych, takich jak wyjścia do kina lub teatru. Z seansów i spektakli całkowicie zrezygnowało 47 proc. pytanych</w:t>
      </w:r>
      <w:r w:rsidR="00536EBA">
        <w:rPr>
          <w:szCs w:val="23"/>
        </w:rPr>
        <w:t xml:space="preserve">, którzy wcześniej w tego typu miejscach bywali </w:t>
      </w:r>
      <w:r>
        <w:rPr>
          <w:szCs w:val="23"/>
        </w:rPr>
        <w:t xml:space="preserve">(najwyższe wskazanie w badaniu), a 35 proc. </w:t>
      </w:r>
      <w:r w:rsidR="00B10681">
        <w:rPr>
          <w:szCs w:val="23"/>
        </w:rPr>
        <w:t xml:space="preserve">dziś </w:t>
      </w:r>
      <w:r>
        <w:rPr>
          <w:szCs w:val="23"/>
        </w:rPr>
        <w:t xml:space="preserve">zagląda do kin i teatrów rzadziej niż </w:t>
      </w:r>
      <w:r w:rsidR="00B10681">
        <w:rPr>
          <w:szCs w:val="23"/>
        </w:rPr>
        <w:t>przed pandemią. Może</w:t>
      </w:r>
      <w:r>
        <w:rPr>
          <w:szCs w:val="23"/>
        </w:rPr>
        <w:t xml:space="preserve"> na takich decyzjach zaważył też okres wakacyjny, który zwykle nie sprzyja premierom, ale czy na pewno? </w:t>
      </w:r>
      <w:r>
        <w:t>Jak podaje PISF, po ponownym otwarciu się na widzów, kina odwiedziło w czerwcu niewiele ponad 3 proc. widowni notowanej przed rokiem i choć później sytuacja się poprawiała, to nieznacznie. Według szacunków w sierpniu nadal było to nie więcej niż 10-15 proc. względem sierpnia 2019</w:t>
      </w:r>
      <w:r w:rsidR="002668C4">
        <w:t>.</w:t>
      </w:r>
    </w:p>
    <w:p w14:paraId="60F08E4F" w14:textId="688FE475" w:rsidR="009F7BCA" w:rsidRDefault="009F7BCA" w:rsidP="009F7BCA">
      <w:pPr>
        <w:spacing w:after="120"/>
        <w:jc w:val="both"/>
      </w:pPr>
      <w:r>
        <w:t xml:space="preserve">W czasie lockdownu widzowie zdecydowanie częściej korzystali z platform streamingowych udostępniających treści online. I choć wraz ze zniesieniem ograniczeń część z nich zaczęła szukać innych rozrywek, to i tak w ciągu roku, między sierpniem 2019 a sierpniem 2020, najpopularniejszy serwis tego typu, czyli Netflix, zyskał 2,16 mln użytkowników, co oznacza wzrost o 74,3 proc. </w:t>
      </w:r>
    </w:p>
    <w:p w14:paraId="0DB4A92D" w14:textId="1317CDE9" w:rsidR="00377C85" w:rsidRPr="00377C85" w:rsidRDefault="00377C85" w:rsidP="0003522F">
      <w:pPr>
        <w:jc w:val="center"/>
        <w:rPr>
          <w:i/>
          <w:iCs/>
          <w:sz w:val="20"/>
          <w:szCs w:val="20"/>
        </w:rPr>
      </w:pPr>
      <w:r w:rsidRPr="00377C85">
        <w:rPr>
          <w:i/>
          <w:iCs/>
          <w:sz w:val="20"/>
          <w:szCs w:val="20"/>
        </w:rPr>
        <w:lastRenderedPageBreak/>
        <w:t>Zachowanie Polaków po odmrożeniu gospodarki</w:t>
      </w:r>
    </w:p>
    <w:p w14:paraId="2D29A450" w14:textId="3E47D966" w:rsidR="00A053B8" w:rsidRDefault="00A053B8" w:rsidP="0003522F">
      <w:pPr>
        <w:spacing w:after="120"/>
        <w:jc w:val="both"/>
        <w:rPr>
          <w:szCs w:val="23"/>
        </w:rPr>
      </w:pPr>
      <w:r w:rsidRPr="00A053B8">
        <w:rPr>
          <w:noProof/>
          <w:szCs w:val="23"/>
        </w:rPr>
        <w:drawing>
          <wp:inline distT="0" distB="0" distL="0" distR="0" wp14:anchorId="5F9E3935" wp14:editId="4C8330E6">
            <wp:extent cx="5760720" cy="4848046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77C85" w:rsidRPr="00377C85">
        <w:rPr>
          <w:i/>
          <w:iCs/>
          <w:sz w:val="16"/>
          <w:szCs w:val="16"/>
        </w:rPr>
        <w:t xml:space="preserve"> Źródło</w:t>
      </w:r>
      <w:r w:rsidR="00377C85">
        <w:rPr>
          <w:i/>
          <w:iCs/>
          <w:sz w:val="16"/>
          <w:szCs w:val="16"/>
        </w:rPr>
        <w:t>: research&amp;grow dla BIG InfoMonitor</w:t>
      </w:r>
    </w:p>
    <w:p w14:paraId="4A9CE0BD" w14:textId="349D263B" w:rsidR="00087681" w:rsidRPr="00087681" w:rsidRDefault="00E6469F" w:rsidP="0003522F">
      <w:pPr>
        <w:spacing w:after="120"/>
        <w:jc w:val="both"/>
      </w:pPr>
      <w:r>
        <w:t xml:space="preserve">Tego typu zmiany </w:t>
      </w:r>
      <w:r w:rsidR="002964B3">
        <w:t xml:space="preserve">podejścia </w:t>
      </w:r>
      <w:r>
        <w:t>widać w wielu obszarach naszego codziennego życia.</w:t>
      </w:r>
      <w:r w:rsidR="00B10681">
        <w:t xml:space="preserve"> Niemal co drugi</w:t>
      </w:r>
      <w:r w:rsidR="000D42A7">
        <w:t xml:space="preserve"> </w:t>
      </w:r>
      <w:r>
        <w:t>badany deklaruje, że do restauracji wychodzi rzadziej niż przed pandemią</w:t>
      </w:r>
      <w:r w:rsidR="00B10681">
        <w:t xml:space="preserve">, niewykluczone, że m.in. dlatego, że po lockdownie częściej gotuje. Wiele osób właśnie na naukę sztuki kulinarnej poświęciło wtedy swój wolny czas. Niższa frekwencja nie pozostaje bez wpływu na kondycję firm, które żyją z </w:t>
      </w:r>
      <w:r>
        <w:t xml:space="preserve">usług gastronomicznych. </w:t>
      </w:r>
      <w:r w:rsidR="00087681">
        <w:t>Nienajlepszą sytuację branży potwierdzają dane z baz BIG InfoMonitor. W</w:t>
      </w:r>
      <w:r w:rsidR="005113DB">
        <w:t xml:space="preserve"> lipcu</w:t>
      </w:r>
      <w:r w:rsidR="00087681">
        <w:t xml:space="preserve"> zadłużonych było 7,</w:t>
      </w:r>
      <w:r w:rsidR="00B07681">
        <w:t>5</w:t>
      </w:r>
      <w:r w:rsidR="00087681">
        <w:t xml:space="preserve"> proc. firm prowadzących d</w:t>
      </w:r>
      <w:r w:rsidR="00087681" w:rsidRPr="00087681">
        <w:t>ziałalność usługow</w:t>
      </w:r>
      <w:r w:rsidR="00087681">
        <w:t>ą</w:t>
      </w:r>
      <w:r w:rsidR="00087681" w:rsidRPr="00087681">
        <w:t xml:space="preserve"> związan</w:t>
      </w:r>
      <w:r w:rsidR="00087681">
        <w:t>ą</w:t>
      </w:r>
      <w:r w:rsidR="00087681" w:rsidRPr="00087681">
        <w:t xml:space="preserve"> z wyżywieniem</w:t>
      </w:r>
      <w:r w:rsidR="00087681">
        <w:t xml:space="preserve">, a kwota ich zobowiązań </w:t>
      </w:r>
      <w:r w:rsidR="00B07681">
        <w:t xml:space="preserve">przekraczała </w:t>
      </w:r>
      <w:r w:rsidR="00087681">
        <w:t>6</w:t>
      </w:r>
      <w:r w:rsidR="00B07681">
        <w:t>87</w:t>
      </w:r>
      <w:r w:rsidR="00087681">
        <w:t xml:space="preserve"> mln zł</w:t>
      </w:r>
      <w:r w:rsidR="00B46A52">
        <w:t xml:space="preserve">. Z kolei obiekty sportowe mają już niemal 116 mln zł zaległości, od końca marca wzrosły one o niemal jedną czwartą. </w:t>
      </w:r>
      <w:r w:rsidR="00B10681">
        <w:t xml:space="preserve">Tu również </w:t>
      </w:r>
      <w:r w:rsidR="00241260">
        <w:t xml:space="preserve">nie jest najlepiej z frekwencją dawnych bywalców. Na baseny i siłownie wróciło z taką samą lub większą częstotliwością 21 i 24 proc. badanych, reszta przychodzi rzadziej lub wcale. </w:t>
      </w:r>
    </w:p>
    <w:p w14:paraId="0ACD0435" w14:textId="1BDE80C1" w:rsidR="002448FD" w:rsidRDefault="009C5A07" w:rsidP="0003522F">
      <w:pPr>
        <w:spacing w:after="120"/>
        <w:jc w:val="both"/>
      </w:pPr>
      <w:r>
        <w:t>Mimo zniesienia ograniczeń</w:t>
      </w:r>
      <w:r w:rsidR="002668C4">
        <w:t xml:space="preserve"> i licznych wyprzedaży</w:t>
      </w:r>
      <w:r>
        <w:t xml:space="preserve"> galerie handlowe nadal odwiedza o 20-30 proc. mniej klientów niż przed rokiem</w:t>
      </w:r>
      <w:r w:rsidR="00241260">
        <w:t xml:space="preserve"> – wynika z</w:t>
      </w:r>
      <w:r w:rsidR="00095856">
        <w:t xml:space="preserve"> szacunków</w:t>
      </w:r>
      <w:r w:rsidR="00775499">
        <w:t xml:space="preserve"> ekspertów</w:t>
      </w:r>
      <w:r>
        <w:t xml:space="preserve">. </w:t>
      </w:r>
      <w:r w:rsidR="00241260">
        <w:t>B</w:t>
      </w:r>
      <w:r>
        <w:t>adani</w:t>
      </w:r>
      <w:r w:rsidR="00241260">
        <w:t>e</w:t>
      </w:r>
      <w:r>
        <w:t xml:space="preserve"> </w:t>
      </w:r>
      <w:r w:rsidR="00241260">
        <w:t xml:space="preserve">zrealizowane </w:t>
      </w:r>
      <w:r>
        <w:t xml:space="preserve">dla BIG InfoMonitor </w:t>
      </w:r>
      <w:r w:rsidR="00241260">
        <w:t xml:space="preserve">pokazuje, </w:t>
      </w:r>
      <w:r>
        <w:t xml:space="preserve">że choć tylko 15 proc. respondentów w ogóle omija centra handlowe, to aż 47 proc. znacznie ograniczyło robienie tam zakupów. </w:t>
      </w:r>
      <w:r w:rsidR="00B07681">
        <w:t>Z odpowiedzi wynika, że łatwiej z</w:t>
      </w:r>
      <w:r w:rsidR="002668C4">
        <w:t>rezygn</w:t>
      </w:r>
      <w:r w:rsidR="00B07681">
        <w:t>ować z tych wizyt mężczyznom</w:t>
      </w:r>
      <w:r>
        <w:t xml:space="preserve"> (18 proc.) niż</w:t>
      </w:r>
      <w:r w:rsidR="00B07681">
        <w:t xml:space="preserve"> kobietom </w:t>
      </w:r>
      <w:r>
        <w:t>(10 proc.)</w:t>
      </w:r>
      <w:r w:rsidR="00536EBA">
        <w:t xml:space="preserve">. Z kolei osoby </w:t>
      </w:r>
      <w:r w:rsidR="00B07681">
        <w:t xml:space="preserve">w wieku </w:t>
      </w:r>
      <w:r>
        <w:t xml:space="preserve">– 18-24 lat </w:t>
      </w:r>
      <w:r w:rsidR="00B07681">
        <w:t>lub</w:t>
      </w:r>
      <w:r>
        <w:t xml:space="preserve"> 55-64 lat</w:t>
      </w:r>
      <w:r w:rsidR="00536EBA">
        <w:t xml:space="preserve"> </w:t>
      </w:r>
      <w:r w:rsidR="00B07681">
        <w:t xml:space="preserve">dominują wśród bywających w </w:t>
      </w:r>
      <w:r w:rsidR="00241260">
        <w:t xml:space="preserve">dużych </w:t>
      </w:r>
      <w:r w:rsidR="00B07681">
        <w:t xml:space="preserve">sklepach częściej niż przed pandemią. </w:t>
      </w:r>
    </w:p>
    <w:p w14:paraId="0D0BCE54" w14:textId="60BEDCFD" w:rsidR="00E6469F" w:rsidRDefault="00E6469F" w:rsidP="0003522F">
      <w:pPr>
        <w:spacing w:after="120"/>
        <w:jc w:val="both"/>
      </w:pPr>
      <w:r w:rsidRPr="00087681">
        <w:lastRenderedPageBreak/>
        <w:t xml:space="preserve">Choć dane </w:t>
      </w:r>
      <w:r w:rsidR="00D24844">
        <w:t xml:space="preserve">o </w:t>
      </w:r>
      <w:r w:rsidR="006A2849">
        <w:t>p</w:t>
      </w:r>
      <w:r w:rsidR="00D24844">
        <w:t xml:space="preserve">odejściu Polaków do różnych aktywności </w:t>
      </w:r>
      <w:r w:rsidRPr="00087681">
        <w:t xml:space="preserve">są </w:t>
      </w:r>
      <w:r w:rsidR="00D24844">
        <w:t xml:space="preserve">z pewnością </w:t>
      </w:r>
      <w:r w:rsidRPr="00087681">
        <w:t>problemem dla wielu przedsiębiorców prowadzących działalność w pos</w:t>
      </w:r>
      <w:r>
        <w:rPr>
          <w:szCs w:val="23"/>
        </w:rPr>
        <w:t xml:space="preserve">zczególnych branżach, sytuacja ma jeszcze jeden niebezpieczny wymiar. </w:t>
      </w:r>
      <w:r w:rsidR="0021610C">
        <w:rPr>
          <w:szCs w:val="23"/>
        </w:rPr>
        <w:t>Obawa przed możliwością zarażenia się</w:t>
      </w:r>
      <w:r>
        <w:rPr>
          <w:szCs w:val="23"/>
        </w:rPr>
        <w:t xml:space="preserve">, ale też </w:t>
      </w:r>
      <w:r w:rsidR="0021610C">
        <w:rPr>
          <w:szCs w:val="23"/>
        </w:rPr>
        <w:t xml:space="preserve">wynikające z pandemii </w:t>
      </w:r>
      <w:r w:rsidR="00967A1A">
        <w:rPr>
          <w:szCs w:val="23"/>
        </w:rPr>
        <w:t xml:space="preserve">ograniczenia </w:t>
      </w:r>
      <w:r>
        <w:rPr>
          <w:szCs w:val="23"/>
        </w:rPr>
        <w:t>dostępu do wielu placówek medycznych</w:t>
      </w:r>
      <w:r w:rsidR="00D24844">
        <w:rPr>
          <w:szCs w:val="23"/>
        </w:rPr>
        <w:t>,</w:t>
      </w:r>
      <w:r>
        <w:rPr>
          <w:szCs w:val="23"/>
        </w:rPr>
        <w:t xml:space="preserve"> spowodowały, że z</w:t>
      </w:r>
      <w:r>
        <w:t>aledwie co czwarty respondent badania zrealizowanego dla BIG InfoMonitor po zniesieniu ograniczeń skorzystał z wizyty lekarskiej, a 39 proc. robi to rzadziej niż wcześniej. Łatwo się domyślić, jakie mogą być skutki takie</w:t>
      </w:r>
      <w:r w:rsidR="00087681">
        <w:t>go podejścia</w:t>
      </w:r>
      <w:r>
        <w:t xml:space="preserve">. Według informacji z Holandii od lutego do kwietnia wykrywalność nowotworów spadła tam aż o 25 proc. </w:t>
      </w:r>
    </w:p>
    <w:p w14:paraId="7BC98926" w14:textId="56200F96" w:rsidR="00E63C57" w:rsidRDefault="005664E1" w:rsidP="00E9136B">
      <w:pPr>
        <w:spacing w:after="120"/>
        <w:jc w:val="both"/>
        <w:rPr>
          <w:szCs w:val="23"/>
        </w:rPr>
      </w:pPr>
      <w:r>
        <w:rPr>
          <w:szCs w:val="23"/>
        </w:rPr>
        <w:t>Są jednak obszary naszego życia, które w mniejszym stopniu zostały dotknięte zmianą codziennych zwyczajów</w:t>
      </w:r>
      <w:r w:rsidR="009C5726">
        <w:rPr>
          <w:szCs w:val="23"/>
        </w:rPr>
        <w:t>. Np. z</w:t>
      </w:r>
      <w:r w:rsidR="00536EBA">
        <w:rPr>
          <w:szCs w:val="23"/>
        </w:rPr>
        <w:t xml:space="preserve"> </w:t>
      </w:r>
      <w:r w:rsidR="00E63C57">
        <w:rPr>
          <w:szCs w:val="23"/>
        </w:rPr>
        <w:t>wizyty u fryzjera</w:t>
      </w:r>
      <w:r w:rsidR="00536EBA">
        <w:rPr>
          <w:szCs w:val="23"/>
        </w:rPr>
        <w:t xml:space="preserve"> zrezygnowało w ogóle 21 proc. pytanych</w:t>
      </w:r>
      <w:r w:rsidR="00E63C57">
        <w:rPr>
          <w:szCs w:val="23"/>
        </w:rPr>
        <w:t>, a 37 proc. robi to rzadziej niż wcześniej.</w:t>
      </w:r>
      <w:r w:rsidR="00791DAD">
        <w:rPr>
          <w:szCs w:val="23"/>
        </w:rPr>
        <w:t xml:space="preserve"> </w:t>
      </w:r>
      <w:r w:rsidR="00387463">
        <w:rPr>
          <w:szCs w:val="23"/>
        </w:rPr>
        <w:t>W</w:t>
      </w:r>
      <w:r w:rsidR="00791DAD">
        <w:rPr>
          <w:szCs w:val="23"/>
        </w:rPr>
        <w:t xml:space="preserve"> porównaniu </w:t>
      </w:r>
      <w:r w:rsidR="00387463">
        <w:rPr>
          <w:szCs w:val="23"/>
        </w:rPr>
        <w:t>z kinami, galeriami czy restauracjami je</w:t>
      </w:r>
      <w:r w:rsidR="00791DAD">
        <w:rPr>
          <w:szCs w:val="23"/>
        </w:rPr>
        <w:t>st lepiej</w:t>
      </w:r>
      <w:r w:rsidR="00387463">
        <w:rPr>
          <w:szCs w:val="23"/>
        </w:rPr>
        <w:t>, ale czy dobrze? N</w:t>
      </w:r>
      <w:r w:rsidR="00483311">
        <w:rPr>
          <w:szCs w:val="23"/>
        </w:rPr>
        <w:t xml:space="preserve">awet </w:t>
      </w:r>
      <w:r w:rsidR="00791DAD">
        <w:rPr>
          <w:szCs w:val="23"/>
        </w:rPr>
        <w:t xml:space="preserve">tu </w:t>
      </w:r>
      <w:r w:rsidR="00483311">
        <w:rPr>
          <w:szCs w:val="23"/>
        </w:rPr>
        <w:t xml:space="preserve">część osób zaczęła radzić sobie sama, a jednak strzyżenie czy farbowanie </w:t>
      </w:r>
      <w:r w:rsidR="00387463">
        <w:rPr>
          <w:szCs w:val="23"/>
        </w:rPr>
        <w:t xml:space="preserve">włosów </w:t>
      </w:r>
      <w:r w:rsidR="00483311">
        <w:rPr>
          <w:szCs w:val="23"/>
        </w:rPr>
        <w:t>to nieco większe wyzwanie niż gotowanie</w:t>
      </w:r>
      <w:r w:rsidR="00B07681">
        <w:rPr>
          <w:szCs w:val="23"/>
        </w:rPr>
        <w:t xml:space="preserve"> </w:t>
      </w:r>
      <w:r w:rsidR="00387463">
        <w:rPr>
          <w:szCs w:val="23"/>
        </w:rPr>
        <w:t xml:space="preserve">czy </w:t>
      </w:r>
      <w:r w:rsidR="00B07681">
        <w:rPr>
          <w:szCs w:val="23"/>
        </w:rPr>
        <w:t>korzystanie z VOD</w:t>
      </w:r>
      <w:r w:rsidR="00483311">
        <w:rPr>
          <w:szCs w:val="23"/>
        </w:rPr>
        <w:t>.</w:t>
      </w:r>
      <w:r w:rsidR="000D42A7">
        <w:rPr>
          <w:szCs w:val="23"/>
        </w:rPr>
        <w:t xml:space="preserve"> </w:t>
      </w:r>
      <w:r w:rsidR="00483311">
        <w:rPr>
          <w:szCs w:val="23"/>
        </w:rPr>
        <w:t xml:space="preserve"> </w:t>
      </w:r>
    </w:p>
    <w:p w14:paraId="312626FA" w14:textId="3368F9BD" w:rsidR="00B46A52" w:rsidRDefault="00387463" w:rsidP="00B46A52">
      <w:pPr>
        <w:spacing w:after="120"/>
        <w:jc w:val="both"/>
        <w:rPr>
          <w:szCs w:val="23"/>
        </w:rPr>
      </w:pPr>
      <w:r>
        <w:rPr>
          <w:szCs w:val="23"/>
        </w:rPr>
        <w:t>Wyniki badania nie pozostawiają wątpliwości, że n</w:t>
      </w:r>
      <w:r w:rsidR="00E9136B">
        <w:rPr>
          <w:szCs w:val="23"/>
        </w:rPr>
        <w:t>aj</w:t>
      </w:r>
      <w:r w:rsidR="00536EBA">
        <w:rPr>
          <w:szCs w:val="23"/>
        </w:rPr>
        <w:t xml:space="preserve">trudniej jest </w:t>
      </w:r>
      <w:r w:rsidR="00E9136B">
        <w:rPr>
          <w:szCs w:val="23"/>
        </w:rPr>
        <w:t>pozbawić się przyjemności spotkania znajomych.</w:t>
      </w:r>
      <w:r w:rsidR="00F63811">
        <w:rPr>
          <w:szCs w:val="23"/>
        </w:rPr>
        <w:t xml:space="preserve"> </w:t>
      </w:r>
      <w:r w:rsidR="00E63C57">
        <w:rPr>
          <w:szCs w:val="23"/>
        </w:rPr>
        <w:t>38 proc. respondentów</w:t>
      </w:r>
      <w:r w:rsidR="00E9136B">
        <w:rPr>
          <w:szCs w:val="23"/>
        </w:rPr>
        <w:t xml:space="preserve"> powiedziało, że robi to równie często jak wcześniej</w:t>
      </w:r>
      <w:r w:rsidR="000F7D11">
        <w:rPr>
          <w:szCs w:val="23"/>
        </w:rPr>
        <w:t>,</w:t>
      </w:r>
      <w:r w:rsidR="00E9136B">
        <w:rPr>
          <w:szCs w:val="23"/>
        </w:rPr>
        <w:t xml:space="preserve"> a 7 proc. </w:t>
      </w:r>
      <w:r w:rsidR="000F7D11">
        <w:rPr>
          <w:szCs w:val="23"/>
        </w:rPr>
        <w:t>–</w:t>
      </w:r>
      <w:r w:rsidR="00E9136B">
        <w:rPr>
          <w:szCs w:val="23"/>
        </w:rPr>
        <w:t xml:space="preserve"> nawet częściej</w:t>
      </w:r>
      <w:r w:rsidR="00E63C57">
        <w:rPr>
          <w:szCs w:val="23"/>
        </w:rPr>
        <w:t xml:space="preserve">. </w:t>
      </w:r>
      <w:r w:rsidR="006A2849">
        <w:rPr>
          <w:szCs w:val="23"/>
        </w:rPr>
        <w:t>W tym przypadku zaledwie</w:t>
      </w:r>
      <w:r w:rsidR="006A2849">
        <w:t xml:space="preserve"> </w:t>
      </w:r>
      <w:r w:rsidR="00E6469F">
        <w:rPr>
          <w:szCs w:val="23"/>
        </w:rPr>
        <w:t xml:space="preserve">9 proc. pytanych </w:t>
      </w:r>
      <w:r w:rsidR="00536EBA">
        <w:rPr>
          <w:szCs w:val="23"/>
        </w:rPr>
        <w:t>zupełni</w:t>
      </w:r>
      <w:r w:rsidR="000F7D11">
        <w:rPr>
          <w:szCs w:val="23"/>
        </w:rPr>
        <w:t>e nie widuje się z przyjaciółmi.</w:t>
      </w:r>
      <w:r w:rsidR="000F7D11" w:rsidDel="000F7D11">
        <w:rPr>
          <w:szCs w:val="23"/>
        </w:rPr>
        <w:t xml:space="preserve"> </w:t>
      </w:r>
      <w:r w:rsidR="00F63811">
        <w:rPr>
          <w:szCs w:val="23"/>
        </w:rPr>
        <w:t>To może świadczyć, że Polacy są niezwykle towarzyscy</w:t>
      </w:r>
      <w:r w:rsidR="00241260">
        <w:rPr>
          <w:szCs w:val="23"/>
        </w:rPr>
        <w:t xml:space="preserve"> i </w:t>
      </w:r>
      <w:r w:rsidR="00C07674">
        <w:rPr>
          <w:szCs w:val="23"/>
        </w:rPr>
        <w:t xml:space="preserve">gdy chodzi o rozmowę i spotkanie ze z przyjaciółmi czy kolegami są w stanie zaakceptować różne </w:t>
      </w:r>
      <w:r w:rsidR="00241260">
        <w:rPr>
          <w:szCs w:val="23"/>
        </w:rPr>
        <w:t>przeciwności</w:t>
      </w:r>
      <w:r w:rsidR="00F63811">
        <w:rPr>
          <w:szCs w:val="23"/>
        </w:rPr>
        <w:t xml:space="preserve">. </w:t>
      </w:r>
      <w:r w:rsidR="00536EBA">
        <w:rPr>
          <w:szCs w:val="23"/>
        </w:rPr>
        <w:t>–</w:t>
      </w:r>
      <w:r w:rsidR="00B46A52">
        <w:rPr>
          <w:szCs w:val="23"/>
        </w:rPr>
        <w:t xml:space="preserve"> </w:t>
      </w:r>
      <w:r w:rsidR="00536EBA" w:rsidRPr="009C5726">
        <w:rPr>
          <w:i/>
          <w:szCs w:val="23"/>
        </w:rPr>
        <w:t>Można by żartobliwie zapytać, c</w:t>
      </w:r>
      <w:r w:rsidR="00B46A52" w:rsidRPr="007D1199">
        <w:rPr>
          <w:i/>
          <w:szCs w:val="23"/>
        </w:rPr>
        <w:t>zy to dlatego, że liczymy, że jeśli znajomy</w:t>
      </w:r>
      <w:r w:rsidR="009C5726">
        <w:rPr>
          <w:i/>
          <w:szCs w:val="23"/>
        </w:rPr>
        <w:t>,</w:t>
      </w:r>
      <w:r w:rsidR="00B46A52" w:rsidRPr="007D1199">
        <w:rPr>
          <w:i/>
          <w:szCs w:val="23"/>
        </w:rPr>
        <w:t xml:space="preserve"> to nie zarazi? Niewykluczone, że jest też powód finansowy,</w:t>
      </w:r>
      <w:r w:rsidR="00536EBA">
        <w:rPr>
          <w:i/>
          <w:szCs w:val="23"/>
        </w:rPr>
        <w:t xml:space="preserve"> </w:t>
      </w:r>
      <w:r w:rsidR="00B46A52" w:rsidRPr="007D1199">
        <w:rPr>
          <w:i/>
          <w:szCs w:val="23"/>
        </w:rPr>
        <w:t>spotka</w:t>
      </w:r>
      <w:r w:rsidR="00536EBA">
        <w:rPr>
          <w:i/>
          <w:szCs w:val="23"/>
        </w:rPr>
        <w:t>nia</w:t>
      </w:r>
      <w:r w:rsidR="00B46A52" w:rsidRPr="007D1199">
        <w:rPr>
          <w:i/>
          <w:szCs w:val="23"/>
        </w:rPr>
        <w:t xml:space="preserve"> nie wymaga</w:t>
      </w:r>
      <w:r w:rsidR="00536EBA">
        <w:rPr>
          <w:i/>
          <w:szCs w:val="23"/>
        </w:rPr>
        <w:t>ją</w:t>
      </w:r>
      <w:r w:rsidR="00B46A52" w:rsidRPr="007D1199">
        <w:rPr>
          <w:i/>
          <w:szCs w:val="23"/>
        </w:rPr>
        <w:t xml:space="preserve"> szczególnych nakładów, a rekompensują brak innych aktywności. </w:t>
      </w:r>
      <w:r w:rsidR="00C07674">
        <w:rPr>
          <w:i/>
          <w:szCs w:val="23"/>
        </w:rPr>
        <w:t>Ale t</w:t>
      </w:r>
      <w:r w:rsidR="00B46A52" w:rsidRPr="007D1199">
        <w:rPr>
          <w:i/>
          <w:szCs w:val="23"/>
        </w:rPr>
        <w:t>rzeba jednak zaznaczyć, że ni</w:t>
      </w:r>
      <w:r w:rsidR="00C07674">
        <w:rPr>
          <w:i/>
          <w:szCs w:val="23"/>
        </w:rPr>
        <w:t xml:space="preserve">emal połowa badanych bywa obecnie w swoim kręgu towarzyskim </w:t>
      </w:r>
      <w:r w:rsidR="00B46A52" w:rsidRPr="007D1199">
        <w:rPr>
          <w:i/>
          <w:szCs w:val="23"/>
        </w:rPr>
        <w:t>rzadziej niż wcześniej</w:t>
      </w:r>
      <w:r w:rsidR="00B46A52">
        <w:rPr>
          <w:i/>
          <w:szCs w:val="23"/>
        </w:rPr>
        <w:t>, więc i na tym polu sytuacja się zmieniła</w:t>
      </w:r>
      <w:r w:rsidR="00B46A52" w:rsidRPr="007D1199">
        <w:rPr>
          <w:i/>
          <w:szCs w:val="23"/>
        </w:rPr>
        <w:t xml:space="preserve"> </w:t>
      </w:r>
      <w:r w:rsidR="00B46A52">
        <w:rPr>
          <w:szCs w:val="23"/>
        </w:rPr>
        <w:t xml:space="preserve">– zaznacza </w:t>
      </w:r>
      <w:r w:rsidR="00B46A52" w:rsidRPr="009C5726">
        <w:rPr>
          <w:b/>
          <w:szCs w:val="23"/>
        </w:rPr>
        <w:t>Sławomir Grzelczak</w:t>
      </w:r>
      <w:r w:rsidR="00B46A52">
        <w:rPr>
          <w:szCs w:val="23"/>
        </w:rPr>
        <w:t>.</w:t>
      </w:r>
      <w:r w:rsidR="000D42A7">
        <w:rPr>
          <w:szCs w:val="23"/>
        </w:rPr>
        <w:t xml:space="preserve"> </w:t>
      </w:r>
    </w:p>
    <w:p w14:paraId="0C142006" w14:textId="0A62D77F" w:rsidR="002A1411" w:rsidRPr="002A1411" w:rsidRDefault="002A1411" w:rsidP="0003522F">
      <w:pPr>
        <w:jc w:val="center"/>
        <w:rPr>
          <w:i/>
          <w:iCs/>
          <w:sz w:val="20"/>
          <w:szCs w:val="20"/>
        </w:rPr>
      </w:pPr>
      <w:r w:rsidRPr="002A1411">
        <w:rPr>
          <w:i/>
          <w:iCs/>
          <w:sz w:val="20"/>
          <w:szCs w:val="20"/>
        </w:rPr>
        <w:t>Co pandemia zmieniła na lepsze w Twoim życiu codziennym, a co się pogorszyło?</w:t>
      </w:r>
    </w:p>
    <w:p w14:paraId="7B1D366E" w14:textId="77777777" w:rsidR="002A1411" w:rsidRPr="009C5726" w:rsidRDefault="002A1411" w:rsidP="0003522F">
      <w:pPr>
        <w:spacing w:after="120"/>
        <w:jc w:val="both"/>
        <w:rPr>
          <w:i/>
          <w:iCs/>
          <w:sz w:val="16"/>
          <w:szCs w:val="16"/>
          <w:lang w:val="en-GB"/>
        </w:rPr>
      </w:pPr>
      <w:r w:rsidRPr="0061577A">
        <w:rPr>
          <w:b/>
          <w:bCs/>
          <w:noProof/>
          <w:szCs w:val="23"/>
        </w:rPr>
        <w:drawing>
          <wp:inline distT="0" distB="0" distL="0" distR="0" wp14:anchorId="2ABE1944" wp14:editId="59DC108E">
            <wp:extent cx="5760720" cy="2547620"/>
            <wp:effectExtent l="0" t="0" r="0" b="508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C5726">
        <w:rPr>
          <w:i/>
          <w:iCs/>
          <w:sz w:val="16"/>
          <w:szCs w:val="16"/>
          <w:lang w:val="en-GB"/>
        </w:rPr>
        <w:t xml:space="preserve"> </w:t>
      </w:r>
      <w:bookmarkStart w:id="0" w:name="_GoBack"/>
      <w:r w:rsidRPr="009C5726">
        <w:rPr>
          <w:i/>
          <w:iCs/>
          <w:sz w:val="16"/>
          <w:szCs w:val="16"/>
          <w:lang w:val="en-GB"/>
        </w:rPr>
        <w:t>Źródło: research&amp;grow dla BIG InfoMonitor</w:t>
      </w:r>
    </w:p>
    <w:p w14:paraId="7189062E" w14:textId="77777777" w:rsidR="00536EBA" w:rsidRDefault="00536EBA" w:rsidP="00536EBA">
      <w:pPr>
        <w:spacing w:after="120"/>
        <w:jc w:val="both"/>
        <w:rPr>
          <w:i/>
          <w:iCs/>
          <w:sz w:val="20"/>
          <w:szCs w:val="20"/>
        </w:rPr>
      </w:pPr>
      <w:r>
        <w:rPr>
          <w:szCs w:val="23"/>
        </w:rPr>
        <w:t xml:space="preserve">Relacje osobiste – tym razem z rodziną i najbliższymi – są też najczęściej wymieniane wśród tych, które skorzystały na pandemii i ograniczeniach przez nią wymuszonych. </w:t>
      </w:r>
      <w:r>
        <w:t xml:space="preserve">Jak pokazują badania zrealizowane dla BIG InfoMonitor, 55 proc. pytanych wskazuje, że dzięki Covid-19 ma więcej czasu dla siebie i najbliższych, a zdaniem 45 proc. pandemia przyczyniła się do poprawy ich stosunków rodzinnych. Oczywiście były też negatywne odpowiedzi, w pierwszym przypadku udzieliło ich 14 proc. osób, a w drugim 18 proc., w obu sytuacjach nie zmieniło się grupie ok. 30 proc. Bilans jest </w:t>
      </w:r>
      <w:r>
        <w:lastRenderedPageBreak/>
        <w:t xml:space="preserve">więc dodatni. Na plus w takim zestawieniu ocen wypadła też praca zdalna. Dominuje natomiast odczucie, że pandemia zaszkodziła finansom. Jako zmianę na gorsze pytani odczuli kwestie związane z oszczędnościami (47 proc.) i codziennymi wydatkami (52 proc.). Więcej negatywnych niż pozytywnych opinii zebrały także nauka w domu i relacje w pracy. </w:t>
      </w:r>
    </w:p>
    <w:p w14:paraId="509C69CF" w14:textId="27D44402" w:rsidR="00F31DEA" w:rsidRDefault="00F31DEA" w:rsidP="0003522F">
      <w:pPr>
        <w:spacing w:after="120"/>
        <w:jc w:val="both"/>
      </w:pPr>
    </w:p>
    <w:p w14:paraId="26B68BA7" w14:textId="438EDBD8" w:rsidR="00A053B8" w:rsidRPr="00F069DB" w:rsidRDefault="00F069DB" w:rsidP="0003522F">
      <w:pPr>
        <w:spacing w:after="120"/>
        <w:jc w:val="both"/>
        <w:rPr>
          <w:color w:val="595959" w:themeColor="text1" w:themeTint="A6"/>
          <w:sz w:val="18"/>
          <w:szCs w:val="18"/>
        </w:rPr>
      </w:pPr>
      <w:r w:rsidRPr="00F069DB">
        <w:rPr>
          <w:color w:val="595959" w:themeColor="text1" w:themeTint="A6"/>
          <w:sz w:val="18"/>
          <w:szCs w:val="18"/>
        </w:rPr>
        <w:t>Badanie przeprowadzone przez research&amp;grow, techniką CAWI na ogólnopolskiej próbie reprezentatywnej Polaków N=1000, realizowane w lipc</w:t>
      </w:r>
      <w:r w:rsidR="00563C9A">
        <w:rPr>
          <w:color w:val="595959" w:themeColor="text1" w:themeTint="A6"/>
          <w:sz w:val="18"/>
          <w:szCs w:val="18"/>
        </w:rPr>
        <w:t>u</w:t>
      </w:r>
      <w:r w:rsidRPr="00F069DB">
        <w:rPr>
          <w:color w:val="595959" w:themeColor="text1" w:themeTint="A6"/>
          <w:sz w:val="18"/>
          <w:szCs w:val="18"/>
        </w:rPr>
        <w:t xml:space="preserve"> 2020.</w:t>
      </w:r>
    </w:p>
    <w:bookmarkEnd w:id="0"/>
    <w:p w14:paraId="661FF7D7" w14:textId="77777777" w:rsidR="00E21835" w:rsidRPr="00CA6058" w:rsidRDefault="00E21835" w:rsidP="0003522F">
      <w:pPr>
        <w:spacing w:after="120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3E02C0A5" w14:textId="77777777" w:rsidR="00E21835" w:rsidRDefault="00E21835" w:rsidP="0003522F">
      <w:pPr>
        <w:spacing w:after="12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E21835" w:rsidRPr="00F303A7" w14:paraId="42718E02" w14:textId="77777777" w:rsidTr="002E0FF5">
        <w:tc>
          <w:tcPr>
            <w:tcW w:w="4533" w:type="dxa"/>
            <w:hideMark/>
          </w:tcPr>
          <w:p w14:paraId="031336C4" w14:textId="77777777" w:rsidR="00E21835" w:rsidRPr="00F303A7" w:rsidRDefault="00E21835" w:rsidP="0003522F">
            <w:pPr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13289D80" w14:textId="77777777" w:rsidR="00E21835" w:rsidRPr="00F303A7" w:rsidRDefault="00E21835" w:rsidP="0003522F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182EF5FF" w14:textId="77777777" w:rsidR="00E21835" w:rsidRPr="00F303A7" w:rsidRDefault="00E21835" w:rsidP="0003522F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5C9FEE7C" w14:textId="77777777" w:rsidR="00E21835" w:rsidRPr="00F303A7" w:rsidRDefault="00E21835" w:rsidP="0003522F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14:paraId="7E8CE362" w14:textId="77777777" w:rsidR="00E21835" w:rsidRPr="00F303A7" w:rsidRDefault="00901FFC" w:rsidP="0003522F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0" w:history="1">
              <w:r w:rsidR="00E21835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539" w:type="dxa"/>
            <w:hideMark/>
          </w:tcPr>
          <w:p w14:paraId="7DFC2CB8" w14:textId="77777777" w:rsidR="00E21835" w:rsidRPr="00F303A7" w:rsidRDefault="00E21835" w:rsidP="0003522F">
            <w:pPr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4E4C9471" w14:textId="77777777" w:rsidR="00E21835" w:rsidRPr="00F303A7" w:rsidRDefault="00E21835" w:rsidP="0003522F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6AE787CB" w14:textId="77777777" w:rsidR="00E21835" w:rsidRPr="00F303A7" w:rsidRDefault="00E21835" w:rsidP="0003522F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4F51614B" w14:textId="77777777" w:rsidR="00E21835" w:rsidRPr="00F303A7" w:rsidRDefault="00E21835" w:rsidP="0003522F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000E5F7A" w14:textId="77777777" w:rsidR="00E21835" w:rsidRPr="00F303A7" w:rsidRDefault="00901FFC" w:rsidP="0003522F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E21835" w:rsidRPr="00F303A7">
                <w:rPr>
                  <w:color w:val="595959" w:themeColor="text1" w:themeTint="A6"/>
                  <w:sz w:val="18"/>
                  <w:szCs w:val="18"/>
                </w:rPr>
                <w:t>Diana.Borowiecka@big.pl</w:t>
              </w:r>
            </w:hyperlink>
            <w:r w:rsidR="00E21835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23934695" w14:textId="77777777" w:rsidR="00AD0EE1" w:rsidRDefault="00901FFC" w:rsidP="0003522F">
      <w:pPr>
        <w:jc w:val="both"/>
      </w:pPr>
    </w:p>
    <w:sectPr w:rsidR="00AD0EE1" w:rsidSect="005419B6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BCDA" w14:textId="77777777" w:rsidR="00901FFC" w:rsidRDefault="00901FFC" w:rsidP="00E21835">
      <w:r>
        <w:separator/>
      </w:r>
    </w:p>
  </w:endnote>
  <w:endnote w:type="continuationSeparator" w:id="0">
    <w:p w14:paraId="3474BFB8" w14:textId="77777777" w:rsidR="00901FFC" w:rsidRDefault="00901FFC" w:rsidP="00E2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E44" w14:textId="77777777" w:rsidR="005419B6" w:rsidRDefault="00A624B8" w:rsidP="00541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07166" w14:textId="77777777" w:rsidR="005419B6" w:rsidRDefault="00901FFC" w:rsidP="005419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0A69" w14:textId="77777777" w:rsidR="005419B6" w:rsidRDefault="00A624B8" w:rsidP="00541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2A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77F33F0" w14:textId="77777777" w:rsidR="005419B6" w:rsidRPr="00D94BC7" w:rsidRDefault="00901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06CA" w14:textId="77777777" w:rsidR="00901FFC" w:rsidRDefault="00901FFC" w:rsidP="00E21835">
      <w:r>
        <w:separator/>
      </w:r>
    </w:p>
  </w:footnote>
  <w:footnote w:type="continuationSeparator" w:id="0">
    <w:p w14:paraId="2DFF1C6C" w14:textId="77777777" w:rsidR="00901FFC" w:rsidRDefault="00901FFC" w:rsidP="00E2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A2D6" w14:textId="77777777" w:rsidR="005419B6" w:rsidRDefault="00A624B8" w:rsidP="007348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47B785" wp14:editId="4E580F3B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637A3" w14:textId="77777777" w:rsidR="009E6193" w:rsidRDefault="00A624B8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  <w:r>
      <w:rPr>
        <w:b/>
        <w:sz w:val="24"/>
      </w:rPr>
      <w:t xml:space="preserve"> </w:t>
    </w:r>
  </w:p>
  <w:p w14:paraId="32014893" w14:textId="77777777" w:rsidR="005419B6" w:rsidRPr="00695EB6" w:rsidRDefault="005115D4">
    <w:pPr>
      <w:pStyle w:val="Nagwek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         </w:t>
    </w:r>
    <w:r>
      <w:rPr>
        <w:b/>
        <w:noProof/>
        <w:sz w:val="24"/>
        <w:lang w:eastAsia="pl-PL"/>
      </w:rPr>
      <w:t xml:space="preserve">  </w:t>
    </w:r>
    <w:r w:rsidR="00A624B8">
      <w:rPr>
        <w:b/>
        <w:noProof/>
        <w:sz w:val="24"/>
        <w:lang w:eastAsia="pl-PL"/>
      </w:rPr>
      <w:t xml:space="preserve"> </w:t>
    </w:r>
    <w:r w:rsidR="00A624B8">
      <w:rPr>
        <w:b/>
        <w:noProof/>
        <w:sz w:val="24"/>
        <w:lang w:eastAsia="pl-PL"/>
      </w:rPr>
      <w:drawing>
        <wp:inline distT="0" distB="0" distL="0" distR="0" wp14:anchorId="234D20D4" wp14:editId="60F1290D">
          <wp:extent cx="114617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35"/>
    <w:rsid w:val="000262DA"/>
    <w:rsid w:val="000275D2"/>
    <w:rsid w:val="0003522F"/>
    <w:rsid w:val="00042822"/>
    <w:rsid w:val="00044FDA"/>
    <w:rsid w:val="00087681"/>
    <w:rsid w:val="00095856"/>
    <w:rsid w:val="000B6DE8"/>
    <w:rsid w:val="000D0867"/>
    <w:rsid w:val="000D42A7"/>
    <w:rsid w:val="000F7D11"/>
    <w:rsid w:val="0012352A"/>
    <w:rsid w:val="0012579D"/>
    <w:rsid w:val="00143E0D"/>
    <w:rsid w:val="0014536D"/>
    <w:rsid w:val="001B253A"/>
    <w:rsid w:val="001E59D5"/>
    <w:rsid w:val="00213D86"/>
    <w:rsid w:val="0021610C"/>
    <w:rsid w:val="00241260"/>
    <w:rsid w:val="002448FD"/>
    <w:rsid w:val="002524F8"/>
    <w:rsid w:val="002568FC"/>
    <w:rsid w:val="002668C4"/>
    <w:rsid w:val="002912AD"/>
    <w:rsid w:val="002964B3"/>
    <w:rsid w:val="00296E10"/>
    <w:rsid w:val="002A1411"/>
    <w:rsid w:val="002A16CB"/>
    <w:rsid w:val="002A73E0"/>
    <w:rsid w:val="002D6CEC"/>
    <w:rsid w:val="002E0FF5"/>
    <w:rsid w:val="002F71E3"/>
    <w:rsid w:val="003125A8"/>
    <w:rsid w:val="003542CF"/>
    <w:rsid w:val="003608BE"/>
    <w:rsid w:val="00377C85"/>
    <w:rsid w:val="003837F3"/>
    <w:rsid w:val="00387463"/>
    <w:rsid w:val="003B44CF"/>
    <w:rsid w:val="003D5020"/>
    <w:rsid w:val="0043602F"/>
    <w:rsid w:val="00453036"/>
    <w:rsid w:val="00483311"/>
    <w:rsid w:val="00490B19"/>
    <w:rsid w:val="004933C9"/>
    <w:rsid w:val="0049637B"/>
    <w:rsid w:val="004F04D8"/>
    <w:rsid w:val="005113DB"/>
    <w:rsid w:val="005115D4"/>
    <w:rsid w:val="00512257"/>
    <w:rsid w:val="00536EBA"/>
    <w:rsid w:val="00557923"/>
    <w:rsid w:val="0056142E"/>
    <w:rsid w:val="00562BE9"/>
    <w:rsid w:val="00563C9A"/>
    <w:rsid w:val="005664E1"/>
    <w:rsid w:val="00575186"/>
    <w:rsid w:val="005C05C7"/>
    <w:rsid w:val="005F0BC5"/>
    <w:rsid w:val="005F13FF"/>
    <w:rsid w:val="0061577A"/>
    <w:rsid w:val="006A2849"/>
    <w:rsid w:val="006A31CC"/>
    <w:rsid w:val="006D6F87"/>
    <w:rsid w:val="006E3AA0"/>
    <w:rsid w:val="00722CCB"/>
    <w:rsid w:val="00723916"/>
    <w:rsid w:val="007253B6"/>
    <w:rsid w:val="00725D4B"/>
    <w:rsid w:val="00775499"/>
    <w:rsid w:val="00791DAD"/>
    <w:rsid w:val="007F0A62"/>
    <w:rsid w:val="0081628B"/>
    <w:rsid w:val="00837F44"/>
    <w:rsid w:val="008517F5"/>
    <w:rsid w:val="008572EB"/>
    <w:rsid w:val="0087685C"/>
    <w:rsid w:val="00891E25"/>
    <w:rsid w:val="008F0AF0"/>
    <w:rsid w:val="00901FFC"/>
    <w:rsid w:val="009024C0"/>
    <w:rsid w:val="009176CB"/>
    <w:rsid w:val="0094749B"/>
    <w:rsid w:val="00967A1A"/>
    <w:rsid w:val="00973772"/>
    <w:rsid w:val="00995A56"/>
    <w:rsid w:val="009C516D"/>
    <w:rsid w:val="009C5726"/>
    <w:rsid w:val="009C5A07"/>
    <w:rsid w:val="009E71B6"/>
    <w:rsid w:val="009F7BCA"/>
    <w:rsid w:val="00A053B8"/>
    <w:rsid w:val="00A624B8"/>
    <w:rsid w:val="00A647B9"/>
    <w:rsid w:val="00A702DF"/>
    <w:rsid w:val="00A77CEC"/>
    <w:rsid w:val="00AA1BE7"/>
    <w:rsid w:val="00AB3CB6"/>
    <w:rsid w:val="00AD0C82"/>
    <w:rsid w:val="00AE4895"/>
    <w:rsid w:val="00AE5A32"/>
    <w:rsid w:val="00B07681"/>
    <w:rsid w:val="00B10681"/>
    <w:rsid w:val="00B30C91"/>
    <w:rsid w:val="00B46A52"/>
    <w:rsid w:val="00B57AFD"/>
    <w:rsid w:val="00B62507"/>
    <w:rsid w:val="00B643BB"/>
    <w:rsid w:val="00B65230"/>
    <w:rsid w:val="00BA15BC"/>
    <w:rsid w:val="00BA78C0"/>
    <w:rsid w:val="00BD58A6"/>
    <w:rsid w:val="00BD7273"/>
    <w:rsid w:val="00BD79F1"/>
    <w:rsid w:val="00C07674"/>
    <w:rsid w:val="00C110F7"/>
    <w:rsid w:val="00C34457"/>
    <w:rsid w:val="00C47B9F"/>
    <w:rsid w:val="00C7098A"/>
    <w:rsid w:val="00C938C1"/>
    <w:rsid w:val="00CE41B0"/>
    <w:rsid w:val="00CE6A3D"/>
    <w:rsid w:val="00CF6534"/>
    <w:rsid w:val="00CF709C"/>
    <w:rsid w:val="00D14AE9"/>
    <w:rsid w:val="00D24844"/>
    <w:rsid w:val="00DA2979"/>
    <w:rsid w:val="00DD0A6A"/>
    <w:rsid w:val="00DF77EA"/>
    <w:rsid w:val="00E21835"/>
    <w:rsid w:val="00E260DA"/>
    <w:rsid w:val="00E31475"/>
    <w:rsid w:val="00E31487"/>
    <w:rsid w:val="00E464CB"/>
    <w:rsid w:val="00E63C57"/>
    <w:rsid w:val="00E6469F"/>
    <w:rsid w:val="00E9136B"/>
    <w:rsid w:val="00EC5ACD"/>
    <w:rsid w:val="00EE59E7"/>
    <w:rsid w:val="00F069DB"/>
    <w:rsid w:val="00F305B5"/>
    <w:rsid w:val="00F31DEA"/>
    <w:rsid w:val="00F53032"/>
    <w:rsid w:val="00F63811"/>
    <w:rsid w:val="00FD082D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37A3"/>
  <w15:chartTrackingRefBased/>
  <w15:docId w15:val="{38258E99-829C-49AD-8A2F-2C462DE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35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183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21835"/>
  </w:style>
  <w:style w:type="paragraph" w:styleId="Stopka">
    <w:name w:val="footer"/>
    <w:basedOn w:val="Normalny"/>
    <w:link w:val="StopkaZnak"/>
    <w:unhideWhenUsed/>
    <w:rsid w:val="00E2183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21835"/>
  </w:style>
  <w:style w:type="character" w:styleId="Numerstrony">
    <w:name w:val="page number"/>
    <w:basedOn w:val="Domylnaczcionkaakapitu"/>
    <w:rsid w:val="00E21835"/>
  </w:style>
  <w:style w:type="character" w:styleId="Odwoaniedokomentarza">
    <w:name w:val="annotation reference"/>
    <w:basedOn w:val="Domylnaczcionkaakapitu"/>
    <w:uiPriority w:val="99"/>
    <w:semiHidden/>
    <w:unhideWhenUsed/>
    <w:rsid w:val="00E21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8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835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835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83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21835"/>
    <w:rPr>
      <w:color w:val="0000FF"/>
      <w:u w:val="single"/>
    </w:rPr>
  </w:style>
  <w:style w:type="paragraph" w:customStyle="1" w:styleId="go">
    <w:name w:val="go"/>
    <w:basedOn w:val="Normalny"/>
    <w:rsid w:val="00E2183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3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6250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B8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42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Borowiecka@b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alina.Kochalska@big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702887833465261"/>
          <c:y val="0.12244834244031083"/>
          <c:w val="0.76297112166534742"/>
          <c:h val="0.869777159626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Zdarzyło mi się, robię to częściej niż przed pandemią</c:v>
                </c:pt>
              </c:strCache>
            </c:strRef>
          </c:tx>
          <c:spPr>
            <a:solidFill>
              <a:srgbClr val="063B6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Arkusz1!$A$2:$A$15</c:f>
              <c:strCache>
                <c:ptCount val="14"/>
                <c:pt idx="0">
                  <c:v>Spotkania ze znajomymi </c:v>
                </c:pt>
                <c:pt idx="1">
                  <c:v>Wizyta w galerii handlowej </c:v>
                </c:pt>
                <c:pt idx="2">
                  <c:v>Wizyta u fryzjera </c:v>
                </c:pt>
                <c:pt idx="3">
                  <c:v>Wyjście do restauracji</c:v>
                </c:pt>
                <c:pt idx="4">
                  <c:v>Przejazd komunikacją miejską</c:v>
                </c:pt>
                <c:pt idx="5">
                  <c:v>Wizyta u lekarza </c:v>
                </c:pt>
                <c:pt idx="6">
                  <c:v>Wyjście do kościoła</c:v>
                </c:pt>
                <c:pt idx="7">
                  <c:v>Wizyta u dentysty</c:v>
                </c:pt>
                <c:pt idx="8">
                  <c:v>wyjście do kina/ teatru </c:v>
                </c:pt>
                <c:pt idx="9">
                  <c:v>Wizyta u kosmetyczki</c:v>
                </c:pt>
                <c:pt idx="10">
                  <c:v>wyjście na basen </c:v>
                </c:pt>
                <c:pt idx="11">
                  <c:v>wyjście na siłownię </c:v>
                </c:pt>
                <c:pt idx="12">
                  <c:v>Skorzystanie z zabiegów rehabilitacyjnych</c:v>
                </c:pt>
                <c:pt idx="13">
                  <c:v>Skorzystanie z usług prawnych</c:v>
                </c:pt>
              </c:strCache>
            </c:strRef>
          </c:cat>
          <c:val>
            <c:numRef>
              <c:f>Arkusz1!$B$2:$B$15</c:f>
              <c:numCache>
                <c:formatCode>0%</c:formatCode>
                <c:ptCount val="14"/>
                <c:pt idx="0">
                  <c:v>7.1428571428571425E-2</c:v>
                </c:pt>
                <c:pt idx="1">
                  <c:v>6.25E-2</c:v>
                </c:pt>
                <c:pt idx="2">
                  <c:v>4.3956043956043959E-2</c:v>
                </c:pt>
                <c:pt idx="3">
                  <c:v>4.4444444444444446E-2</c:v>
                </c:pt>
                <c:pt idx="4">
                  <c:v>5.6818181818181816E-2</c:v>
                </c:pt>
                <c:pt idx="5">
                  <c:v>4.2105263157894736E-2</c:v>
                </c:pt>
                <c:pt idx="6">
                  <c:v>4.9382716049382713E-2</c:v>
                </c:pt>
                <c:pt idx="7">
                  <c:v>4.3010752688172046E-2</c:v>
                </c:pt>
                <c:pt idx="8">
                  <c:v>3.3707865168539325E-2</c:v>
                </c:pt>
                <c:pt idx="9">
                  <c:v>4.2253521126760563E-2</c:v>
                </c:pt>
                <c:pt idx="10">
                  <c:v>3.8461538461538464E-2</c:v>
                </c:pt>
                <c:pt idx="11">
                  <c:v>4.2857142857142858E-2</c:v>
                </c:pt>
                <c:pt idx="12">
                  <c:v>5.4794520547945202E-2</c:v>
                </c:pt>
                <c:pt idx="13">
                  <c:v>4.2253521126760563E-2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BF-4BCE-9357-BD570D3F49A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Zdarzyło mi się, robię to tak samo często jak przed pandemią</c:v>
                </c:pt>
              </c:strCache>
            </c:strRef>
          </c:tx>
          <c:spPr>
            <a:solidFill>
              <a:srgbClr val="0099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Arkusz1!$A$2:$A$15</c:f>
              <c:strCache>
                <c:ptCount val="14"/>
                <c:pt idx="0">
                  <c:v>Spotkania ze znajomymi </c:v>
                </c:pt>
                <c:pt idx="1">
                  <c:v>Wizyta w galerii handlowej </c:v>
                </c:pt>
                <c:pt idx="2">
                  <c:v>Wizyta u fryzjera </c:v>
                </c:pt>
                <c:pt idx="3">
                  <c:v>Wyjście do restauracji</c:v>
                </c:pt>
                <c:pt idx="4">
                  <c:v>Przejazd komunikacją miejską</c:v>
                </c:pt>
                <c:pt idx="5">
                  <c:v>Wizyta u lekarza </c:v>
                </c:pt>
                <c:pt idx="6">
                  <c:v>Wyjście do kościoła</c:v>
                </c:pt>
                <c:pt idx="7">
                  <c:v>Wizyta u dentysty</c:v>
                </c:pt>
                <c:pt idx="8">
                  <c:v>wyjście do kina/ teatru </c:v>
                </c:pt>
                <c:pt idx="9">
                  <c:v>Wizyta u kosmetyczki</c:v>
                </c:pt>
                <c:pt idx="10">
                  <c:v>wyjście na basen </c:v>
                </c:pt>
                <c:pt idx="11">
                  <c:v>wyjście na siłownię </c:v>
                </c:pt>
                <c:pt idx="12">
                  <c:v>Skorzystanie z zabiegów rehabilitacyjnych</c:v>
                </c:pt>
                <c:pt idx="13">
                  <c:v>Skorzystanie z usług prawnych</c:v>
                </c:pt>
              </c:strCache>
            </c:strRef>
          </c:cat>
          <c:val>
            <c:numRef>
              <c:f>Arkusz1!$C$2:$C$15</c:f>
              <c:numCache>
                <c:formatCode>0%</c:formatCode>
                <c:ptCount val="14"/>
                <c:pt idx="0">
                  <c:v>0.37755102040816324</c:v>
                </c:pt>
                <c:pt idx="1">
                  <c:v>0.32291666666666669</c:v>
                </c:pt>
                <c:pt idx="2">
                  <c:v>0.37362637362637363</c:v>
                </c:pt>
                <c:pt idx="3">
                  <c:v>0.24444444444444444</c:v>
                </c:pt>
                <c:pt idx="4">
                  <c:v>0.29545454545454547</c:v>
                </c:pt>
                <c:pt idx="5">
                  <c:v>0.26315789473684209</c:v>
                </c:pt>
                <c:pt idx="6">
                  <c:v>0.33333333333333331</c:v>
                </c:pt>
                <c:pt idx="7">
                  <c:v>0.24731182795698925</c:v>
                </c:pt>
                <c:pt idx="8">
                  <c:v>0.14606741573033707</c:v>
                </c:pt>
                <c:pt idx="9">
                  <c:v>0.21126760563380281</c:v>
                </c:pt>
                <c:pt idx="10">
                  <c:v>0.16666666666666666</c:v>
                </c:pt>
                <c:pt idx="11">
                  <c:v>0.2</c:v>
                </c:pt>
                <c:pt idx="12">
                  <c:v>0.19178082191780821</c:v>
                </c:pt>
                <c:pt idx="13">
                  <c:v>0.18309859154929578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BF-4BCE-9357-BD570D3F49A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Zdarzyło mi się, robię to rzadziej niż przed pandemią</c:v>
                </c:pt>
              </c:strCache>
            </c:strRef>
          </c:tx>
          <c:spPr>
            <a:solidFill>
              <a:schemeClr val="accent4"/>
            </a:solidFill>
            <a:ln w="19050" cap="flat" cmpd="sng" algn="ctr">
              <a:solidFill>
                <a:schemeClr val="l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Arkusz1!$A$2:$A$15</c:f>
              <c:strCache>
                <c:ptCount val="14"/>
                <c:pt idx="0">
                  <c:v>Spotkania ze znajomymi </c:v>
                </c:pt>
                <c:pt idx="1">
                  <c:v>Wizyta w galerii handlowej </c:v>
                </c:pt>
                <c:pt idx="2">
                  <c:v>Wizyta u fryzjera </c:v>
                </c:pt>
                <c:pt idx="3">
                  <c:v>Wyjście do restauracji</c:v>
                </c:pt>
                <c:pt idx="4">
                  <c:v>Przejazd komunikacją miejską</c:v>
                </c:pt>
                <c:pt idx="5">
                  <c:v>Wizyta u lekarza </c:v>
                </c:pt>
                <c:pt idx="6">
                  <c:v>Wyjście do kościoła</c:v>
                </c:pt>
                <c:pt idx="7">
                  <c:v>Wizyta u dentysty</c:v>
                </c:pt>
                <c:pt idx="8">
                  <c:v>wyjście do kina/ teatru </c:v>
                </c:pt>
                <c:pt idx="9">
                  <c:v>Wizyta u kosmetyczki</c:v>
                </c:pt>
                <c:pt idx="10">
                  <c:v>wyjście na basen </c:v>
                </c:pt>
                <c:pt idx="11">
                  <c:v>wyjście na siłownię </c:v>
                </c:pt>
                <c:pt idx="12">
                  <c:v>Skorzystanie z zabiegów rehabilitacyjnych</c:v>
                </c:pt>
                <c:pt idx="13">
                  <c:v>Skorzystanie z usług prawnych</c:v>
                </c:pt>
              </c:strCache>
            </c:strRef>
          </c:cat>
          <c:val>
            <c:numRef>
              <c:f>Arkusz1!$D$2:$D$15</c:f>
              <c:numCache>
                <c:formatCode>0%</c:formatCode>
                <c:ptCount val="14"/>
                <c:pt idx="0">
                  <c:v>0.45918367346938777</c:v>
                </c:pt>
                <c:pt idx="1">
                  <c:v>0.46875</c:v>
                </c:pt>
                <c:pt idx="2">
                  <c:v>0.37362637362637363</c:v>
                </c:pt>
                <c:pt idx="3">
                  <c:v>0.45555555555555555</c:v>
                </c:pt>
                <c:pt idx="4">
                  <c:v>0.39772727272727271</c:v>
                </c:pt>
                <c:pt idx="5">
                  <c:v>0.38947368421052631</c:v>
                </c:pt>
                <c:pt idx="6">
                  <c:v>0.35802469135802467</c:v>
                </c:pt>
                <c:pt idx="7">
                  <c:v>0.30107526881720431</c:v>
                </c:pt>
                <c:pt idx="8">
                  <c:v>0.34831460674157305</c:v>
                </c:pt>
                <c:pt idx="9">
                  <c:v>0.38028169014084506</c:v>
                </c:pt>
                <c:pt idx="10">
                  <c:v>0.35897435897435898</c:v>
                </c:pt>
                <c:pt idx="11">
                  <c:v>0.35714285714285715</c:v>
                </c:pt>
                <c:pt idx="12">
                  <c:v>0.32876712328767121</c:v>
                </c:pt>
                <c:pt idx="13">
                  <c:v>0.3380281690140845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BF-4BCE-9357-BD570D3F49A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zdarzyło mi się tego robić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Arkusz1!$A$2:$A$15</c:f>
              <c:strCache>
                <c:ptCount val="14"/>
                <c:pt idx="0">
                  <c:v>Spotkania ze znajomymi </c:v>
                </c:pt>
                <c:pt idx="1">
                  <c:v>Wizyta w galerii handlowej </c:v>
                </c:pt>
                <c:pt idx="2">
                  <c:v>Wizyta u fryzjera </c:v>
                </c:pt>
                <c:pt idx="3">
                  <c:v>Wyjście do restauracji</c:v>
                </c:pt>
                <c:pt idx="4">
                  <c:v>Przejazd komunikacją miejską</c:v>
                </c:pt>
                <c:pt idx="5">
                  <c:v>Wizyta u lekarza </c:v>
                </c:pt>
                <c:pt idx="6">
                  <c:v>Wyjście do kościoła</c:v>
                </c:pt>
                <c:pt idx="7">
                  <c:v>Wizyta u dentysty</c:v>
                </c:pt>
                <c:pt idx="8">
                  <c:v>wyjście do kina/ teatru </c:v>
                </c:pt>
                <c:pt idx="9">
                  <c:v>Wizyta u kosmetyczki</c:v>
                </c:pt>
                <c:pt idx="10">
                  <c:v>wyjście na basen </c:v>
                </c:pt>
                <c:pt idx="11">
                  <c:v>wyjście na siłownię </c:v>
                </c:pt>
                <c:pt idx="12">
                  <c:v>Skorzystanie z zabiegów rehabilitacyjnych</c:v>
                </c:pt>
                <c:pt idx="13">
                  <c:v>Skorzystanie z usług prawnych</c:v>
                </c:pt>
              </c:strCache>
            </c:strRef>
          </c:cat>
          <c:val>
            <c:numRef>
              <c:f>Arkusz1!$E$2:$E$15</c:f>
              <c:numCache>
                <c:formatCode>0%</c:formatCode>
                <c:ptCount val="14"/>
                <c:pt idx="0">
                  <c:v>9.1836734693877556E-2</c:v>
                </c:pt>
                <c:pt idx="1">
                  <c:v>0.14583333333333334</c:v>
                </c:pt>
                <c:pt idx="2">
                  <c:v>0.2087912087912088</c:v>
                </c:pt>
                <c:pt idx="3">
                  <c:v>0.25555555555555554</c:v>
                </c:pt>
                <c:pt idx="4">
                  <c:v>0.25</c:v>
                </c:pt>
                <c:pt idx="5">
                  <c:v>0.30526315789473685</c:v>
                </c:pt>
                <c:pt idx="6">
                  <c:v>0.25925925925925924</c:v>
                </c:pt>
                <c:pt idx="7">
                  <c:v>0.40860215053763443</c:v>
                </c:pt>
                <c:pt idx="8">
                  <c:v>0.47191011235955055</c:v>
                </c:pt>
                <c:pt idx="9">
                  <c:v>0.36619718309859156</c:v>
                </c:pt>
                <c:pt idx="10">
                  <c:v>0.4358974358974359</c:v>
                </c:pt>
                <c:pt idx="11">
                  <c:v>0.4</c:v>
                </c:pt>
                <c:pt idx="12">
                  <c:v>0.42465753424657532</c:v>
                </c:pt>
                <c:pt idx="13">
                  <c:v>0.43661971830985913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BF-4BCE-9357-BD570D3F4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100"/>
        <c:axId val="517282192"/>
        <c:axId val="517272784"/>
      </c:barChart>
      <c:catAx>
        <c:axId val="5172821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7272784"/>
        <c:crosses val="autoZero"/>
        <c:auto val="1"/>
        <c:lblAlgn val="ctr"/>
        <c:lblOffset val="100"/>
        <c:noMultiLvlLbl val="0"/>
      </c:catAx>
      <c:valAx>
        <c:axId val="51727278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51728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0932487605715942E-2"/>
          <c:y val="1.1661746899077223E-2"/>
          <c:w val="0.97624793428599199"/>
          <c:h val="7.1861153588573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44254884806062"/>
          <c:y val="0.12244834244031083"/>
          <c:w val="0.79002485800386058"/>
          <c:h val="0.869777159626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Zmieniła na lepsze</c:v>
                </c:pt>
              </c:strCache>
            </c:strRef>
          </c:tx>
          <c:spPr>
            <a:solidFill>
              <a:srgbClr val="063B6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Czas dla rodziny \ siebie</c:v>
                </c:pt>
                <c:pt idx="1">
                  <c:v>Relacje rodzinne</c:v>
                </c:pt>
                <c:pt idx="2">
                  <c:v>Praca z domu</c:v>
                </c:pt>
                <c:pt idx="3">
                  <c:v>Oszczędności</c:v>
                </c:pt>
                <c:pt idx="4">
                  <c:v>Wydatki codzienne</c:v>
                </c:pt>
                <c:pt idx="5">
                  <c:v>Nauczanie domowe</c:v>
                </c:pt>
                <c:pt idx="6">
                  <c:v>Relacje w pracy</c:v>
                </c:pt>
                <c:pt idx="7">
                  <c:v>Poszukiwania pracy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0.55000000000000004</c:v>
                </c:pt>
                <c:pt idx="1">
                  <c:v>0.45</c:v>
                </c:pt>
                <c:pt idx="2">
                  <c:v>0.24</c:v>
                </c:pt>
                <c:pt idx="3">
                  <c:v>0.18</c:v>
                </c:pt>
                <c:pt idx="4">
                  <c:v>0.17</c:v>
                </c:pt>
                <c:pt idx="5">
                  <c:v>0.14000000000000001</c:v>
                </c:pt>
                <c:pt idx="6">
                  <c:v>0.13</c:v>
                </c:pt>
                <c:pt idx="7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CD-4D85-A6DC-160EF695B05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Zmieniła na gorsze</c:v>
                </c:pt>
              </c:strCache>
            </c:strRef>
          </c:tx>
          <c:spPr>
            <a:solidFill>
              <a:srgbClr val="0099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Czas dla rodziny \ siebie</c:v>
                </c:pt>
                <c:pt idx="1">
                  <c:v>Relacje rodzinne</c:v>
                </c:pt>
                <c:pt idx="2">
                  <c:v>Praca z domu</c:v>
                </c:pt>
                <c:pt idx="3">
                  <c:v>Oszczędności</c:v>
                </c:pt>
                <c:pt idx="4">
                  <c:v>Wydatki codzienne</c:v>
                </c:pt>
                <c:pt idx="5">
                  <c:v>Nauczanie domowe</c:v>
                </c:pt>
                <c:pt idx="6">
                  <c:v>Relacje w pracy</c:v>
                </c:pt>
                <c:pt idx="7">
                  <c:v>Poszukiwania pracy</c:v>
                </c:pt>
              </c:strCache>
            </c:strRef>
          </c:cat>
          <c:val>
            <c:numRef>
              <c:f>Arkusz1!$C$2:$C$9</c:f>
              <c:numCache>
                <c:formatCode>0%</c:formatCode>
                <c:ptCount val="8"/>
                <c:pt idx="0">
                  <c:v>0.14000000000000001</c:v>
                </c:pt>
                <c:pt idx="1">
                  <c:v>0.18</c:v>
                </c:pt>
                <c:pt idx="2">
                  <c:v>0.14000000000000001</c:v>
                </c:pt>
                <c:pt idx="3">
                  <c:v>0.47</c:v>
                </c:pt>
                <c:pt idx="4">
                  <c:v>0.52</c:v>
                </c:pt>
                <c:pt idx="5">
                  <c:v>0.27</c:v>
                </c:pt>
                <c:pt idx="6">
                  <c:v>0.2</c:v>
                </c:pt>
                <c:pt idx="7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CD-4D85-A6DC-160EF695B05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wiem, trudno powiedzieć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Czas dla rodziny \ siebie</c:v>
                </c:pt>
                <c:pt idx="1">
                  <c:v>Relacje rodzinne</c:v>
                </c:pt>
                <c:pt idx="2">
                  <c:v>Praca z domu</c:v>
                </c:pt>
                <c:pt idx="3">
                  <c:v>Oszczędności</c:v>
                </c:pt>
                <c:pt idx="4">
                  <c:v>Wydatki codzienne</c:v>
                </c:pt>
                <c:pt idx="5">
                  <c:v>Nauczanie domowe</c:v>
                </c:pt>
                <c:pt idx="6">
                  <c:v>Relacje w pracy</c:v>
                </c:pt>
                <c:pt idx="7">
                  <c:v>Poszukiwania pracy</c:v>
                </c:pt>
              </c:strCache>
            </c:strRef>
          </c:cat>
          <c:val>
            <c:numRef>
              <c:f>Arkusz1!$D$2:$D$9</c:f>
              <c:numCache>
                <c:formatCode>0%</c:formatCode>
                <c:ptCount val="8"/>
                <c:pt idx="0">
                  <c:v>0.27</c:v>
                </c:pt>
                <c:pt idx="1">
                  <c:v>0.33</c:v>
                </c:pt>
                <c:pt idx="2">
                  <c:v>0.28000000000000003</c:v>
                </c:pt>
                <c:pt idx="3">
                  <c:v>0.26</c:v>
                </c:pt>
                <c:pt idx="4">
                  <c:v>0.28000000000000003</c:v>
                </c:pt>
                <c:pt idx="5">
                  <c:v>0.22</c:v>
                </c:pt>
                <c:pt idx="6">
                  <c:v>0.38</c:v>
                </c:pt>
                <c:pt idx="7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CD-4D85-A6DC-160EF695B05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dotyczy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Czas dla rodziny \ siebie</c:v>
                </c:pt>
                <c:pt idx="1">
                  <c:v>Relacje rodzinne</c:v>
                </c:pt>
                <c:pt idx="2">
                  <c:v>Praca z domu</c:v>
                </c:pt>
                <c:pt idx="3">
                  <c:v>Oszczędności</c:v>
                </c:pt>
                <c:pt idx="4">
                  <c:v>Wydatki codzienne</c:v>
                </c:pt>
                <c:pt idx="5">
                  <c:v>Nauczanie domowe</c:v>
                </c:pt>
                <c:pt idx="6">
                  <c:v>Relacje w pracy</c:v>
                </c:pt>
                <c:pt idx="7">
                  <c:v>Poszukiwania pracy</c:v>
                </c:pt>
              </c:strCache>
            </c:strRef>
          </c:cat>
          <c:val>
            <c:numRef>
              <c:f>Arkusz1!$E$2:$E$9</c:f>
              <c:numCache>
                <c:formatCode>0%</c:formatCode>
                <c:ptCount val="8"/>
                <c:pt idx="0">
                  <c:v>0.04</c:v>
                </c:pt>
                <c:pt idx="1">
                  <c:v>0.04</c:v>
                </c:pt>
                <c:pt idx="2">
                  <c:v>0.34</c:v>
                </c:pt>
                <c:pt idx="3">
                  <c:v>0.08</c:v>
                </c:pt>
                <c:pt idx="4">
                  <c:v>0.03</c:v>
                </c:pt>
                <c:pt idx="5">
                  <c:v>0.38</c:v>
                </c:pt>
                <c:pt idx="6">
                  <c:v>0.28999999999999998</c:v>
                </c:pt>
                <c:pt idx="7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CD-4D85-A6DC-160EF695B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517283368"/>
        <c:axId val="517278272"/>
      </c:barChart>
      <c:catAx>
        <c:axId val="5172833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7278272"/>
        <c:crosses val="autoZero"/>
        <c:auto val="1"/>
        <c:lblAlgn val="ctr"/>
        <c:lblOffset val="100"/>
        <c:noMultiLvlLbl val="0"/>
      </c:catAx>
      <c:valAx>
        <c:axId val="51727827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517283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391308725298226"/>
          <c:y val="2.1631954530110457E-2"/>
          <c:w val="0.65437848114469799"/>
          <c:h val="7.1861153588573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F487-1009-4040-838E-56B08221AF2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7717C1-0175-46CF-9545-E744046D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4</cp:revision>
  <dcterms:created xsi:type="dcterms:W3CDTF">2020-09-23T07:43:00Z</dcterms:created>
  <dcterms:modified xsi:type="dcterms:W3CDTF">2020-09-24T04:53:00Z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35a157ce-fb1c-43c0-a94c-418dfd4acec4</vt:lpwstr>
  </property>
  <property fmtid="{D5CDD505-2E9C-101B-9397-08002B2CF9AE}" pid="3" name="bjSaver">
    <vt:lpwstr>6ntNSksSHiginG8KZDJKRJ7O3fVY3zq8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