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02" w:rsidRPr="00FE3F9C" w:rsidRDefault="00953902">
      <w:pPr>
        <w:pStyle w:val="BodyText"/>
        <w:rPr>
          <w:rFonts w:ascii="Palatino Linotype"/>
          <w:i/>
          <w:sz w:val="20"/>
          <w:lang w:val="pl-PL"/>
        </w:rPr>
      </w:pPr>
    </w:p>
    <w:p w:rsidR="00953902" w:rsidRPr="00FE3F9C" w:rsidRDefault="00953902">
      <w:pPr>
        <w:pStyle w:val="BodyText"/>
        <w:spacing w:before="4"/>
        <w:rPr>
          <w:rFonts w:ascii="Palatino Linotype"/>
          <w:i/>
          <w:sz w:val="27"/>
          <w:lang w:val="pl-PL"/>
        </w:rPr>
      </w:pPr>
    </w:p>
    <w:p w:rsidR="00196AF1" w:rsidRDefault="007933F4" w:rsidP="00196AF1">
      <w:pPr>
        <w:spacing w:before="43" w:line="290" w:lineRule="auto"/>
        <w:ind w:left="195"/>
        <w:jc w:val="center"/>
        <w:rPr>
          <w:rFonts w:asciiTheme="minorHAnsi" w:hAnsiTheme="minorHAnsi" w:cstheme="minorHAnsi"/>
          <w:b/>
          <w:bCs/>
          <w:sz w:val="32"/>
          <w:lang w:val="pl"/>
        </w:rPr>
      </w:pPr>
      <w:r>
        <w:rPr>
          <w:rFonts w:asciiTheme="minorHAnsi" w:hAnsiTheme="minorHAnsi" w:cstheme="minorHAnsi"/>
          <w:b/>
          <w:bCs/>
          <w:sz w:val="32"/>
          <w:lang w:val="pl"/>
        </w:rPr>
        <w:t>Nowa współpraca</w:t>
      </w:r>
      <w:r w:rsidR="00937EB6" w:rsidRPr="00196AF1">
        <w:rPr>
          <w:rFonts w:asciiTheme="minorHAnsi" w:hAnsiTheme="minorHAnsi" w:cstheme="minorHAnsi"/>
          <w:b/>
          <w:bCs/>
          <w:sz w:val="32"/>
          <w:lang w:val="pl"/>
        </w:rPr>
        <w:t xml:space="preserve"> </w:t>
      </w:r>
      <w:bookmarkStart w:id="0" w:name="_GoBack"/>
      <w:bookmarkEnd w:id="0"/>
      <w:r>
        <w:rPr>
          <w:rFonts w:asciiTheme="minorHAnsi" w:hAnsiTheme="minorHAnsi" w:cstheme="minorHAnsi"/>
          <w:b/>
          <w:bCs/>
          <w:sz w:val="32"/>
          <w:lang w:val="pl"/>
        </w:rPr>
        <w:t>poświęcona leczeniu</w:t>
      </w:r>
      <w:r w:rsidR="00937EB6" w:rsidRPr="00196AF1">
        <w:rPr>
          <w:rFonts w:asciiTheme="minorHAnsi" w:hAnsiTheme="minorHAnsi" w:cstheme="minorHAnsi"/>
          <w:b/>
          <w:bCs/>
          <w:sz w:val="32"/>
          <w:lang w:val="pl"/>
        </w:rPr>
        <w:t xml:space="preserve"> </w:t>
      </w:r>
      <w:r>
        <w:rPr>
          <w:rFonts w:asciiTheme="minorHAnsi" w:hAnsiTheme="minorHAnsi" w:cstheme="minorHAnsi"/>
          <w:b/>
          <w:bCs/>
          <w:sz w:val="32"/>
          <w:lang w:val="pl"/>
        </w:rPr>
        <w:t>doustnemu</w:t>
      </w:r>
      <w:r w:rsidR="007B78B5" w:rsidRPr="00196AF1">
        <w:rPr>
          <w:rFonts w:asciiTheme="minorHAnsi" w:hAnsiTheme="minorHAnsi" w:cstheme="minorHAnsi"/>
          <w:b/>
          <w:bCs/>
          <w:sz w:val="32"/>
          <w:lang w:val="pl"/>
        </w:rPr>
        <w:t xml:space="preserve"> pacjentów z COVID-19</w:t>
      </w:r>
    </w:p>
    <w:p w:rsidR="00196AF1" w:rsidRPr="004E5C58" w:rsidRDefault="00196AF1" w:rsidP="00196AF1">
      <w:pPr>
        <w:spacing w:before="43" w:line="290" w:lineRule="auto"/>
        <w:ind w:left="195"/>
        <w:jc w:val="center"/>
        <w:rPr>
          <w:rFonts w:asciiTheme="minorHAnsi" w:hAnsiTheme="minorHAnsi" w:cstheme="minorHAnsi"/>
          <w:b/>
          <w:bCs/>
          <w:lang w:val="pl"/>
        </w:rPr>
      </w:pPr>
    </w:p>
    <w:p w:rsidR="00937EB6" w:rsidRPr="00196AF1" w:rsidRDefault="00196AF1" w:rsidP="00196AF1">
      <w:pPr>
        <w:pStyle w:val="BodyText"/>
        <w:spacing w:line="280" w:lineRule="auto"/>
        <w:ind w:left="196" w:right="64"/>
        <w:jc w:val="both"/>
        <w:rPr>
          <w:rFonts w:asciiTheme="minorHAnsi" w:hAnsiTheme="minorHAnsi" w:cstheme="minorHAnsi"/>
          <w:b/>
          <w:lang w:val="pl"/>
        </w:rPr>
      </w:pPr>
      <w:r w:rsidRPr="00196AF1">
        <w:rPr>
          <w:rFonts w:asciiTheme="minorHAnsi" w:hAnsiTheme="minorHAnsi" w:cstheme="minorHAnsi"/>
          <w:b/>
          <w:lang w:val="pl"/>
        </w:rPr>
        <w:t xml:space="preserve">Lider biotechnologiczny Roche i </w:t>
      </w:r>
      <w:proofErr w:type="spellStart"/>
      <w:r w:rsidRPr="00196AF1">
        <w:rPr>
          <w:rFonts w:asciiTheme="minorHAnsi" w:hAnsiTheme="minorHAnsi" w:cstheme="minorHAnsi"/>
          <w:b/>
          <w:lang w:val="pl"/>
        </w:rPr>
        <w:t>Atea</w:t>
      </w:r>
      <w:proofErr w:type="spellEnd"/>
      <w:r w:rsidRPr="00196AF1">
        <w:rPr>
          <w:rFonts w:asciiTheme="minorHAnsi" w:hAnsiTheme="minorHAnsi" w:cstheme="minorHAnsi"/>
          <w:b/>
          <w:lang w:val="pl"/>
        </w:rPr>
        <w:t xml:space="preserve"> </w:t>
      </w:r>
      <w:proofErr w:type="spellStart"/>
      <w:r w:rsidRPr="00196AF1">
        <w:rPr>
          <w:rFonts w:asciiTheme="minorHAnsi" w:hAnsiTheme="minorHAnsi" w:cstheme="minorHAnsi"/>
          <w:b/>
          <w:lang w:val="pl"/>
        </w:rPr>
        <w:t>Pharmaceuticals</w:t>
      </w:r>
      <w:proofErr w:type="spellEnd"/>
      <w:r w:rsidRPr="00196AF1">
        <w:rPr>
          <w:rFonts w:asciiTheme="minorHAnsi" w:hAnsiTheme="minorHAnsi" w:cstheme="minorHAnsi"/>
          <w:b/>
          <w:lang w:val="pl"/>
        </w:rPr>
        <w:t xml:space="preserve"> łączą siły w walce przeciwko COVID-19 w zakresie opracowywania, produkcji i dostarczania AT-527 – doustnego, bezpośrednio działającego leku przeciwwirusowego, będącego obecnie na etapie badań. </w:t>
      </w:r>
    </w:p>
    <w:p w:rsidR="00196AF1" w:rsidRPr="00196AF1" w:rsidRDefault="00196AF1" w:rsidP="00196AF1">
      <w:pPr>
        <w:pStyle w:val="BodyText"/>
        <w:spacing w:line="280" w:lineRule="auto"/>
        <w:ind w:left="196" w:right="64"/>
        <w:jc w:val="both"/>
        <w:rPr>
          <w:rFonts w:asciiTheme="minorHAnsi" w:hAnsiTheme="minorHAnsi" w:cstheme="minorHAnsi"/>
          <w:lang w:val="pl"/>
        </w:rPr>
      </w:pPr>
    </w:p>
    <w:p w:rsidR="00953902" w:rsidRPr="00196AF1" w:rsidRDefault="007B78B5" w:rsidP="00937EB6">
      <w:pPr>
        <w:pStyle w:val="Heading1"/>
        <w:numPr>
          <w:ilvl w:val="0"/>
          <w:numId w:val="2"/>
        </w:numPr>
        <w:tabs>
          <w:tab w:val="left" w:pos="916"/>
          <w:tab w:val="left" w:pos="917"/>
        </w:tabs>
        <w:spacing w:line="246" w:lineRule="exact"/>
        <w:ind w:hanging="362"/>
        <w:jc w:val="both"/>
        <w:rPr>
          <w:rFonts w:asciiTheme="minorHAnsi" w:hAnsiTheme="minorHAnsi" w:cstheme="minorHAnsi"/>
          <w:b w:val="0"/>
          <w:lang w:val="pl-PL"/>
        </w:rPr>
      </w:pPr>
      <w:r w:rsidRPr="00196AF1">
        <w:rPr>
          <w:rFonts w:asciiTheme="minorHAnsi" w:hAnsiTheme="minorHAnsi" w:cstheme="minorHAnsi"/>
          <w:b w:val="0"/>
          <w:lang w:val="pl"/>
        </w:rPr>
        <w:t xml:space="preserve">Firmy Roche i </w:t>
      </w:r>
      <w:proofErr w:type="spellStart"/>
      <w:r w:rsidRPr="00196AF1">
        <w:rPr>
          <w:rFonts w:asciiTheme="minorHAnsi" w:hAnsiTheme="minorHAnsi" w:cstheme="minorHAnsi"/>
          <w:b w:val="0"/>
          <w:lang w:val="pl"/>
        </w:rPr>
        <w:t>Atea</w:t>
      </w:r>
      <w:proofErr w:type="spellEnd"/>
      <w:r w:rsidRPr="00196AF1">
        <w:rPr>
          <w:rFonts w:asciiTheme="minorHAnsi" w:hAnsiTheme="minorHAnsi" w:cstheme="minorHAnsi"/>
          <w:b w:val="0"/>
          <w:lang w:val="pl"/>
        </w:rPr>
        <w:t xml:space="preserve"> </w:t>
      </w:r>
      <w:proofErr w:type="spellStart"/>
      <w:r w:rsidR="00177FAE" w:rsidRPr="00196AF1">
        <w:rPr>
          <w:rFonts w:asciiTheme="minorHAnsi" w:hAnsiTheme="minorHAnsi" w:cstheme="minorHAnsi"/>
          <w:b w:val="0"/>
          <w:lang w:val="pl"/>
        </w:rPr>
        <w:t>Pharmaceuticals</w:t>
      </w:r>
      <w:proofErr w:type="spellEnd"/>
      <w:r w:rsidR="00177FAE" w:rsidRPr="00196AF1">
        <w:rPr>
          <w:rFonts w:asciiTheme="minorHAnsi" w:hAnsiTheme="minorHAnsi" w:cstheme="minorHAnsi"/>
          <w:b w:val="0"/>
          <w:lang w:val="pl"/>
        </w:rPr>
        <w:t xml:space="preserve"> </w:t>
      </w:r>
      <w:r w:rsidRPr="00196AF1">
        <w:rPr>
          <w:rFonts w:asciiTheme="minorHAnsi" w:hAnsiTheme="minorHAnsi" w:cstheme="minorHAnsi"/>
          <w:b w:val="0"/>
          <w:lang w:val="pl"/>
        </w:rPr>
        <w:t xml:space="preserve">nawiązały partnerstwo w celu </w:t>
      </w:r>
      <w:r w:rsidR="00177FAE" w:rsidRPr="00196AF1">
        <w:rPr>
          <w:rFonts w:asciiTheme="minorHAnsi" w:hAnsiTheme="minorHAnsi" w:cstheme="minorHAnsi"/>
          <w:b w:val="0"/>
          <w:lang w:val="pl"/>
        </w:rPr>
        <w:t xml:space="preserve">rozwijania AT-527 – </w:t>
      </w:r>
      <w:r w:rsidRPr="00196AF1">
        <w:rPr>
          <w:rFonts w:asciiTheme="minorHAnsi" w:hAnsiTheme="minorHAnsi" w:cstheme="minorHAnsi"/>
          <w:b w:val="0"/>
          <w:lang w:val="pl"/>
        </w:rPr>
        <w:t>doustnego bezpośrednio działającego leku przeciwwirusowego (</w:t>
      </w:r>
      <w:proofErr w:type="spellStart"/>
      <w:r w:rsidRPr="00196AF1">
        <w:rPr>
          <w:rFonts w:asciiTheme="minorHAnsi" w:hAnsiTheme="minorHAnsi" w:cstheme="minorHAnsi"/>
          <w:b w:val="0"/>
          <w:lang w:val="pl"/>
        </w:rPr>
        <w:t>direct-acting</w:t>
      </w:r>
      <w:proofErr w:type="spellEnd"/>
      <w:r w:rsidRPr="00196AF1">
        <w:rPr>
          <w:rFonts w:asciiTheme="minorHAnsi" w:hAnsiTheme="minorHAnsi" w:cstheme="minorHAnsi"/>
          <w:b w:val="0"/>
          <w:lang w:val="pl"/>
        </w:rPr>
        <w:t xml:space="preserve"> </w:t>
      </w:r>
      <w:proofErr w:type="spellStart"/>
      <w:r w:rsidRPr="00196AF1">
        <w:rPr>
          <w:rFonts w:asciiTheme="minorHAnsi" w:hAnsiTheme="minorHAnsi" w:cstheme="minorHAnsi"/>
          <w:b w:val="0"/>
          <w:lang w:val="pl"/>
        </w:rPr>
        <w:t>antiviral</w:t>
      </w:r>
      <w:proofErr w:type="spellEnd"/>
      <w:r w:rsidRPr="00196AF1">
        <w:rPr>
          <w:rFonts w:asciiTheme="minorHAnsi" w:hAnsiTheme="minorHAnsi" w:cstheme="minorHAnsi"/>
          <w:b w:val="0"/>
          <w:lang w:val="pl"/>
        </w:rPr>
        <w:t xml:space="preserve"> – DAA),</w:t>
      </w:r>
    </w:p>
    <w:p w:rsidR="00953902" w:rsidRPr="00196AF1" w:rsidRDefault="007B78B5" w:rsidP="00937EB6">
      <w:pPr>
        <w:spacing w:before="51"/>
        <w:ind w:left="916"/>
        <w:jc w:val="both"/>
        <w:rPr>
          <w:rFonts w:asciiTheme="minorHAnsi" w:hAnsiTheme="minorHAnsi" w:cstheme="minorHAnsi"/>
          <w:lang w:val="pl-PL"/>
        </w:rPr>
      </w:pPr>
      <w:r w:rsidRPr="00196AF1">
        <w:rPr>
          <w:rFonts w:asciiTheme="minorHAnsi" w:hAnsiTheme="minorHAnsi" w:cstheme="minorHAnsi"/>
          <w:bCs/>
          <w:lang w:val="pl"/>
        </w:rPr>
        <w:t>będącego obecnie w II fazie badań klinicznych</w:t>
      </w:r>
      <w:r w:rsidR="00196AF1" w:rsidRPr="00196AF1">
        <w:rPr>
          <w:rFonts w:asciiTheme="minorHAnsi" w:hAnsiTheme="minorHAnsi" w:cstheme="minorHAnsi"/>
          <w:bCs/>
          <w:lang w:val="pl"/>
        </w:rPr>
        <w:t>.</w:t>
      </w:r>
    </w:p>
    <w:p w:rsidR="00953902" w:rsidRPr="00196AF1" w:rsidRDefault="007B78B5" w:rsidP="00937EB6">
      <w:pPr>
        <w:pStyle w:val="ListParagraph"/>
        <w:numPr>
          <w:ilvl w:val="0"/>
          <w:numId w:val="2"/>
        </w:numPr>
        <w:tabs>
          <w:tab w:val="left" w:pos="916"/>
          <w:tab w:val="left" w:pos="917"/>
        </w:tabs>
        <w:spacing w:before="36" w:line="288" w:lineRule="auto"/>
        <w:ind w:right="269"/>
        <w:jc w:val="both"/>
        <w:rPr>
          <w:rFonts w:asciiTheme="minorHAnsi" w:hAnsiTheme="minorHAnsi" w:cstheme="minorHAnsi"/>
          <w:lang w:val="pl-PL"/>
        </w:rPr>
      </w:pPr>
      <w:r w:rsidRPr="00196AF1">
        <w:rPr>
          <w:rFonts w:asciiTheme="minorHAnsi" w:hAnsiTheme="minorHAnsi" w:cstheme="minorHAnsi"/>
          <w:bCs/>
          <w:lang w:val="pl"/>
        </w:rPr>
        <w:t xml:space="preserve">AT-527 ma potencjał, aby stać się pierwszym nowym doustnym lekiem przeciwwirusowym do leczenia </w:t>
      </w:r>
      <w:proofErr w:type="spellStart"/>
      <w:r w:rsidRPr="00196AF1">
        <w:rPr>
          <w:rFonts w:asciiTheme="minorHAnsi" w:hAnsiTheme="minorHAnsi" w:cstheme="minorHAnsi"/>
          <w:bCs/>
          <w:lang w:val="pl"/>
        </w:rPr>
        <w:t>pozaszpitalnego</w:t>
      </w:r>
      <w:proofErr w:type="spellEnd"/>
      <w:r w:rsidRPr="00196AF1">
        <w:rPr>
          <w:rFonts w:asciiTheme="minorHAnsi" w:hAnsiTheme="minorHAnsi" w:cstheme="minorHAnsi"/>
          <w:bCs/>
          <w:lang w:val="pl"/>
        </w:rPr>
        <w:t xml:space="preserve"> i szpitalnego pacjentów z COVID-19, który mógłby również znaleźć zastosowanie w działaniach profilaktycznych po ekspozycji na wirusa.</w:t>
      </w:r>
    </w:p>
    <w:p w:rsidR="00953902" w:rsidRPr="00196AF1" w:rsidRDefault="007B78B5" w:rsidP="00177FAE">
      <w:pPr>
        <w:pStyle w:val="ListParagraph"/>
        <w:numPr>
          <w:ilvl w:val="0"/>
          <w:numId w:val="2"/>
        </w:numPr>
        <w:tabs>
          <w:tab w:val="left" w:pos="916"/>
          <w:tab w:val="left" w:pos="917"/>
        </w:tabs>
        <w:spacing w:line="251" w:lineRule="exact"/>
        <w:jc w:val="both"/>
        <w:rPr>
          <w:rFonts w:asciiTheme="minorHAnsi" w:hAnsiTheme="minorHAnsi" w:cstheme="minorHAnsi"/>
          <w:lang w:val="pl-PL"/>
        </w:rPr>
      </w:pPr>
      <w:r w:rsidRPr="00196AF1">
        <w:rPr>
          <w:rFonts w:asciiTheme="minorHAnsi" w:hAnsiTheme="minorHAnsi" w:cstheme="minorHAnsi"/>
          <w:bCs/>
          <w:lang w:val="pl"/>
        </w:rPr>
        <w:t>Doustne, małocząsteczkowe DAA przeznaczone dla pacjentów z COVID-19 mogą</w:t>
      </w:r>
      <w:r w:rsidR="00177FAE" w:rsidRPr="00196AF1">
        <w:rPr>
          <w:rFonts w:asciiTheme="minorHAnsi" w:hAnsiTheme="minorHAnsi" w:cstheme="minorHAnsi"/>
          <w:bCs/>
          <w:lang w:val="pl"/>
        </w:rPr>
        <w:t xml:space="preserve"> być produkowane na dużą skalę i zapewnić </w:t>
      </w:r>
      <w:r w:rsidRPr="00196AF1">
        <w:rPr>
          <w:rFonts w:asciiTheme="minorHAnsi" w:hAnsiTheme="minorHAnsi" w:cstheme="minorHAnsi"/>
          <w:bCs/>
          <w:lang w:val="pl"/>
        </w:rPr>
        <w:t>szeroki dostęp dla pacjentów.</w:t>
      </w:r>
    </w:p>
    <w:p w:rsidR="00953902" w:rsidRPr="00196AF1" w:rsidRDefault="00953902" w:rsidP="00937EB6">
      <w:pPr>
        <w:pStyle w:val="BodyText"/>
        <w:spacing w:before="2"/>
        <w:jc w:val="both"/>
        <w:rPr>
          <w:rFonts w:asciiTheme="minorHAnsi" w:hAnsiTheme="minorHAnsi" w:cstheme="minorHAnsi"/>
          <w:b/>
          <w:sz w:val="26"/>
          <w:lang w:val="pl-PL"/>
        </w:rPr>
      </w:pPr>
    </w:p>
    <w:p w:rsidR="00953902" w:rsidRPr="00196AF1" w:rsidRDefault="004E5C58" w:rsidP="00937EB6">
      <w:pPr>
        <w:pStyle w:val="BodyText"/>
        <w:spacing w:line="280" w:lineRule="auto"/>
        <w:ind w:left="196" w:right="64"/>
        <w:jc w:val="both"/>
        <w:rPr>
          <w:rFonts w:asciiTheme="minorHAnsi" w:hAnsiTheme="minorHAnsi" w:cstheme="minorHAnsi"/>
          <w:lang w:val="pl-PL"/>
        </w:rPr>
      </w:pPr>
      <w:r w:rsidRPr="004E5C58">
        <w:rPr>
          <w:rFonts w:asciiTheme="minorHAnsi" w:hAnsiTheme="minorHAnsi" w:cstheme="minorHAnsi"/>
          <w:lang w:val="pl"/>
        </w:rPr>
        <w:t>Działanie AT-527 polega na blokowaniu enzymu – wirusowej polimerazy RNA – która jest konieczna do replikacji wirusa.</w:t>
      </w:r>
      <w:r w:rsidRPr="00196AF1">
        <w:rPr>
          <w:rFonts w:asciiTheme="minorHAnsi" w:hAnsiTheme="minorHAnsi" w:cstheme="minorHAnsi"/>
          <w:b/>
          <w:lang w:val="pl"/>
        </w:rPr>
        <w:t xml:space="preserve"> </w:t>
      </w:r>
      <w:r w:rsidR="007B78B5" w:rsidRPr="00196AF1">
        <w:rPr>
          <w:rFonts w:asciiTheme="minorHAnsi" w:hAnsiTheme="minorHAnsi" w:cstheme="minorHAnsi"/>
          <w:lang w:val="pl"/>
        </w:rPr>
        <w:t xml:space="preserve">Lek jest obecnie w badaniu klinicznym fazy II obejmującym hospitalizowanych pacjentów z COVID-19 o nasileniu umiarkowanym. Badanie kliniczne fazy III, które ma się rozpocząć w I kwartale 2021 r., obejmie potencjalne możliwości stosowania leku u pacjentów nieprzebywających w warunkach szpitalnych. </w:t>
      </w:r>
      <w:r w:rsidR="007B78B5" w:rsidRPr="004E5C58">
        <w:rPr>
          <w:rFonts w:asciiTheme="minorHAnsi" w:hAnsiTheme="minorHAnsi" w:cstheme="minorHAnsi"/>
          <w:b/>
          <w:lang w:val="pl"/>
        </w:rPr>
        <w:t>Oprócz tego AT-527 może być opracowany do stosowania profilaktycznego po ekspozycji na wirusa.</w:t>
      </w:r>
    </w:p>
    <w:p w:rsidR="00953902" w:rsidRPr="00196AF1" w:rsidRDefault="00953902" w:rsidP="00937EB6">
      <w:pPr>
        <w:pStyle w:val="BodyText"/>
        <w:spacing w:before="3"/>
        <w:jc w:val="both"/>
        <w:rPr>
          <w:rFonts w:asciiTheme="minorHAnsi" w:hAnsiTheme="minorHAnsi" w:cstheme="minorHAnsi"/>
          <w:sz w:val="26"/>
          <w:lang w:val="pl-PL"/>
        </w:rPr>
      </w:pPr>
    </w:p>
    <w:p w:rsidR="00953902" w:rsidRPr="00196AF1" w:rsidRDefault="007B78B5" w:rsidP="00937EB6">
      <w:pPr>
        <w:pStyle w:val="BodyText"/>
        <w:spacing w:line="280" w:lineRule="auto"/>
        <w:ind w:left="196" w:right="119"/>
        <w:jc w:val="both"/>
        <w:rPr>
          <w:rFonts w:asciiTheme="minorHAnsi" w:hAnsiTheme="minorHAnsi" w:cstheme="minorHAnsi"/>
          <w:lang w:val="pl-PL"/>
        </w:rPr>
      </w:pPr>
      <w:r w:rsidRPr="00196AF1">
        <w:rPr>
          <w:rFonts w:asciiTheme="minorHAnsi" w:hAnsiTheme="minorHAnsi" w:cstheme="minorHAnsi"/>
          <w:lang w:val="pl"/>
        </w:rPr>
        <w:t xml:space="preserve">Preparat AT-527, który stanowi potencjalną opcję leczenia doustnego pacjentów hospitalizowanych, ma również potencjał, aby </w:t>
      </w:r>
      <w:r w:rsidRPr="004E5C58">
        <w:rPr>
          <w:rFonts w:asciiTheme="minorHAnsi" w:hAnsiTheme="minorHAnsi" w:cstheme="minorHAnsi"/>
          <w:b/>
          <w:lang w:val="pl"/>
        </w:rPr>
        <w:t>stać się pierwszą formą leczenia doustnego pacjentów z COVID-19 nieprzebywających w szpitalu. Proces wytwarzania małocząsteczkowych DAA zapewnia ponadto możliwość produkcji dużych ilości bardzo potrzebnego leku.</w:t>
      </w:r>
      <w:r w:rsidRPr="00196AF1">
        <w:rPr>
          <w:rFonts w:asciiTheme="minorHAnsi" w:hAnsiTheme="minorHAnsi" w:cstheme="minorHAnsi"/>
          <w:lang w:val="pl"/>
        </w:rPr>
        <w:t xml:space="preserve"> Jeżeli lek AT-527 się sprawdzi, mógłby być pomocny we wczesnym leczeniu pacjentów, ograniczaniu progresji zakażenia i przyczynić się do zmniejszenia całkowitego obciążenia systemów opieki zdrowotnej.</w:t>
      </w:r>
    </w:p>
    <w:p w:rsidR="00953902" w:rsidRPr="00196AF1" w:rsidRDefault="00953902" w:rsidP="00937EB6">
      <w:pPr>
        <w:pStyle w:val="BodyText"/>
        <w:spacing w:before="2"/>
        <w:jc w:val="both"/>
        <w:rPr>
          <w:rFonts w:asciiTheme="minorHAnsi" w:hAnsiTheme="minorHAnsi" w:cstheme="minorHAnsi"/>
          <w:sz w:val="26"/>
          <w:lang w:val="pl-PL"/>
        </w:rPr>
      </w:pPr>
    </w:p>
    <w:p w:rsidR="00953902" w:rsidRPr="00196AF1" w:rsidRDefault="007B78B5" w:rsidP="00937EB6">
      <w:pPr>
        <w:pStyle w:val="BodyText"/>
        <w:spacing w:line="280" w:lineRule="auto"/>
        <w:ind w:left="197" w:right="94"/>
        <w:jc w:val="both"/>
        <w:rPr>
          <w:rFonts w:asciiTheme="minorHAnsi" w:hAnsiTheme="minorHAnsi" w:cstheme="minorHAnsi"/>
          <w:lang w:val="pl-PL"/>
        </w:rPr>
      </w:pPr>
      <w:r w:rsidRPr="00196AF1">
        <w:rPr>
          <w:rFonts w:asciiTheme="minorHAnsi" w:hAnsiTheme="minorHAnsi" w:cstheme="minorHAnsi"/>
          <w:lang w:val="pl"/>
        </w:rPr>
        <w:t xml:space="preserve">Celem współpracy jest przyspieszenie rozwoju klinicznego i produkcji AT-527, zbadanie jego bezpieczeństwa i skuteczności, a także jak najszybsze zapewnienie pacjentom </w:t>
      </w:r>
      <w:r w:rsidR="004E5C58">
        <w:rPr>
          <w:rFonts w:asciiTheme="minorHAnsi" w:hAnsiTheme="minorHAnsi" w:cstheme="minorHAnsi"/>
          <w:lang w:val="pl"/>
        </w:rPr>
        <w:t xml:space="preserve">potencjalnej </w:t>
      </w:r>
      <w:r w:rsidRPr="00196AF1">
        <w:rPr>
          <w:rFonts w:asciiTheme="minorHAnsi" w:hAnsiTheme="minorHAnsi" w:cstheme="minorHAnsi"/>
          <w:lang w:val="pl"/>
        </w:rPr>
        <w:t xml:space="preserve">możliwości leczenia. W przypadku udowodnienia w badaniach klinicznych bezpieczeństwa i skuteczności AT-527 oraz jego zatwierdzenia przez organ nadzorczy </w:t>
      </w:r>
      <w:proofErr w:type="spellStart"/>
      <w:r w:rsidRPr="00196AF1">
        <w:rPr>
          <w:rFonts w:asciiTheme="minorHAnsi" w:hAnsiTheme="minorHAnsi" w:cstheme="minorHAnsi"/>
          <w:lang w:val="pl"/>
        </w:rPr>
        <w:t>Atea</w:t>
      </w:r>
      <w:proofErr w:type="spellEnd"/>
      <w:r w:rsidRPr="00196AF1">
        <w:rPr>
          <w:rFonts w:asciiTheme="minorHAnsi" w:hAnsiTheme="minorHAnsi" w:cstheme="minorHAnsi"/>
          <w:lang w:val="pl"/>
        </w:rPr>
        <w:t xml:space="preserve"> będzie odpowiadać za sprzedaż leku w USA, z możliwością zwrócenia się o wsparcie do </w:t>
      </w:r>
      <w:proofErr w:type="spellStart"/>
      <w:r w:rsidRPr="00196AF1">
        <w:rPr>
          <w:rFonts w:asciiTheme="minorHAnsi" w:hAnsiTheme="minorHAnsi" w:cstheme="minorHAnsi"/>
          <w:lang w:val="pl"/>
        </w:rPr>
        <w:t>Genentech</w:t>
      </w:r>
      <w:proofErr w:type="spellEnd"/>
      <w:r w:rsidRPr="00196AF1">
        <w:rPr>
          <w:rFonts w:asciiTheme="minorHAnsi" w:hAnsiTheme="minorHAnsi" w:cstheme="minorHAnsi"/>
          <w:lang w:val="pl"/>
        </w:rPr>
        <w:t>, a firma Roche będzie odpowiedzialna za jego dystrybucję poza obszarem USA.</w:t>
      </w:r>
    </w:p>
    <w:p w:rsidR="004E5C58" w:rsidRDefault="004E5C58" w:rsidP="004E5C58">
      <w:pPr>
        <w:pStyle w:val="BodyText"/>
        <w:spacing w:line="280" w:lineRule="auto"/>
        <w:ind w:right="255"/>
        <w:jc w:val="both"/>
        <w:rPr>
          <w:rFonts w:asciiTheme="minorHAnsi" w:hAnsiTheme="minorHAnsi" w:cstheme="minorHAnsi"/>
          <w:sz w:val="26"/>
          <w:lang w:val="pl-PL"/>
        </w:rPr>
      </w:pPr>
    </w:p>
    <w:p w:rsidR="00953902" w:rsidRPr="00196AF1" w:rsidRDefault="004E5C58" w:rsidP="004E5C58">
      <w:pPr>
        <w:pStyle w:val="BodyText"/>
        <w:spacing w:line="280" w:lineRule="auto"/>
        <w:ind w:left="142" w:right="255"/>
        <w:jc w:val="both"/>
        <w:rPr>
          <w:rFonts w:asciiTheme="minorHAnsi" w:hAnsiTheme="minorHAnsi" w:cstheme="minorHAnsi"/>
          <w:lang w:val="pl-PL"/>
        </w:rPr>
      </w:pPr>
      <w:r>
        <w:rPr>
          <w:rFonts w:asciiTheme="minorHAnsi" w:hAnsiTheme="minorHAnsi" w:cstheme="minorHAnsi"/>
          <w:lang w:val="pl"/>
        </w:rPr>
        <w:t xml:space="preserve">– </w:t>
      </w:r>
      <w:r w:rsidR="007B78B5" w:rsidRPr="004E5C58">
        <w:rPr>
          <w:rFonts w:asciiTheme="minorHAnsi" w:hAnsiTheme="minorHAnsi" w:cstheme="minorHAnsi"/>
          <w:i/>
          <w:lang w:val="pl"/>
        </w:rPr>
        <w:t>Złożoność kwestii związanych z COVID-19 wymaga budowania wielu lini</w:t>
      </w:r>
      <w:r w:rsidRPr="004E5C58">
        <w:rPr>
          <w:rFonts w:asciiTheme="minorHAnsi" w:hAnsiTheme="minorHAnsi" w:cstheme="minorHAnsi"/>
          <w:i/>
          <w:lang w:val="pl"/>
        </w:rPr>
        <w:t>i obrony. Dzięki połączeniu sił</w:t>
      </w:r>
      <w:r w:rsidRPr="004E5C58">
        <w:rPr>
          <w:rFonts w:asciiTheme="minorHAnsi" w:hAnsiTheme="minorHAnsi" w:cstheme="minorHAnsi"/>
          <w:i/>
          <w:lang w:val="pl"/>
        </w:rPr>
        <w:tab/>
      </w:r>
      <w:r w:rsidR="007B78B5" w:rsidRPr="004E5C58">
        <w:rPr>
          <w:rFonts w:asciiTheme="minorHAnsi" w:hAnsiTheme="minorHAnsi" w:cstheme="minorHAnsi"/>
          <w:i/>
          <w:lang w:val="pl"/>
        </w:rPr>
        <w:t xml:space="preserve">z </w:t>
      </w:r>
      <w:proofErr w:type="spellStart"/>
      <w:r w:rsidR="007B78B5" w:rsidRPr="004E5C58">
        <w:rPr>
          <w:rFonts w:asciiTheme="minorHAnsi" w:hAnsiTheme="minorHAnsi" w:cstheme="minorHAnsi"/>
          <w:i/>
          <w:lang w:val="pl"/>
        </w:rPr>
        <w:t>Atea</w:t>
      </w:r>
      <w:proofErr w:type="spellEnd"/>
      <w:r w:rsidR="007B78B5" w:rsidRPr="004E5C58">
        <w:rPr>
          <w:rFonts w:asciiTheme="minorHAnsi" w:hAnsiTheme="minorHAnsi" w:cstheme="minorHAnsi"/>
          <w:i/>
          <w:lang w:val="pl"/>
        </w:rPr>
        <w:t xml:space="preserve"> mamy nadzieję zaoferować dodatkową opcję leczenia pacjentów z COVID-19, zarówno hospitalizowanych, jak i przebywających poza szpitalem, i zmniejszyć obciążenie szpital</w:t>
      </w:r>
      <w:r w:rsidRPr="004E5C58">
        <w:rPr>
          <w:rFonts w:asciiTheme="minorHAnsi" w:hAnsiTheme="minorHAnsi" w:cstheme="minorHAnsi"/>
          <w:i/>
          <w:lang w:val="pl"/>
        </w:rPr>
        <w:t>i w okresie światowej pandemii</w:t>
      </w:r>
      <w:r>
        <w:rPr>
          <w:rFonts w:asciiTheme="minorHAnsi" w:hAnsiTheme="minorHAnsi" w:cstheme="minorHAnsi"/>
          <w:lang w:val="pl"/>
        </w:rPr>
        <w:t xml:space="preserve"> –</w:t>
      </w:r>
      <w:r w:rsidR="007B78B5" w:rsidRPr="00196AF1">
        <w:rPr>
          <w:rFonts w:asciiTheme="minorHAnsi" w:hAnsiTheme="minorHAnsi" w:cstheme="minorHAnsi"/>
          <w:lang w:val="pl"/>
        </w:rPr>
        <w:t xml:space="preserve"> </w:t>
      </w:r>
      <w:r>
        <w:rPr>
          <w:rFonts w:asciiTheme="minorHAnsi" w:hAnsiTheme="minorHAnsi" w:cstheme="minorHAnsi"/>
          <w:lang w:val="pl"/>
        </w:rPr>
        <w:t>mówi</w:t>
      </w:r>
      <w:r w:rsidR="007B78B5" w:rsidRPr="00196AF1">
        <w:rPr>
          <w:rFonts w:asciiTheme="minorHAnsi" w:hAnsiTheme="minorHAnsi" w:cstheme="minorHAnsi"/>
          <w:lang w:val="pl"/>
        </w:rPr>
        <w:t xml:space="preserve"> Bill Anderson, dyrektor generalny Roche </w:t>
      </w:r>
      <w:proofErr w:type="spellStart"/>
      <w:r w:rsidR="007B78B5" w:rsidRPr="00196AF1">
        <w:rPr>
          <w:rFonts w:asciiTheme="minorHAnsi" w:hAnsiTheme="minorHAnsi" w:cstheme="minorHAnsi"/>
          <w:lang w:val="pl"/>
        </w:rPr>
        <w:t>Phar</w:t>
      </w:r>
      <w:r>
        <w:rPr>
          <w:rFonts w:asciiTheme="minorHAnsi" w:hAnsiTheme="minorHAnsi" w:cstheme="minorHAnsi"/>
          <w:lang w:val="pl"/>
        </w:rPr>
        <w:t>maceuticals</w:t>
      </w:r>
      <w:proofErr w:type="spellEnd"/>
      <w:r>
        <w:rPr>
          <w:rFonts w:asciiTheme="minorHAnsi" w:hAnsiTheme="minorHAnsi" w:cstheme="minorHAnsi"/>
          <w:lang w:val="pl"/>
        </w:rPr>
        <w:t xml:space="preserve">. – </w:t>
      </w:r>
      <w:r w:rsidR="007B78B5" w:rsidRPr="004E5C58">
        <w:rPr>
          <w:rFonts w:asciiTheme="minorHAnsi" w:hAnsiTheme="minorHAnsi" w:cstheme="minorHAnsi"/>
          <w:i/>
          <w:lang w:val="pl"/>
        </w:rPr>
        <w:t xml:space="preserve">Dzięki wspólnemu opracowywaniu i produkcji AT-527 na dużą skalę staramy się udostępnić tę opcję leczenia jak największej </w:t>
      </w:r>
      <w:r w:rsidR="007B78B5" w:rsidRPr="004E5C58">
        <w:rPr>
          <w:rFonts w:asciiTheme="minorHAnsi" w:hAnsiTheme="minorHAnsi" w:cstheme="minorHAnsi"/>
          <w:i/>
          <w:lang w:val="pl"/>
        </w:rPr>
        <w:lastRenderedPageBreak/>
        <w:t>liczbie osób na całym świecie.</w:t>
      </w:r>
    </w:p>
    <w:p w:rsidR="00953902" w:rsidRPr="00196AF1" w:rsidRDefault="00953902" w:rsidP="00937EB6">
      <w:pPr>
        <w:pStyle w:val="BodyText"/>
        <w:jc w:val="both"/>
        <w:rPr>
          <w:rFonts w:asciiTheme="minorHAnsi" w:hAnsiTheme="minorHAnsi" w:cstheme="minorHAnsi"/>
          <w:sz w:val="20"/>
          <w:lang w:val="pl-PL"/>
        </w:rPr>
      </w:pPr>
    </w:p>
    <w:p w:rsidR="00953902" w:rsidRDefault="004E5C58" w:rsidP="00937EB6">
      <w:pPr>
        <w:pStyle w:val="BodyText"/>
        <w:spacing w:before="56" w:line="280" w:lineRule="auto"/>
        <w:ind w:left="142" w:right="92"/>
        <w:jc w:val="both"/>
        <w:rPr>
          <w:rFonts w:asciiTheme="minorHAnsi" w:hAnsiTheme="minorHAnsi" w:cstheme="minorHAnsi"/>
          <w:i/>
          <w:lang w:val="pl"/>
        </w:rPr>
      </w:pPr>
      <w:r>
        <w:rPr>
          <w:rFonts w:asciiTheme="minorHAnsi" w:hAnsiTheme="minorHAnsi" w:cstheme="minorHAnsi"/>
          <w:lang w:val="pl-PL"/>
        </w:rPr>
        <w:t xml:space="preserve">– </w:t>
      </w:r>
      <w:r w:rsidR="007B78B5" w:rsidRPr="004E5C58">
        <w:rPr>
          <w:rFonts w:asciiTheme="minorHAnsi" w:hAnsiTheme="minorHAnsi" w:cstheme="minorHAnsi"/>
          <w:i/>
          <w:lang w:val="pl"/>
        </w:rPr>
        <w:t xml:space="preserve">Roche podziela naszą pasję do tworzenia innowacyjnych produktów leczniczych, przynoszących odpowiedzi na </w:t>
      </w:r>
      <w:r w:rsidRPr="004E5C58">
        <w:rPr>
          <w:rFonts w:asciiTheme="minorHAnsi" w:hAnsiTheme="minorHAnsi" w:cstheme="minorHAnsi"/>
          <w:i/>
          <w:lang w:val="pl"/>
        </w:rPr>
        <w:t>największe</w:t>
      </w:r>
      <w:r w:rsidR="007B78B5" w:rsidRPr="004E5C58">
        <w:rPr>
          <w:rFonts w:asciiTheme="minorHAnsi" w:hAnsiTheme="minorHAnsi" w:cstheme="minorHAnsi"/>
          <w:i/>
          <w:lang w:val="pl"/>
        </w:rPr>
        <w:t xml:space="preserve"> potrzeby w zakresie medycyny. Pandemia COVID-19 uwydatniła pilną potrzebę nowego, doustnego leku przeciwwirusowego do leczenia tego wysoce zakaźnego,</w:t>
      </w:r>
      <w:r w:rsidRPr="004E5C58">
        <w:rPr>
          <w:rFonts w:asciiTheme="minorHAnsi" w:hAnsiTheme="minorHAnsi" w:cstheme="minorHAnsi"/>
          <w:i/>
          <w:lang w:val="pl"/>
        </w:rPr>
        <w:t xml:space="preserve"> a często śmiertelnego wirusa</w:t>
      </w:r>
      <w:r>
        <w:rPr>
          <w:rFonts w:asciiTheme="minorHAnsi" w:hAnsiTheme="minorHAnsi" w:cstheme="minorHAnsi"/>
          <w:lang w:val="pl"/>
        </w:rPr>
        <w:t xml:space="preserve"> – dodaje </w:t>
      </w:r>
      <w:r w:rsidR="007B78B5" w:rsidRPr="00196AF1">
        <w:rPr>
          <w:rFonts w:asciiTheme="minorHAnsi" w:hAnsiTheme="minorHAnsi" w:cstheme="minorHAnsi"/>
          <w:lang w:val="pl"/>
        </w:rPr>
        <w:t xml:space="preserve">dr. Jean-Pierre </w:t>
      </w:r>
      <w:proofErr w:type="spellStart"/>
      <w:r w:rsidR="007B78B5" w:rsidRPr="00196AF1">
        <w:rPr>
          <w:rFonts w:asciiTheme="minorHAnsi" w:hAnsiTheme="minorHAnsi" w:cstheme="minorHAnsi"/>
          <w:lang w:val="pl"/>
        </w:rPr>
        <w:t>Sommadossi</w:t>
      </w:r>
      <w:proofErr w:type="spellEnd"/>
      <w:r w:rsidR="007B78B5" w:rsidRPr="00196AF1">
        <w:rPr>
          <w:rFonts w:asciiTheme="minorHAnsi" w:hAnsiTheme="minorHAnsi" w:cstheme="minorHAnsi"/>
          <w:lang w:val="pl"/>
        </w:rPr>
        <w:t>, dyrektor generalny i za</w:t>
      </w:r>
      <w:r>
        <w:rPr>
          <w:rFonts w:asciiTheme="minorHAnsi" w:hAnsiTheme="minorHAnsi" w:cstheme="minorHAnsi"/>
          <w:lang w:val="pl"/>
        </w:rPr>
        <w:t xml:space="preserve">łożyciel </w:t>
      </w:r>
      <w:proofErr w:type="spellStart"/>
      <w:r>
        <w:rPr>
          <w:rFonts w:asciiTheme="minorHAnsi" w:hAnsiTheme="minorHAnsi" w:cstheme="minorHAnsi"/>
          <w:lang w:val="pl"/>
        </w:rPr>
        <w:t>Atea</w:t>
      </w:r>
      <w:proofErr w:type="spellEnd"/>
      <w:r>
        <w:rPr>
          <w:rFonts w:asciiTheme="minorHAnsi" w:hAnsiTheme="minorHAnsi" w:cstheme="minorHAnsi"/>
          <w:lang w:val="pl"/>
        </w:rPr>
        <w:t xml:space="preserve"> </w:t>
      </w:r>
      <w:proofErr w:type="spellStart"/>
      <w:r>
        <w:rPr>
          <w:rFonts w:asciiTheme="minorHAnsi" w:hAnsiTheme="minorHAnsi" w:cstheme="minorHAnsi"/>
          <w:lang w:val="pl"/>
        </w:rPr>
        <w:t>Pharmaceuticals</w:t>
      </w:r>
      <w:proofErr w:type="spellEnd"/>
      <w:r>
        <w:rPr>
          <w:rFonts w:asciiTheme="minorHAnsi" w:hAnsiTheme="minorHAnsi" w:cstheme="minorHAnsi"/>
          <w:lang w:val="pl"/>
        </w:rPr>
        <w:t xml:space="preserve">. – </w:t>
      </w:r>
      <w:r w:rsidR="007B78B5" w:rsidRPr="004E5C58">
        <w:rPr>
          <w:rFonts w:asciiTheme="minorHAnsi" w:hAnsiTheme="minorHAnsi" w:cstheme="minorHAnsi"/>
          <w:i/>
          <w:lang w:val="pl"/>
        </w:rPr>
        <w:t>Oczekujemy, że lek AT-527 będzie się idealnie nadawał do walki z COVID-19, gdyż hamuje on replikację wirusa, blokując jego polimerazę RNA, która jest kluczowym elementem mechanizmu replikacji wirusów RNA. Istotne jest, że proces wytwarzania naszego małocząsteczkowego bezpośrednio działającego leku przeciwwirusowego umożliwia nam produkcję</w:t>
      </w:r>
      <w:r w:rsidRPr="004E5C58">
        <w:rPr>
          <w:rFonts w:asciiTheme="minorHAnsi" w:hAnsiTheme="minorHAnsi" w:cstheme="minorHAnsi"/>
          <w:i/>
          <w:lang w:val="pl"/>
        </w:rPr>
        <w:t xml:space="preserve"> AT-527 szybko i na dużą skalę.</w:t>
      </w:r>
    </w:p>
    <w:p w:rsidR="004E5C58" w:rsidRDefault="004E5C5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Default="00713738" w:rsidP="004E5C58">
      <w:pPr>
        <w:pStyle w:val="BodyText"/>
        <w:spacing w:before="56" w:line="280" w:lineRule="auto"/>
        <w:ind w:right="92"/>
        <w:jc w:val="both"/>
        <w:rPr>
          <w:rFonts w:asciiTheme="minorHAnsi" w:hAnsiTheme="minorHAnsi" w:cstheme="minorHAnsi"/>
          <w:i/>
          <w:lang w:val="pl"/>
        </w:rPr>
      </w:pPr>
    </w:p>
    <w:p w:rsidR="00713738" w:rsidRPr="00196AF1" w:rsidRDefault="00713738" w:rsidP="004E5C58">
      <w:pPr>
        <w:pStyle w:val="BodyText"/>
        <w:spacing w:before="56" w:line="280" w:lineRule="auto"/>
        <w:ind w:right="92"/>
        <w:jc w:val="both"/>
        <w:rPr>
          <w:rFonts w:asciiTheme="minorHAnsi" w:hAnsiTheme="minorHAnsi" w:cstheme="minorHAnsi"/>
          <w:lang w:val="pl-PL"/>
        </w:rPr>
      </w:pPr>
    </w:p>
    <w:p w:rsidR="00953902" w:rsidRPr="00196AF1" w:rsidRDefault="00953902" w:rsidP="00937EB6">
      <w:pPr>
        <w:pStyle w:val="BodyText"/>
        <w:spacing w:before="10"/>
        <w:jc w:val="both"/>
        <w:rPr>
          <w:rFonts w:asciiTheme="minorHAnsi" w:hAnsiTheme="minorHAnsi" w:cstheme="minorHAnsi"/>
          <w:sz w:val="26"/>
          <w:lang w:val="pl-PL"/>
        </w:rPr>
      </w:pPr>
    </w:p>
    <w:p w:rsidR="00953902" w:rsidRPr="004E5C58" w:rsidRDefault="007B78B5" w:rsidP="00937EB6">
      <w:pPr>
        <w:pStyle w:val="Heading1"/>
        <w:ind w:left="196"/>
        <w:jc w:val="both"/>
        <w:rPr>
          <w:rFonts w:asciiTheme="minorHAnsi" w:hAnsiTheme="minorHAnsi" w:cstheme="minorHAnsi"/>
          <w:sz w:val="20"/>
          <w:lang w:val="pl-PL"/>
        </w:rPr>
      </w:pPr>
      <w:r w:rsidRPr="004E5C58">
        <w:rPr>
          <w:rFonts w:asciiTheme="minorHAnsi" w:hAnsiTheme="minorHAnsi" w:cstheme="minorHAnsi"/>
          <w:sz w:val="20"/>
          <w:lang w:val="pl"/>
        </w:rPr>
        <w:t>Informacje o AT-527</w:t>
      </w:r>
    </w:p>
    <w:p w:rsidR="00953902" w:rsidRPr="004E5C58" w:rsidRDefault="007B78B5" w:rsidP="004E5C58">
      <w:pPr>
        <w:pStyle w:val="BodyText"/>
        <w:spacing w:before="45" w:line="280" w:lineRule="auto"/>
        <w:ind w:left="196" w:right="119"/>
        <w:jc w:val="both"/>
        <w:rPr>
          <w:rFonts w:asciiTheme="minorHAnsi" w:hAnsiTheme="minorHAnsi" w:cstheme="minorHAnsi"/>
          <w:sz w:val="20"/>
          <w:lang w:val="pl"/>
        </w:rPr>
      </w:pPr>
      <w:r w:rsidRPr="004E5C58">
        <w:rPr>
          <w:rFonts w:asciiTheme="minorHAnsi" w:hAnsiTheme="minorHAnsi" w:cstheme="minorHAnsi"/>
          <w:sz w:val="20"/>
          <w:lang w:val="pl"/>
        </w:rPr>
        <w:t xml:space="preserve">AT-527 to doustny </w:t>
      </w:r>
      <w:proofErr w:type="spellStart"/>
      <w:r w:rsidRPr="004E5C58">
        <w:rPr>
          <w:rFonts w:asciiTheme="minorHAnsi" w:hAnsiTheme="minorHAnsi" w:cstheme="minorHAnsi"/>
          <w:sz w:val="20"/>
          <w:lang w:val="pl"/>
        </w:rPr>
        <w:t>prolek</w:t>
      </w:r>
      <w:proofErr w:type="spellEnd"/>
      <w:r w:rsidRPr="004E5C58">
        <w:rPr>
          <w:rFonts w:asciiTheme="minorHAnsi" w:hAnsiTheme="minorHAnsi" w:cstheme="minorHAnsi"/>
          <w:sz w:val="20"/>
          <w:lang w:val="pl"/>
        </w:rPr>
        <w:t xml:space="preserve"> w postaci nukleotydu purynowego, będący na etapie badań, który wykazał działanie przeciwwirusowe in vitro i in vivo wobec kilku otoczkowych jednoniciowych wirusów RNA, w tym ludzkich </w:t>
      </w:r>
      <w:proofErr w:type="spellStart"/>
      <w:r w:rsidRPr="004E5C58">
        <w:rPr>
          <w:rFonts w:asciiTheme="minorHAnsi" w:hAnsiTheme="minorHAnsi" w:cstheme="minorHAnsi"/>
          <w:sz w:val="20"/>
          <w:lang w:val="pl"/>
        </w:rPr>
        <w:t>flawiwirusów</w:t>
      </w:r>
      <w:proofErr w:type="spellEnd"/>
      <w:r w:rsidRPr="004E5C58">
        <w:rPr>
          <w:rFonts w:asciiTheme="minorHAnsi" w:hAnsiTheme="minorHAnsi" w:cstheme="minorHAnsi"/>
          <w:sz w:val="20"/>
          <w:lang w:val="pl"/>
        </w:rPr>
        <w:t xml:space="preserve"> i </w:t>
      </w:r>
      <w:proofErr w:type="spellStart"/>
      <w:r w:rsidRPr="004E5C58">
        <w:rPr>
          <w:rFonts w:asciiTheme="minorHAnsi" w:hAnsiTheme="minorHAnsi" w:cstheme="minorHAnsi"/>
          <w:sz w:val="20"/>
          <w:lang w:val="pl"/>
        </w:rPr>
        <w:t>koronawirusów</w:t>
      </w:r>
      <w:proofErr w:type="spellEnd"/>
      <w:r w:rsidRPr="004E5C58">
        <w:rPr>
          <w:rFonts w:asciiTheme="minorHAnsi" w:hAnsiTheme="minorHAnsi" w:cstheme="minorHAnsi"/>
          <w:sz w:val="20"/>
          <w:lang w:val="pl"/>
        </w:rPr>
        <w:t xml:space="preserve">. Ten wysoce selektywny </w:t>
      </w:r>
      <w:proofErr w:type="spellStart"/>
      <w:r w:rsidRPr="004E5C58">
        <w:rPr>
          <w:rFonts w:asciiTheme="minorHAnsi" w:hAnsiTheme="minorHAnsi" w:cstheme="minorHAnsi"/>
          <w:sz w:val="20"/>
          <w:lang w:val="pl"/>
        </w:rPr>
        <w:t>prolek</w:t>
      </w:r>
      <w:proofErr w:type="spellEnd"/>
      <w:r w:rsidRPr="004E5C58">
        <w:rPr>
          <w:rFonts w:asciiTheme="minorHAnsi" w:hAnsiTheme="minorHAnsi" w:cstheme="minorHAnsi"/>
          <w:sz w:val="20"/>
          <w:lang w:val="pl"/>
        </w:rPr>
        <w:t xml:space="preserve"> w postaci nukleotydu purynowego zaprojektowano w celu specyficznej inhibicji wirusowej polimerazy RNA zależnej od RNA, która jest enzymem niezbędnym do replikacji wirusów RNA. Przeciwwirusowe działanie i bezpieczeństwo leku AT-527 wykazano w badaniach klinicznych fazy II u pacjentów z wirusowym zapaleniem wątroby typu C oraz w przedklinicznych testach in vitro z wirusem SARS-CoV-2. Preparat AT-527 nie uzyskał jeszcze licencji ani zatwierdzenia w USA ani żadnym innym kraju do stosowania w przypadku jakichkolwiek wskazań.</w:t>
      </w:r>
    </w:p>
    <w:sectPr w:rsidR="00953902" w:rsidRPr="004E5C58">
      <w:headerReference w:type="default" r:id="rId7"/>
      <w:footerReference w:type="default" r:id="rId8"/>
      <w:pgSz w:w="11910" w:h="16840"/>
      <w:pgMar w:top="1580" w:right="720" w:bottom="1660" w:left="1220" w:header="0" w:footer="1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6D" w:rsidRDefault="007B78B5">
      <w:r>
        <w:separator/>
      </w:r>
    </w:p>
  </w:endnote>
  <w:endnote w:type="continuationSeparator" w:id="0">
    <w:p w:rsidR="00222A6D" w:rsidRDefault="007B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58" w:rsidRDefault="004E5C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6D" w:rsidRDefault="007B78B5">
      <w:r>
        <w:separator/>
      </w:r>
    </w:p>
  </w:footnote>
  <w:footnote w:type="continuationSeparator" w:id="0">
    <w:p w:rsidR="00222A6D" w:rsidRDefault="007B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38" w:rsidRDefault="00713738">
    <w:pPr>
      <w:pStyle w:val="Header"/>
    </w:pPr>
    <w:r>
      <w:rPr>
        <w:noProof/>
        <w:lang w:val="pl-PL" w:eastAsia="pl-PL" w:bidi="ar-SA"/>
      </w:rPr>
      <w:drawing>
        <wp:anchor distT="0" distB="0" distL="0" distR="0" simplePos="0" relativeHeight="251659264" behindDoc="0" locked="0" layoutInCell="1" allowOverlap="1" wp14:anchorId="213CD76E" wp14:editId="362163FD">
          <wp:simplePos x="0" y="0"/>
          <wp:positionH relativeFrom="page">
            <wp:posOffset>5835650</wp:posOffset>
          </wp:positionH>
          <wp:positionV relativeFrom="paragraph">
            <wp:posOffset>355600</wp:posOffset>
          </wp:positionV>
          <wp:extent cx="1039495" cy="542542"/>
          <wp:effectExtent l="0" t="0" r="8255" b="0"/>
          <wp:wrapThrough wrapText="bothSides">
            <wp:wrapPolygon edited="0">
              <wp:start x="3563" y="0"/>
              <wp:lineTo x="0" y="8347"/>
              <wp:lineTo x="0" y="12141"/>
              <wp:lineTo x="3167" y="20487"/>
              <wp:lineTo x="3563" y="20487"/>
              <wp:lineTo x="17813" y="20487"/>
              <wp:lineTo x="18209" y="20487"/>
              <wp:lineTo x="21376" y="12141"/>
              <wp:lineTo x="21376" y="9105"/>
              <wp:lineTo x="17813" y="0"/>
              <wp:lineTo x="3563" y="0"/>
            </wp:wrapPolygon>
          </wp:wrapThrough>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5917" cy="551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7361"/>
    <w:multiLevelType w:val="hybridMultilevel"/>
    <w:tmpl w:val="4D6EEEEE"/>
    <w:lvl w:ilvl="0" w:tplc="C186D9BA">
      <w:numFmt w:val="bullet"/>
      <w:lvlText w:val=""/>
      <w:lvlJc w:val="left"/>
      <w:pPr>
        <w:ind w:left="916" w:hanging="361"/>
      </w:pPr>
      <w:rPr>
        <w:rFonts w:ascii="Symbol" w:eastAsia="Symbol" w:hAnsi="Symbol" w:cs="Symbol" w:hint="default"/>
        <w:w w:val="100"/>
        <w:sz w:val="22"/>
        <w:szCs w:val="22"/>
        <w:lang w:val="en-US" w:eastAsia="en-US" w:bidi="en-US"/>
      </w:rPr>
    </w:lvl>
    <w:lvl w:ilvl="1" w:tplc="3D02DB4E">
      <w:numFmt w:val="bullet"/>
      <w:lvlText w:val="•"/>
      <w:lvlJc w:val="left"/>
      <w:pPr>
        <w:ind w:left="920" w:hanging="361"/>
      </w:pPr>
      <w:rPr>
        <w:rFonts w:hint="default"/>
        <w:lang w:val="en-US" w:eastAsia="en-US" w:bidi="en-US"/>
      </w:rPr>
    </w:lvl>
    <w:lvl w:ilvl="2" w:tplc="E146D54A">
      <w:numFmt w:val="bullet"/>
      <w:lvlText w:val="•"/>
      <w:lvlJc w:val="left"/>
      <w:pPr>
        <w:ind w:left="1197" w:hanging="361"/>
      </w:pPr>
      <w:rPr>
        <w:rFonts w:hint="default"/>
        <w:lang w:val="en-US" w:eastAsia="en-US" w:bidi="en-US"/>
      </w:rPr>
    </w:lvl>
    <w:lvl w:ilvl="3" w:tplc="FF2E141E">
      <w:numFmt w:val="bullet"/>
      <w:lvlText w:val="•"/>
      <w:lvlJc w:val="left"/>
      <w:pPr>
        <w:ind w:left="1475" w:hanging="361"/>
      </w:pPr>
      <w:rPr>
        <w:rFonts w:hint="default"/>
        <w:lang w:val="en-US" w:eastAsia="en-US" w:bidi="en-US"/>
      </w:rPr>
    </w:lvl>
    <w:lvl w:ilvl="4" w:tplc="17D813F4">
      <w:numFmt w:val="bullet"/>
      <w:lvlText w:val="•"/>
      <w:lvlJc w:val="left"/>
      <w:pPr>
        <w:ind w:left="1753" w:hanging="361"/>
      </w:pPr>
      <w:rPr>
        <w:rFonts w:hint="default"/>
        <w:lang w:val="en-US" w:eastAsia="en-US" w:bidi="en-US"/>
      </w:rPr>
    </w:lvl>
    <w:lvl w:ilvl="5" w:tplc="FF6C9D2C">
      <w:numFmt w:val="bullet"/>
      <w:lvlText w:val="•"/>
      <w:lvlJc w:val="left"/>
      <w:pPr>
        <w:ind w:left="2031" w:hanging="361"/>
      </w:pPr>
      <w:rPr>
        <w:rFonts w:hint="default"/>
        <w:lang w:val="en-US" w:eastAsia="en-US" w:bidi="en-US"/>
      </w:rPr>
    </w:lvl>
    <w:lvl w:ilvl="6" w:tplc="35BA770C">
      <w:numFmt w:val="bullet"/>
      <w:lvlText w:val="•"/>
      <w:lvlJc w:val="left"/>
      <w:pPr>
        <w:ind w:left="2309" w:hanging="361"/>
      </w:pPr>
      <w:rPr>
        <w:rFonts w:hint="default"/>
        <w:lang w:val="en-US" w:eastAsia="en-US" w:bidi="en-US"/>
      </w:rPr>
    </w:lvl>
    <w:lvl w:ilvl="7" w:tplc="97C6F150">
      <w:numFmt w:val="bullet"/>
      <w:lvlText w:val="•"/>
      <w:lvlJc w:val="left"/>
      <w:pPr>
        <w:ind w:left="2587" w:hanging="361"/>
      </w:pPr>
      <w:rPr>
        <w:rFonts w:hint="default"/>
        <w:lang w:val="en-US" w:eastAsia="en-US" w:bidi="en-US"/>
      </w:rPr>
    </w:lvl>
    <w:lvl w:ilvl="8" w:tplc="411C3D02">
      <w:numFmt w:val="bullet"/>
      <w:lvlText w:val="•"/>
      <w:lvlJc w:val="left"/>
      <w:pPr>
        <w:ind w:left="2864" w:hanging="361"/>
      </w:pPr>
      <w:rPr>
        <w:rFonts w:hint="default"/>
        <w:lang w:val="en-US" w:eastAsia="en-US" w:bidi="en-US"/>
      </w:rPr>
    </w:lvl>
  </w:abstractNum>
  <w:abstractNum w:abstractNumId="1" w15:restartNumberingAfterBreak="0">
    <w:nsid w:val="61AD64DA"/>
    <w:multiLevelType w:val="hybridMultilevel"/>
    <w:tmpl w:val="7408F01A"/>
    <w:lvl w:ilvl="0" w:tplc="AA92486C">
      <w:numFmt w:val="bullet"/>
      <w:lvlText w:val=""/>
      <w:lvlJc w:val="left"/>
      <w:pPr>
        <w:ind w:left="916" w:hanging="361"/>
      </w:pPr>
      <w:rPr>
        <w:rFonts w:ascii="Symbol" w:eastAsia="Symbol" w:hAnsi="Symbol" w:cs="Symbol" w:hint="default"/>
        <w:w w:val="100"/>
        <w:sz w:val="22"/>
        <w:szCs w:val="22"/>
        <w:lang w:val="en-US" w:eastAsia="en-US" w:bidi="en-US"/>
      </w:rPr>
    </w:lvl>
    <w:lvl w:ilvl="1" w:tplc="D6864CFE">
      <w:numFmt w:val="bullet"/>
      <w:lvlText w:val="•"/>
      <w:lvlJc w:val="left"/>
      <w:pPr>
        <w:ind w:left="1824" w:hanging="361"/>
      </w:pPr>
      <w:rPr>
        <w:rFonts w:hint="default"/>
        <w:lang w:val="en-US" w:eastAsia="en-US" w:bidi="en-US"/>
      </w:rPr>
    </w:lvl>
    <w:lvl w:ilvl="2" w:tplc="0ED0AD3C">
      <w:numFmt w:val="bullet"/>
      <w:lvlText w:val="•"/>
      <w:lvlJc w:val="left"/>
      <w:pPr>
        <w:ind w:left="2729" w:hanging="361"/>
      </w:pPr>
      <w:rPr>
        <w:rFonts w:hint="default"/>
        <w:lang w:val="en-US" w:eastAsia="en-US" w:bidi="en-US"/>
      </w:rPr>
    </w:lvl>
    <w:lvl w:ilvl="3" w:tplc="68AC2646">
      <w:numFmt w:val="bullet"/>
      <w:lvlText w:val="•"/>
      <w:lvlJc w:val="left"/>
      <w:pPr>
        <w:ind w:left="3633" w:hanging="361"/>
      </w:pPr>
      <w:rPr>
        <w:rFonts w:hint="default"/>
        <w:lang w:val="en-US" w:eastAsia="en-US" w:bidi="en-US"/>
      </w:rPr>
    </w:lvl>
    <w:lvl w:ilvl="4" w:tplc="D99E24BC">
      <w:numFmt w:val="bullet"/>
      <w:lvlText w:val="•"/>
      <w:lvlJc w:val="left"/>
      <w:pPr>
        <w:ind w:left="4538" w:hanging="361"/>
      </w:pPr>
      <w:rPr>
        <w:rFonts w:hint="default"/>
        <w:lang w:val="en-US" w:eastAsia="en-US" w:bidi="en-US"/>
      </w:rPr>
    </w:lvl>
    <w:lvl w:ilvl="5" w:tplc="8FC64668">
      <w:numFmt w:val="bullet"/>
      <w:lvlText w:val="•"/>
      <w:lvlJc w:val="left"/>
      <w:pPr>
        <w:ind w:left="5443" w:hanging="361"/>
      </w:pPr>
      <w:rPr>
        <w:rFonts w:hint="default"/>
        <w:lang w:val="en-US" w:eastAsia="en-US" w:bidi="en-US"/>
      </w:rPr>
    </w:lvl>
    <w:lvl w:ilvl="6" w:tplc="6282A5D8">
      <w:numFmt w:val="bullet"/>
      <w:lvlText w:val="•"/>
      <w:lvlJc w:val="left"/>
      <w:pPr>
        <w:ind w:left="6347" w:hanging="361"/>
      </w:pPr>
      <w:rPr>
        <w:rFonts w:hint="default"/>
        <w:lang w:val="en-US" w:eastAsia="en-US" w:bidi="en-US"/>
      </w:rPr>
    </w:lvl>
    <w:lvl w:ilvl="7" w:tplc="B78277B6">
      <w:numFmt w:val="bullet"/>
      <w:lvlText w:val="•"/>
      <w:lvlJc w:val="left"/>
      <w:pPr>
        <w:ind w:left="7252" w:hanging="361"/>
      </w:pPr>
      <w:rPr>
        <w:rFonts w:hint="default"/>
        <w:lang w:val="en-US" w:eastAsia="en-US" w:bidi="en-US"/>
      </w:rPr>
    </w:lvl>
    <w:lvl w:ilvl="8" w:tplc="1F2AFF7A">
      <w:numFmt w:val="bullet"/>
      <w:lvlText w:val="•"/>
      <w:lvlJc w:val="left"/>
      <w:pPr>
        <w:ind w:left="8157"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02"/>
    <w:rsid w:val="000C2F89"/>
    <w:rsid w:val="00177FAE"/>
    <w:rsid w:val="00196AF1"/>
    <w:rsid w:val="00222A6D"/>
    <w:rsid w:val="004E5C58"/>
    <w:rsid w:val="006D68F3"/>
    <w:rsid w:val="00713738"/>
    <w:rsid w:val="007933F4"/>
    <w:rsid w:val="007B78B5"/>
    <w:rsid w:val="00937EB6"/>
    <w:rsid w:val="00953902"/>
    <w:rsid w:val="00FE3F9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140C"/>
  <w15:docId w15:val="{9010F674-35A7-4A3A-9617-20FE6498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916" w:hanging="36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FE3F9C"/>
    <w:pPr>
      <w:tabs>
        <w:tab w:val="center" w:pos="4536"/>
        <w:tab w:val="right" w:pos="9072"/>
      </w:tabs>
    </w:pPr>
  </w:style>
  <w:style w:type="character" w:customStyle="1" w:styleId="HeaderChar">
    <w:name w:val="Header Char"/>
    <w:basedOn w:val="DefaultParagraphFont"/>
    <w:link w:val="Header"/>
    <w:uiPriority w:val="99"/>
    <w:rsid w:val="00FE3F9C"/>
    <w:rPr>
      <w:rFonts w:ascii="Times New Roman" w:eastAsia="Times New Roman" w:hAnsi="Times New Roman" w:cs="Times New Roman"/>
      <w:lang w:bidi="en-US"/>
    </w:rPr>
  </w:style>
  <w:style w:type="paragraph" w:styleId="Footer">
    <w:name w:val="footer"/>
    <w:basedOn w:val="Normal"/>
    <w:link w:val="FooterChar"/>
    <w:uiPriority w:val="99"/>
    <w:unhideWhenUsed/>
    <w:rsid w:val="00FE3F9C"/>
    <w:pPr>
      <w:tabs>
        <w:tab w:val="center" w:pos="4536"/>
        <w:tab w:val="right" w:pos="9072"/>
      </w:tabs>
    </w:pPr>
  </w:style>
  <w:style w:type="character" w:customStyle="1" w:styleId="FooterChar">
    <w:name w:val="Footer Char"/>
    <w:basedOn w:val="DefaultParagraphFont"/>
    <w:link w:val="Footer"/>
    <w:uiPriority w:val="99"/>
    <w:rsid w:val="00FE3F9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Collaboration with Atea Pharmaceuticals</vt:lpstr>
    </vt:vector>
  </TitlesOfParts>
  <Company>GTCAMG Sp. z o.o.</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Atea Pharmaceuticals</dc:title>
  <dc:creator>F.Hoffmann-La Roche Ltd</dc:creator>
  <cp:lastModifiedBy>Weronika Rudecka</cp:lastModifiedBy>
  <cp:revision>3</cp:revision>
  <dcterms:created xsi:type="dcterms:W3CDTF">2020-10-27T09:22:00Z</dcterms:created>
  <dcterms:modified xsi:type="dcterms:W3CDTF">2020-10-27T12:24:00Z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15 for Word</vt:lpwstr>
  </property>
  <property fmtid="{D5CDD505-2E9C-101B-9397-08002B2CF9AE}" pid="4" name="LastSaved">
    <vt:filetime>2020-10-22T00:00:00Z</vt:filetime>
  </property>
</Properties>
</file>