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3" w:rsidRPr="00402560" w:rsidRDefault="00D41550" w:rsidP="00240BA3">
      <w:pPr>
        <w:spacing w:after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Informacja prasowa</w:t>
      </w:r>
    </w:p>
    <w:p w:rsidR="006F2AC0" w:rsidRPr="006F2AC0" w:rsidRDefault="00D41550" w:rsidP="006F2AC0">
      <w:pPr>
        <w:spacing w:after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Wrocław, </w:t>
      </w:r>
      <w:r w:rsidR="00ED256B">
        <w:rPr>
          <w:rFonts w:ascii="Calibri" w:hAnsi="Calibri" w:cs="Arial"/>
          <w:sz w:val="20"/>
        </w:rPr>
        <w:t>25</w:t>
      </w:r>
      <w:r w:rsidR="00F87B6D">
        <w:rPr>
          <w:rFonts w:ascii="Calibri" w:hAnsi="Calibri" w:cs="Arial"/>
          <w:sz w:val="20"/>
        </w:rPr>
        <w:t xml:space="preserve"> listopada</w:t>
      </w:r>
      <w:r>
        <w:rPr>
          <w:rFonts w:ascii="Calibri" w:hAnsi="Calibri" w:cs="Arial"/>
          <w:sz w:val="20"/>
        </w:rPr>
        <w:t xml:space="preserve"> </w:t>
      </w:r>
      <w:r w:rsidR="00796D8D">
        <w:rPr>
          <w:rFonts w:ascii="Calibri" w:hAnsi="Calibri" w:cs="Arial"/>
          <w:sz w:val="20"/>
        </w:rPr>
        <w:t>2020</w:t>
      </w:r>
    </w:p>
    <w:p w:rsidR="006F2AC0" w:rsidRPr="00474C56" w:rsidRDefault="00CC3621" w:rsidP="00C422B3">
      <w:pPr>
        <w:spacing w:before="360" w:after="360" w:line="240" w:lineRule="auto"/>
        <w:rPr>
          <w:rFonts w:ascii="Calibri" w:hAnsi="Calibri" w:cs="Calibri"/>
          <w:b/>
          <w:color w:val="55AB8C"/>
          <w:sz w:val="32"/>
        </w:rPr>
      </w:pPr>
      <w:r w:rsidRPr="00474C56">
        <w:rPr>
          <w:rFonts w:ascii="Calibri" w:hAnsi="Calibri" w:cs="Calibri"/>
          <w:b/>
          <w:color w:val="55AB8C"/>
          <w:sz w:val="32"/>
        </w:rPr>
        <w:t>„Zielona droga” za droga dla MŚP.</w:t>
      </w:r>
      <w:r w:rsidR="00053F5D" w:rsidRPr="00474C56">
        <w:rPr>
          <w:rFonts w:ascii="Calibri" w:hAnsi="Calibri" w:cs="Calibri"/>
          <w:b/>
          <w:color w:val="55AB8C"/>
          <w:sz w:val="32"/>
        </w:rPr>
        <w:t xml:space="preserve"> 87 proc. firm rezygnuje z OZE przez koszty </w:t>
      </w:r>
      <w:r w:rsidR="005C3C75" w:rsidRPr="00474C56">
        <w:rPr>
          <w:rFonts w:ascii="Calibri" w:hAnsi="Calibri" w:cs="Calibri"/>
          <w:b/>
          <w:color w:val="55AB8C"/>
          <w:sz w:val="32"/>
        </w:rPr>
        <w:t>inwestycji</w:t>
      </w:r>
    </w:p>
    <w:p w:rsidR="00D35FF4" w:rsidRPr="00474C56" w:rsidRDefault="00CC3621" w:rsidP="00D35FF4">
      <w:pPr>
        <w:spacing w:after="120" w:line="360" w:lineRule="auto"/>
        <w:jc w:val="both"/>
        <w:rPr>
          <w:rFonts w:ascii="Calibri" w:hAnsi="Calibri" w:cs="Calibri"/>
          <w:b/>
          <w:color w:val="55AB8C"/>
          <w:sz w:val="21"/>
          <w:szCs w:val="20"/>
        </w:rPr>
      </w:pPr>
      <w:r w:rsidRPr="00474C56">
        <w:rPr>
          <w:rFonts w:ascii="Calibri" w:hAnsi="Calibri" w:cs="Calibri"/>
          <w:b/>
          <w:color w:val="55AB8C"/>
          <w:sz w:val="21"/>
          <w:szCs w:val="20"/>
        </w:rPr>
        <w:t xml:space="preserve">Na rozwój odnawialnych źródeł energii w segmencie MŚP największy wpływ ma koszt </w:t>
      </w:r>
      <w:r w:rsidR="00DC5521" w:rsidRPr="00474C56">
        <w:rPr>
          <w:rFonts w:ascii="Calibri" w:hAnsi="Calibri" w:cs="Calibri"/>
          <w:b/>
          <w:color w:val="55AB8C"/>
          <w:sz w:val="21"/>
          <w:szCs w:val="20"/>
        </w:rPr>
        <w:t>zielonej</w:t>
      </w:r>
      <w:r w:rsidRPr="00474C56">
        <w:rPr>
          <w:rFonts w:ascii="Calibri" w:hAnsi="Calibri" w:cs="Calibri"/>
          <w:b/>
          <w:color w:val="55AB8C"/>
          <w:sz w:val="21"/>
          <w:szCs w:val="20"/>
        </w:rPr>
        <w:t xml:space="preserve"> inwestycji. Jego</w:t>
      </w:r>
      <w:r w:rsidR="00D35FF4" w:rsidRPr="00474C56">
        <w:rPr>
          <w:rFonts w:ascii="Calibri" w:hAnsi="Calibri" w:cs="Calibri"/>
          <w:b/>
          <w:color w:val="55AB8C"/>
          <w:sz w:val="21"/>
          <w:szCs w:val="20"/>
        </w:rPr>
        <w:t xml:space="preserve"> znaczenie </w:t>
      </w:r>
      <w:r w:rsidRPr="00474C56">
        <w:rPr>
          <w:rFonts w:ascii="Calibri" w:hAnsi="Calibri" w:cs="Calibri"/>
          <w:b/>
          <w:color w:val="55AB8C"/>
          <w:sz w:val="21"/>
          <w:szCs w:val="20"/>
        </w:rPr>
        <w:t>jest jednak coraz mniejsz</w:t>
      </w:r>
      <w:r w:rsidR="00D35FF4" w:rsidRPr="00474C56">
        <w:rPr>
          <w:rFonts w:ascii="Calibri" w:hAnsi="Calibri" w:cs="Calibri"/>
          <w:b/>
          <w:color w:val="55AB8C"/>
          <w:sz w:val="21"/>
          <w:szCs w:val="20"/>
        </w:rPr>
        <w:t>e</w:t>
      </w:r>
      <w:r w:rsidRPr="00474C56">
        <w:rPr>
          <w:rFonts w:ascii="Calibri" w:hAnsi="Calibri" w:cs="Calibri"/>
          <w:b/>
          <w:color w:val="55AB8C"/>
          <w:sz w:val="21"/>
          <w:szCs w:val="20"/>
        </w:rPr>
        <w:t xml:space="preserve"> wraz ze wzrostem wielkości przedsiębiorstwa, na rzecz możliwej do wyprodukowania </w:t>
      </w:r>
      <w:r w:rsidR="00BF1E09" w:rsidRPr="00474C56">
        <w:rPr>
          <w:rFonts w:ascii="Calibri" w:hAnsi="Calibri" w:cs="Calibri"/>
          <w:b/>
          <w:color w:val="55AB8C"/>
          <w:sz w:val="21"/>
          <w:szCs w:val="20"/>
        </w:rPr>
        <w:t>energii</w:t>
      </w:r>
      <w:r w:rsidRPr="00474C56">
        <w:rPr>
          <w:rFonts w:ascii="Calibri" w:hAnsi="Calibri" w:cs="Calibri"/>
          <w:b/>
          <w:color w:val="55AB8C"/>
          <w:sz w:val="21"/>
          <w:szCs w:val="20"/>
        </w:rPr>
        <w:t xml:space="preserve"> – wynika z raportu EFL „Zielona energia w MŚP. Pod lupą”.</w:t>
      </w:r>
      <w:r w:rsidR="00DC5521" w:rsidRPr="00474C56">
        <w:rPr>
          <w:rFonts w:ascii="Calibri" w:hAnsi="Calibri" w:cs="Calibri"/>
          <w:b/>
          <w:color w:val="55AB8C"/>
          <w:sz w:val="21"/>
          <w:szCs w:val="20"/>
        </w:rPr>
        <w:t xml:space="preserve"> To właśnie wysokie koszty początkowe instalacji</w:t>
      </w:r>
      <w:r w:rsidR="00D35FF4" w:rsidRPr="00474C56">
        <w:rPr>
          <w:rFonts w:ascii="Calibri" w:hAnsi="Calibri" w:cs="Calibri"/>
          <w:b/>
          <w:color w:val="55AB8C"/>
          <w:sz w:val="21"/>
          <w:szCs w:val="20"/>
        </w:rPr>
        <w:t>,</w:t>
      </w:r>
      <w:r w:rsidR="00DC5521" w:rsidRPr="00474C56">
        <w:rPr>
          <w:rFonts w:ascii="Calibri" w:hAnsi="Calibri" w:cs="Calibri"/>
          <w:b/>
          <w:color w:val="55AB8C"/>
          <w:sz w:val="21"/>
          <w:szCs w:val="20"/>
        </w:rPr>
        <w:t xml:space="preserve"> </w:t>
      </w:r>
      <w:r w:rsidR="00D35FF4" w:rsidRPr="00474C56">
        <w:rPr>
          <w:rFonts w:ascii="Calibri" w:hAnsi="Calibri" w:cs="Calibri"/>
          <w:b/>
          <w:color w:val="55AB8C"/>
          <w:sz w:val="21"/>
          <w:szCs w:val="20"/>
        </w:rPr>
        <w:t>w opinii</w:t>
      </w:r>
      <w:r w:rsidR="00DC5521" w:rsidRPr="00474C56">
        <w:rPr>
          <w:rFonts w:ascii="Calibri" w:hAnsi="Calibri" w:cs="Calibri"/>
          <w:b/>
          <w:color w:val="55AB8C"/>
          <w:sz w:val="21"/>
          <w:szCs w:val="20"/>
        </w:rPr>
        <w:t xml:space="preserve"> </w:t>
      </w:r>
      <w:r w:rsidR="00D35FF4" w:rsidRPr="00474C56">
        <w:rPr>
          <w:rFonts w:ascii="Calibri" w:hAnsi="Calibri" w:cs="Calibri"/>
          <w:b/>
          <w:color w:val="55AB8C"/>
          <w:sz w:val="21"/>
          <w:szCs w:val="20"/>
        </w:rPr>
        <w:t>87 proc. mikro, małych i średnich firm, najbardziej hamują ich decyzje o inwestycji w OZE. 8 na 10 przedsiębiorców do wejścia na „zieloną drogę” zniechęca zbyt długi okres zwrotu, a ponad połowę brak lub niska kwota dofinansowania.</w:t>
      </w:r>
    </w:p>
    <w:p w:rsidR="0071000A" w:rsidRPr="00474C56" w:rsidRDefault="00BF1E09" w:rsidP="00BF1E09">
      <w:pPr>
        <w:spacing w:after="120" w:line="360" w:lineRule="auto"/>
        <w:jc w:val="both"/>
        <w:rPr>
          <w:i/>
          <w:color w:val="55AB8C"/>
          <w:sz w:val="21"/>
          <w:szCs w:val="20"/>
        </w:rPr>
      </w:pPr>
      <w:r w:rsidRPr="00C8189E">
        <w:rPr>
          <w:i/>
          <w:sz w:val="21"/>
          <w:szCs w:val="20"/>
        </w:rPr>
        <w:t xml:space="preserve">– </w:t>
      </w:r>
      <w:r w:rsidR="00A83555" w:rsidRPr="00BF1E09">
        <w:rPr>
          <w:i/>
          <w:sz w:val="21"/>
          <w:szCs w:val="20"/>
        </w:rPr>
        <w:t>Największy wpływ na decyzję o inwestycji w instalację energii odnawialnej ma cena początkowa.</w:t>
      </w:r>
      <w:r w:rsidRPr="00BF1E09">
        <w:rPr>
          <w:i/>
          <w:sz w:val="21"/>
          <w:szCs w:val="20"/>
        </w:rPr>
        <w:t xml:space="preserve"> Możliwa do wyprodukowania ilość energii schodzi na dalszy plan. Jednak im większa firma i tym samym większe zapotrzebowanie na prąd, tym mniejsze znaczenie ma koszt, a większe – ilość zielonej energii, jaką </w:t>
      </w:r>
      <w:proofErr w:type="spellStart"/>
      <w:r w:rsidRPr="00BF1E09">
        <w:rPr>
          <w:i/>
          <w:sz w:val="21"/>
          <w:szCs w:val="20"/>
        </w:rPr>
        <w:t>można</w:t>
      </w:r>
      <w:proofErr w:type="spellEnd"/>
      <w:r w:rsidRPr="00BF1E09">
        <w:rPr>
          <w:i/>
          <w:sz w:val="21"/>
          <w:szCs w:val="20"/>
        </w:rPr>
        <w:t xml:space="preserve"> </w:t>
      </w:r>
      <w:proofErr w:type="spellStart"/>
      <w:r w:rsidRPr="00BF1E09">
        <w:rPr>
          <w:i/>
          <w:sz w:val="21"/>
          <w:szCs w:val="20"/>
        </w:rPr>
        <w:t>dzięki</w:t>
      </w:r>
      <w:proofErr w:type="spellEnd"/>
      <w:r w:rsidRPr="00BF1E09">
        <w:rPr>
          <w:i/>
          <w:sz w:val="21"/>
          <w:szCs w:val="20"/>
        </w:rPr>
        <w:t xml:space="preserve"> danej instalacji </w:t>
      </w:r>
      <w:proofErr w:type="spellStart"/>
      <w:r w:rsidRPr="00BF1E09">
        <w:rPr>
          <w:i/>
          <w:sz w:val="21"/>
          <w:szCs w:val="20"/>
        </w:rPr>
        <w:t>wyprodukowac</w:t>
      </w:r>
      <w:proofErr w:type="spellEnd"/>
      <w:r w:rsidRPr="00BF1E09">
        <w:rPr>
          <w:i/>
          <w:sz w:val="21"/>
          <w:szCs w:val="20"/>
        </w:rPr>
        <w:t>́. Dla 94 proc. mikrofirm ten czynnik ma bardzo mały wpływ, podczas gdy dla ponad połowy średnich – umiarkowany</w:t>
      </w:r>
      <w:r w:rsidR="0077766C">
        <w:rPr>
          <w:i/>
          <w:sz w:val="21"/>
          <w:szCs w:val="20"/>
        </w:rPr>
        <w:t xml:space="preserve">. </w:t>
      </w:r>
      <w:r w:rsidR="00154F6A">
        <w:rPr>
          <w:i/>
          <w:sz w:val="21"/>
          <w:szCs w:val="20"/>
        </w:rPr>
        <w:t>Trwająca pandemia może jednak sporo namieszać i na tym rynku. Wiele firm wstrzyma się z dodatkowymi inwestycjami, w tym z OZE, które w piramidzie podstaw nie zajmują miejsca w czołówce i są ujmowane jako dodatkowy koszt. Tymczasem należy wziąć pod uwagę, że fotowoltaika to inwestycja, która zwróci się w przyszłości</w:t>
      </w:r>
      <w:r w:rsidR="004300D0">
        <w:rPr>
          <w:i/>
          <w:sz w:val="21"/>
          <w:szCs w:val="20"/>
        </w:rPr>
        <w:t xml:space="preserve"> i przyniesie znaczne oszczędności</w:t>
      </w:r>
      <w:r w:rsidR="00154F6A">
        <w:rPr>
          <w:i/>
          <w:sz w:val="21"/>
          <w:szCs w:val="20"/>
        </w:rPr>
        <w:t>. A</w:t>
      </w:r>
      <w:r w:rsidR="004300D0">
        <w:rPr>
          <w:i/>
          <w:sz w:val="21"/>
          <w:szCs w:val="20"/>
        </w:rPr>
        <w:t xml:space="preserve"> wskazywany</w:t>
      </w:r>
      <w:r w:rsidR="00154F6A">
        <w:rPr>
          <w:i/>
          <w:sz w:val="21"/>
          <w:szCs w:val="20"/>
        </w:rPr>
        <w:t xml:space="preserve"> koszt początkowy</w:t>
      </w:r>
      <w:r w:rsidR="004300D0">
        <w:rPr>
          <w:i/>
          <w:sz w:val="21"/>
          <w:szCs w:val="20"/>
        </w:rPr>
        <w:t xml:space="preserve"> instalacji</w:t>
      </w:r>
      <w:r w:rsidR="00154F6A">
        <w:rPr>
          <w:i/>
          <w:sz w:val="21"/>
          <w:szCs w:val="20"/>
        </w:rPr>
        <w:t xml:space="preserve"> można znacznie zmniejszyć korzystając ze wsparcia finansowego, które przygotowaliśmy w EFL</w:t>
      </w:r>
      <w:r>
        <w:rPr>
          <w:i/>
          <w:sz w:val="21"/>
          <w:szCs w:val="20"/>
        </w:rPr>
        <w:t xml:space="preserve"> </w:t>
      </w:r>
      <w:r w:rsidR="0071000A">
        <w:rPr>
          <w:sz w:val="21"/>
          <w:szCs w:val="20"/>
        </w:rPr>
        <w:t xml:space="preserve">– powiedział </w:t>
      </w:r>
      <w:r w:rsidR="0071000A" w:rsidRPr="00474C56">
        <w:rPr>
          <w:rFonts w:ascii="Calibri" w:hAnsi="Calibri" w:cs="Calibri"/>
          <w:b/>
          <w:color w:val="55AB8C"/>
          <w:sz w:val="21"/>
          <w:szCs w:val="20"/>
        </w:rPr>
        <w:t>Rad</w:t>
      </w:r>
      <w:r w:rsidR="00A812F6" w:rsidRPr="00474C56">
        <w:rPr>
          <w:rFonts w:ascii="Calibri" w:hAnsi="Calibri" w:cs="Calibri"/>
          <w:b/>
          <w:color w:val="55AB8C"/>
          <w:sz w:val="21"/>
          <w:szCs w:val="20"/>
        </w:rPr>
        <w:t>osław Woźniak, prezes zarządu EFL S.A.</w:t>
      </w:r>
    </w:p>
    <w:p w:rsidR="004C4E87" w:rsidRPr="00474C56" w:rsidRDefault="00EE3D86" w:rsidP="00F96D6C">
      <w:pPr>
        <w:pStyle w:val="Bezodstpw"/>
        <w:spacing w:before="120" w:after="120" w:line="360" w:lineRule="auto"/>
        <w:jc w:val="both"/>
        <w:rPr>
          <w:rFonts w:ascii="Calibri" w:hAnsi="Calibri" w:cs="Calibri"/>
          <w:b/>
          <w:color w:val="55AB8C"/>
          <w:sz w:val="21"/>
          <w:szCs w:val="20"/>
        </w:rPr>
      </w:pPr>
      <w:r w:rsidRPr="00474C56">
        <w:rPr>
          <w:rFonts w:ascii="Calibri" w:hAnsi="Calibri" w:cs="Calibri"/>
          <w:b/>
          <w:color w:val="55AB8C"/>
          <w:sz w:val="21"/>
          <w:szCs w:val="20"/>
        </w:rPr>
        <w:t>Zielone hamulce</w:t>
      </w:r>
    </w:p>
    <w:p w:rsidR="00EE3D86" w:rsidRDefault="004C4E87" w:rsidP="00F96D6C">
      <w:pPr>
        <w:pStyle w:val="Bezodstpw"/>
        <w:spacing w:before="120" w:after="120" w:line="360" w:lineRule="auto"/>
        <w:jc w:val="both"/>
        <w:rPr>
          <w:sz w:val="21"/>
          <w:szCs w:val="20"/>
        </w:rPr>
      </w:pPr>
      <w:r>
        <w:rPr>
          <w:sz w:val="21"/>
          <w:szCs w:val="20"/>
        </w:rPr>
        <w:t>W najnowszym raporcie</w:t>
      </w:r>
      <w:r w:rsidR="00EE3D86">
        <w:rPr>
          <w:sz w:val="21"/>
          <w:szCs w:val="20"/>
        </w:rPr>
        <w:t xml:space="preserve"> </w:t>
      </w:r>
      <w:r>
        <w:rPr>
          <w:sz w:val="21"/>
          <w:szCs w:val="20"/>
        </w:rPr>
        <w:t>„Zielona energia w MŚP. Pod lupą”</w:t>
      </w:r>
      <w:r w:rsidR="00EE3D86">
        <w:rPr>
          <w:sz w:val="21"/>
          <w:szCs w:val="20"/>
        </w:rPr>
        <w:t xml:space="preserve"> EFL</w:t>
      </w:r>
      <w:r>
        <w:rPr>
          <w:sz w:val="21"/>
          <w:szCs w:val="20"/>
        </w:rPr>
        <w:t xml:space="preserve"> </w:t>
      </w:r>
      <w:r w:rsidR="00EE3D86" w:rsidRPr="00EE3D86">
        <w:rPr>
          <w:sz w:val="21"/>
          <w:szCs w:val="20"/>
        </w:rPr>
        <w:t>zidentyfikowa</w:t>
      </w:r>
      <w:r w:rsidR="00EE3D86">
        <w:rPr>
          <w:sz w:val="21"/>
          <w:szCs w:val="20"/>
        </w:rPr>
        <w:t>ł</w:t>
      </w:r>
      <w:r w:rsidR="00EE3D86" w:rsidRPr="00EE3D86">
        <w:rPr>
          <w:sz w:val="21"/>
          <w:szCs w:val="20"/>
        </w:rPr>
        <w:t xml:space="preserve"> trzy największe bariery </w:t>
      </w:r>
      <w:proofErr w:type="spellStart"/>
      <w:r w:rsidR="00EE3D86" w:rsidRPr="00EE3D86">
        <w:rPr>
          <w:sz w:val="21"/>
          <w:szCs w:val="20"/>
        </w:rPr>
        <w:t>hamujące</w:t>
      </w:r>
      <w:proofErr w:type="spellEnd"/>
      <w:r w:rsidR="00EE3D86" w:rsidRPr="00EE3D86">
        <w:rPr>
          <w:sz w:val="21"/>
          <w:szCs w:val="20"/>
        </w:rPr>
        <w:t xml:space="preserve"> decyzje </w:t>
      </w:r>
      <w:proofErr w:type="spellStart"/>
      <w:r w:rsidR="00EE3D86" w:rsidRPr="00EE3D86">
        <w:rPr>
          <w:sz w:val="21"/>
          <w:szCs w:val="20"/>
        </w:rPr>
        <w:t>przedsiębiorców</w:t>
      </w:r>
      <w:proofErr w:type="spellEnd"/>
      <w:r w:rsidR="00EE3D86" w:rsidRPr="00EE3D86">
        <w:rPr>
          <w:sz w:val="21"/>
          <w:szCs w:val="20"/>
        </w:rPr>
        <w:t xml:space="preserve"> o inwestycjach w OZE.</w:t>
      </w:r>
      <w:r w:rsidR="00EE3D86">
        <w:rPr>
          <w:sz w:val="21"/>
          <w:szCs w:val="20"/>
        </w:rPr>
        <w:t xml:space="preserve"> </w:t>
      </w:r>
      <w:r w:rsidR="00EE3D86" w:rsidRPr="00EE3D86">
        <w:rPr>
          <w:sz w:val="21"/>
          <w:szCs w:val="20"/>
        </w:rPr>
        <w:t xml:space="preserve">W opinii 87 proc. zapytanych </w:t>
      </w:r>
      <w:proofErr w:type="spellStart"/>
      <w:r w:rsidR="00EE3D86" w:rsidRPr="00EE3D86">
        <w:rPr>
          <w:sz w:val="21"/>
          <w:szCs w:val="20"/>
        </w:rPr>
        <w:t>sa</w:t>
      </w:r>
      <w:proofErr w:type="spellEnd"/>
      <w:r w:rsidR="00EE3D86" w:rsidRPr="00EE3D86">
        <w:rPr>
          <w:sz w:val="21"/>
          <w:szCs w:val="20"/>
        </w:rPr>
        <w:t xml:space="preserve">̨ to zbyt wysokie koszty </w:t>
      </w:r>
      <w:proofErr w:type="spellStart"/>
      <w:r w:rsidR="00EE3D86" w:rsidRPr="00EE3D86">
        <w:rPr>
          <w:sz w:val="21"/>
          <w:szCs w:val="20"/>
        </w:rPr>
        <w:t>początkowe</w:t>
      </w:r>
      <w:proofErr w:type="spellEnd"/>
      <w:r w:rsidR="00EE3D86" w:rsidRPr="00EE3D86">
        <w:rPr>
          <w:sz w:val="21"/>
          <w:szCs w:val="20"/>
        </w:rPr>
        <w:t xml:space="preserve">, 79 proc. – długi okres zwrotu z inwestycji, a ponad </w:t>
      </w:r>
      <w:proofErr w:type="spellStart"/>
      <w:r w:rsidR="00EE3D86" w:rsidRPr="00EE3D86">
        <w:rPr>
          <w:sz w:val="21"/>
          <w:szCs w:val="20"/>
        </w:rPr>
        <w:t>połowe</w:t>
      </w:r>
      <w:proofErr w:type="spellEnd"/>
      <w:r w:rsidR="00EE3D86" w:rsidRPr="00EE3D86">
        <w:rPr>
          <w:sz w:val="21"/>
          <w:szCs w:val="20"/>
        </w:rPr>
        <w:t xml:space="preserve">̨ firm </w:t>
      </w:r>
      <w:r w:rsidR="00EE3D86">
        <w:rPr>
          <w:sz w:val="21"/>
          <w:szCs w:val="20"/>
        </w:rPr>
        <w:t xml:space="preserve">(56 proc.) </w:t>
      </w:r>
      <w:r w:rsidR="00EE3D86" w:rsidRPr="00EE3D86">
        <w:rPr>
          <w:sz w:val="21"/>
          <w:szCs w:val="20"/>
        </w:rPr>
        <w:t xml:space="preserve">hamuje zbyt niska kwota lub brak dofinansowania. </w:t>
      </w:r>
      <w:proofErr w:type="spellStart"/>
      <w:r w:rsidR="00EE3D86" w:rsidRPr="00EE3D86">
        <w:rPr>
          <w:sz w:val="21"/>
          <w:szCs w:val="20"/>
        </w:rPr>
        <w:t>Mikrofirmy</w:t>
      </w:r>
      <w:proofErr w:type="spellEnd"/>
      <w:r w:rsidR="00EE3D86" w:rsidRPr="00EE3D86">
        <w:rPr>
          <w:sz w:val="21"/>
          <w:szCs w:val="20"/>
        </w:rPr>
        <w:t xml:space="preserve"> zdecydowanie </w:t>
      </w:r>
      <w:proofErr w:type="spellStart"/>
      <w:r w:rsidR="00EE3D86" w:rsidRPr="00EE3D86">
        <w:rPr>
          <w:sz w:val="21"/>
          <w:szCs w:val="20"/>
        </w:rPr>
        <w:t>częściej</w:t>
      </w:r>
      <w:proofErr w:type="spellEnd"/>
      <w:r w:rsidR="00EE3D86" w:rsidRPr="00EE3D86">
        <w:rPr>
          <w:sz w:val="21"/>
          <w:szCs w:val="20"/>
        </w:rPr>
        <w:t xml:space="preserve"> </w:t>
      </w:r>
      <w:proofErr w:type="spellStart"/>
      <w:r w:rsidR="00EE3D86" w:rsidRPr="00EE3D86">
        <w:rPr>
          <w:sz w:val="21"/>
          <w:szCs w:val="20"/>
        </w:rPr>
        <w:t>niz</w:t>
      </w:r>
      <w:proofErr w:type="spellEnd"/>
      <w:r w:rsidR="00EE3D86" w:rsidRPr="00EE3D86">
        <w:rPr>
          <w:sz w:val="21"/>
          <w:szCs w:val="20"/>
        </w:rPr>
        <w:t xml:space="preserve">̇ pozostali badani </w:t>
      </w:r>
      <w:proofErr w:type="spellStart"/>
      <w:r w:rsidR="00EE3D86" w:rsidRPr="00EE3D86">
        <w:rPr>
          <w:sz w:val="21"/>
          <w:szCs w:val="20"/>
        </w:rPr>
        <w:t>wskazuja</w:t>
      </w:r>
      <w:proofErr w:type="spellEnd"/>
      <w:r w:rsidR="00EE3D86" w:rsidRPr="00EE3D86">
        <w:rPr>
          <w:sz w:val="21"/>
          <w:szCs w:val="20"/>
        </w:rPr>
        <w:t xml:space="preserve">̨, </w:t>
      </w:r>
      <w:proofErr w:type="spellStart"/>
      <w:r w:rsidR="00EE3D86" w:rsidRPr="00EE3D86">
        <w:rPr>
          <w:sz w:val="21"/>
          <w:szCs w:val="20"/>
        </w:rPr>
        <w:t>że</w:t>
      </w:r>
      <w:proofErr w:type="spellEnd"/>
      <w:r w:rsidR="00EE3D86" w:rsidRPr="00EE3D86">
        <w:rPr>
          <w:sz w:val="21"/>
          <w:szCs w:val="20"/>
        </w:rPr>
        <w:t xml:space="preserve"> wydatki na energię </w:t>
      </w:r>
      <w:proofErr w:type="spellStart"/>
      <w:r w:rsidR="00EE3D86" w:rsidRPr="00EE3D86">
        <w:rPr>
          <w:sz w:val="21"/>
          <w:szCs w:val="20"/>
        </w:rPr>
        <w:t>stanowia</w:t>
      </w:r>
      <w:proofErr w:type="spellEnd"/>
      <w:r w:rsidR="00EE3D86" w:rsidRPr="00EE3D86">
        <w:rPr>
          <w:sz w:val="21"/>
          <w:szCs w:val="20"/>
        </w:rPr>
        <w:t xml:space="preserve">̨ zbyt małą </w:t>
      </w:r>
      <w:proofErr w:type="spellStart"/>
      <w:r w:rsidR="00EE3D86" w:rsidRPr="00EE3D86">
        <w:rPr>
          <w:sz w:val="21"/>
          <w:szCs w:val="20"/>
        </w:rPr>
        <w:t>częśc</w:t>
      </w:r>
      <w:proofErr w:type="spellEnd"/>
      <w:r w:rsidR="00EE3D86" w:rsidRPr="00EE3D86">
        <w:rPr>
          <w:sz w:val="21"/>
          <w:szCs w:val="20"/>
        </w:rPr>
        <w:t xml:space="preserve">́ </w:t>
      </w:r>
      <w:proofErr w:type="spellStart"/>
      <w:r w:rsidR="00EE3D86" w:rsidRPr="00EE3D86">
        <w:rPr>
          <w:sz w:val="21"/>
          <w:szCs w:val="20"/>
        </w:rPr>
        <w:t>kosztów</w:t>
      </w:r>
      <w:proofErr w:type="spellEnd"/>
      <w:r w:rsidR="00EE3D86" w:rsidRPr="00EE3D86">
        <w:rPr>
          <w:sz w:val="21"/>
          <w:szCs w:val="20"/>
        </w:rPr>
        <w:t xml:space="preserve">, aby </w:t>
      </w:r>
      <w:proofErr w:type="spellStart"/>
      <w:r w:rsidR="00EE3D86" w:rsidRPr="00EE3D86">
        <w:rPr>
          <w:sz w:val="21"/>
          <w:szCs w:val="20"/>
        </w:rPr>
        <w:t>inwestowac</w:t>
      </w:r>
      <w:proofErr w:type="spellEnd"/>
      <w:r w:rsidR="00EE3D86" w:rsidRPr="00EE3D86">
        <w:rPr>
          <w:sz w:val="21"/>
          <w:szCs w:val="20"/>
        </w:rPr>
        <w:t xml:space="preserve">́ w OZE. Natomiast wraz ze wzrostem </w:t>
      </w:r>
      <w:proofErr w:type="spellStart"/>
      <w:r w:rsidR="00EE3D86" w:rsidRPr="00EE3D86">
        <w:rPr>
          <w:sz w:val="21"/>
          <w:szCs w:val="20"/>
        </w:rPr>
        <w:t>wielkości</w:t>
      </w:r>
      <w:proofErr w:type="spellEnd"/>
      <w:r w:rsidR="00EE3D86" w:rsidRPr="00EE3D86">
        <w:rPr>
          <w:sz w:val="21"/>
          <w:szCs w:val="20"/>
        </w:rPr>
        <w:t xml:space="preserve"> firmy </w:t>
      </w:r>
      <w:proofErr w:type="spellStart"/>
      <w:r w:rsidR="00EE3D86" w:rsidRPr="00EE3D86">
        <w:rPr>
          <w:sz w:val="21"/>
          <w:szCs w:val="20"/>
        </w:rPr>
        <w:t>przedsiębiorcy</w:t>
      </w:r>
      <w:proofErr w:type="spellEnd"/>
      <w:r w:rsidR="00EE3D86" w:rsidRPr="00EE3D86">
        <w:rPr>
          <w:sz w:val="21"/>
          <w:szCs w:val="20"/>
        </w:rPr>
        <w:t xml:space="preserve"> </w:t>
      </w:r>
      <w:proofErr w:type="spellStart"/>
      <w:r w:rsidR="00EE3D86" w:rsidRPr="00EE3D86">
        <w:rPr>
          <w:sz w:val="21"/>
          <w:szCs w:val="20"/>
        </w:rPr>
        <w:t>częściej</w:t>
      </w:r>
      <w:proofErr w:type="spellEnd"/>
      <w:r w:rsidR="00EE3D86" w:rsidRPr="00EE3D86">
        <w:rPr>
          <w:sz w:val="21"/>
          <w:szCs w:val="20"/>
        </w:rPr>
        <w:t xml:space="preserve"> wskazywali na skomplikowane procedury i regulacje prawne oraz brak wiedzy i miejsca do zamontowania instalacji energii odnawialnej. </w:t>
      </w:r>
    </w:p>
    <w:p w:rsidR="00336400" w:rsidRDefault="00336400" w:rsidP="00336400">
      <w:pPr>
        <w:pStyle w:val="Bezodstpw"/>
        <w:spacing w:before="120" w:after="120" w:line="360" w:lineRule="auto"/>
        <w:jc w:val="center"/>
        <w:rPr>
          <w:sz w:val="21"/>
          <w:szCs w:val="20"/>
        </w:rPr>
      </w:pPr>
      <w:r>
        <w:rPr>
          <w:noProof/>
          <w:sz w:val="21"/>
          <w:szCs w:val="20"/>
          <w:lang w:eastAsia="pl-PL"/>
        </w:rPr>
        <w:lastRenderedPageBreak/>
        <w:drawing>
          <wp:inline distT="0" distB="0" distL="0" distR="0">
            <wp:extent cx="3769784" cy="1860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11-18 o 14.49.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391" cy="186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86" w:rsidRPr="00474C56" w:rsidRDefault="00EE3D86" w:rsidP="00F96D6C">
      <w:pPr>
        <w:pStyle w:val="Bezodstpw"/>
        <w:spacing w:before="120" w:after="120" w:line="360" w:lineRule="auto"/>
        <w:jc w:val="both"/>
        <w:rPr>
          <w:rFonts w:ascii="Calibri" w:hAnsi="Calibri" w:cs="Calibri"/>
          <w:b/>
          <w:color w:val="55AB8C"/>
          <w:sz w:val="21"/>
          <w:szCs w:val="20"/>
        </w:rPr>
      </w:pPr>
      <w:r w:rsidRPr="00474C56">
        <w:rPr>
          <w:rFonts w:ascii="Calibri" w:hAnsi="Calibri" w:cs="Calibri"/>
          <w:b/>
          <w:color w:val="55AB8C"/>
          <w:sz w:val="21"/>
          <w:szCs w:val="20"/>
        </w:rPr>
        <w:t>Zielone motywatory</w:t>
      </w:r>
    </w:p>
    <w:p w:rsidR="00EE3D86" w:rsidRDefault="00EE3D86" w:rsidP="00F96D6C">
      <w:pPr>
        <w:pStyle w:val="Bezodstpw"/>
        <w:spacing w:before="120" w:after="120" w:line="360" w:lineRule="auto"/>
        <w:jc w:val="both"/>
        <w:rPr>
          <w:sz w:val="21"/>
          <w:szCs w:val="20"/>
        </w:rPr>
      </w:pPr>
      <w:proofErr w:type="spellStart"/>
      <w:r w:rsidRPr="00EE3D86">
        <w:rPr>
          <w:sz w:val="21"/>
          <w:szCs w:val="20"/>
        </w:rPr>
        <w:t>Pieniądze</w:t>
      </w:r>
      <w:proofErr w:type="spellEnd"/>
      <w:r w:rsidRPr="00EE3D86">
        <w:rPr>
          <w:sz w:val="21"/>
          <w:szCs w:val="20"/>
        </w:rPr>
        <w:t xml:space="preserve"> z jednej strony </w:t>
      </w:r>
      <w:proofErr w:type="spellStart"/>
      <w:r w:rsidRPr="00EE3D86">
        <w:rPr>
          <w:sz w:val="21"/>
          <w:szCs w:val="20"/>
        </w:rPr>
        <w:t>hamuja</w:t>
      </w:r>
      <w:proofErr w:type="spellEnd"/>
      <w:r w:rsidRPr="00EE3D86">
        <w:rPr>
          <w:sz w:val="21"/>
          <w:szCs w:val="20"/>
        </w:rPr>
        <w:t xml:space="preserve">̨ przechodzenie MŚP na zieloną energię, z drugiej, </w:t>
      </w:r>
      <w:proofErr w:type="spellStart"/>
      <w:r w:rsidRPr="00EE3D86">
        <w:rPr>
          <w:sz w:val="21"/>
          <w:szCs w:val="20"/>
        </w:rPr>
        <w:t>moga</w:t>
      </w:r>
      <w:proofErr w:type="spellEnd"/>
      <w:r w:rsidRPr="00EE3D86">
        <w:rPr>
          <w:sz w:val="21"/>
          <w:szCs w:val="20"/>
        </w:rPr>
        <w:t xml:space="preserve">̨ </w:t>
      </w:r>
      <w:proofErr w:type="spellStart"/>
      <w:r w:rsidRPr="00EE3D86">
        <w:rPr>
          <w:sz w:val="21"/>
          <w:szCs w:val="20"/>
        </w:rPr>
        <w:t>przyczynic</w:t>
      </w:r>
      <w:proofErr w:type="spellEnd"/>
      <w:r w:rsidRPr="00EE3D86">
        <w:rPr>
          <w:sz w:val="21"/>
          <w:szCs w:val="20"/>
        </w:rPr>
        <w:t xml:space="preserve">́ </w:t>
      </w:r>
      <w:proofErr w:type="spellStart"/>
      <w:r w:rsidRPr="00EE3D86">
        <w:rPr>
          <w:sz w:val="21"/>
          <w:szCs w:val="20"/>
        </w:rPr>
        <w:t>sie</w:t>
      </w:r>
      <w:proofErr w:type="spellEnd"/>
      <w:r w:rsidRPr="00EE3D86">
        <w:rPr>
          <w:sz w:val="21"/>
          <w:szCs w:val="20"/>
        </w:rPr>
        <w:t xml:space="preserve">̨ do przyspieszenia tego procesu. TOP3 </w:t>
      </w:r>
      <w:proofErr w:type="spellStart"/>
      <w:r w:rsidRPr="00EE3D86">
        <w:rPr>
          <w:sz w:val="21"/>
          <w:szCs w:val="20"/>
        </w:rPr>
        <w:t>czynników</w:t>
      </w:r>
      <w:proofErr w:type="spellEnd"/>
      <w:r w:rsidRPr="00EE3D86">
        <w:rPr>
          <w:sz w:val="21"/>
          <w:szCs w:val="20"/>
        </w:rPr>
        <w:t xml:space="preserve">, </w:t>
      </w:r>
      <w:proofErr w:type="spellStart"/>
      <w:r w:rsidRPr="00EE3D86">
        <w:rPr>
          <w:sz w:val="21"/>
          <w:szCs w:val="20"/>
        </w:rPr>
        <w:t>które</w:t>
      </w:r>
      <w:proofErr w:type="spellEnd"/>
      <w:r w:rsidRPr="00EE3D86">
        <w:rPr>
          <w:sz w:val="21"/>
          <w:szCs w:val="20"/>
        </w:rPr>
        <w:t xml:space="preserve"> przekonałyby firmy do decyzji o własnych instalacjach OZE, </w:t>
      </w:r>
      <w:proofErr w:type="spellStart"/>
      <w:r w:rsidRPr="00EE3D86">
        <w:rPr>
          <w:sz w:val="21"/>
          <w:szCs w:val="20"/>
        </w:rPr>
        <w:t>stanowia</w:t>
      </w:r>
      <w:proofErr w:type="spellEnd"/>
      <w:r w:rsidRPr="00EE3D86">
        <w:rPr>
          <w:sz w:val="21"/>
          <w:szCs w:val="20"/>
        </w:rPr>
        <w:t xml:space="preserve">̨ </w:t>
      </w:r>
      <w:proofErr w:type="spellStart"/>
      <w:r w:rsidRPr="00EE3D86">
        <w:rPr>
          <w:sz w:val="21"/>
          <w:szCs w:val="20"/>
        </w:rPr>
        <w:t>zachęty</w:t>
      </w:r>
      <w:proofErr w:type="spellEnd"/>
      <w:r w:rsidRPr="00EE3D86">
        <w:rPr>
          <w:sz w:val="21"/>
          <w:szCs w:val="20"/>
        </w:rPr>
        <w:t xml:space="preserve"> finansowe. 7 na 10 </w:t>
      </w:r>
      <w:proofErr w:type="spellStart"/>
      <w:r w:rsidRPr="00EE3D86">
        <w:rPr>
          <w:sz w:val="21"/>
          <w:szCs w:val="20"/>
        </w:rPr>
        <w:t>przedsiębiorców</w:t>
      </w:r>
      <w:proofErr w:type="spellEnd"/>
      <w:r w:rsidRPr="00EE3D86">
        <w:rPr>
          <w:sz w:val="21"/>
          <w:szCs w:val="20"/>
        </w:rPr>
        <w:t xml:space="preserve"> oczekuje łatwiejszego </w:t>
      </w:r>
      <w:proofErr w:type="spellStart"/>
      <w:r w:rsidRPr="00EE3D86">
        <w:rPr>
          <w:sz w:val="21"/>
          <w:szCs w:val="20"/>
        </w:rPr>
        <w:t>dostępu</w:t>
      </w:r>
      <w:proofErr w:type="spellEnd"/>
      <w:r w:rsidRPr="00EE3D86">
        <w:rPr>
          <w:sz w:val="21"/>
          <w:szCs w:val="20"/>
        </w:rPr>
        <w:t xml:space="preserve"> do finansowania, 6 na 10 – </w:t>
      </w:r>
      <w:proofErr w:type="spellStart"/>
      <w:r w:rsidRPr="00EE3D86">
        <w:rPr>
          <w:sz w:val="21"/>
          <w:szCs w:val="20"/>
        </w:rPr>
        <w:t>tańszych</w:t>
      </w:r>
      <w:proofErr w:type="spellEnd"/>
      <w:r w:rsidRPr="00EE3D86">
        <w:rPr>
          <w:sz w:val="21"/>
          <w:szCs w:val="20"/>
        </w:rPr>
        <w:t xml:space="preserve"> technologii, a blisko połowa – </w:t>
      </w:r>
      <w:proofErr w:type="spellStart"/>
      <w:r w:rsidRPr="00EE3D86">
        <w:rPr>
          <w:sz w:val="21"/>
          <w:szCs w:val="20"/>
        </w:rPr>
        <w:t>wyższych</w:t>
      </w:r>
      <w:proofErr w:type="spellEnd"/>
      <w:r w:rsidRPr="00EE3D86">
        <w:rPr>
          <w:sz w:val="21"/>
          <w:szCs w:val="20"/>
        </w:rPr>
        <w:t xml:space="preserve"> dopłat.</w:t>
      </w:r>
      <w:r>
        <w:rPr>
          <w:sz w:val="21"/>
          <w:szCs w:val="20"/>
        </w:rPr>
        <w:t xml:space="preserve"> Najmniejsze przedsiębiorstwa</w:t>
      </w:r>
      <w:r w:rsidRPr="00EE3D86">
        <w:rPr>
          <w:sz w:val="21"/>
          <w:szCs w:val="20"/>
        </w:rPr>
        <w:t xml:space="preserve"> najczęściej wskazywa</w:t>
      </w:r>
      <w:r>
        <w:rPr>
          <w:sz w:val="21"/>
          <w:szCs w:val="20"/>
        </w:rPr>
        <w:t>ły</w:t>
      </w:r>
      <w:r w:rsidRPr="00EE3D86">
        <w:rPr>
          <w:sz w:val="21"/>
          <w:szCs w:val="20"/>
        </w:rPr>
        <w:t xml:space="preserve"> </w:t>
      </w:r>
      <w:r>
        <w:rPr>
          <w:sz w:val="21"/>
          <w:szCs w:val="20"/>
        </w:rPr>
        <w:t>na</w:t>
      </w:r>
      <w:r w:rsidRPr="00EE3D86">
        <w:rPr>
          <w:sz w:val="21"/>
          <w:szCs w:val="20"/>
        </w:rPr>
        <w:t xml:space="preserve"> łatwiejszy dostęp do finansowania, </w:t>
      </w:r>
      <w:r>
        <w:rPr>
          <w:sz w:val="21"/>
          <w:szCs w:val="20"/>
        </w:rPr>
        <w:t>natomiast w</w:t>
      </w:r>
      <w:r w:rsidRPr="00EE3D86">
        <w:rPr>
          <w:sz w:val="21"/>
          <w:szCs w:val="20"/>
        </w:rPr>
        <w:t>raz z wielkością firmy rośnie rola wsparcia w finansowaniu inwestycji.</w:t>
      </w:r>
      <w:r>
        <w:rPr>
          <w:sz w:val="21"/>
          <w:szCs w:val="20"/>
        </w:rPr>
        <w:t xml:space="preserve"> </w:t>
      </w:r>
    </w:p>
    <w:p w:rsidR="00336400" w:rsidRDefault="00336400" w:rsidP="00336400">
      <w:pPr>
        <w:pStyle w:val="Bezodstpw"/>
        <w:spacing w:before="120" w:after="120" w:line="360" w:lineRule="auto"/>
        <w:jc w:val="center"/>
        <w:rPr>
          <w:sz w:val="21"/>
          <w:szCs w:val="20"/>
        </w:rPr>
      </w:pPr>
      <w:r>
        <w:rPr>
          <w:noProof/>
          <w:sz w:val="21"/>
          <w:szCs w:val="20"/>
          <w:lang w:eastAsia="pl-PL"/>
        </w:rPr>
        <w:drawing>
          <wp:inline distT="0" distB="0" distL="0" distR="0">
            <wp:extent cx="3302000" cy="160220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11-18 o 14.49.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159" cy="161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E09" w:rsidRPr="00474C56" w:rsidRDefault="002D4667" w:rsidP="00F96D6C">
      <w:pPr>
        <w:pStyle w:val="Bezodstpw"/>
        <w:spacing w:before="120" w:after="120" w:line="360" w:lineRule="auto"/>
        <w:jc w:val="both"/>
        <w:rPr>
          <w:color w:val="55AB8C"/>
          <w:sz w:val="21"/>
          <w:szCs w:val="20"/>
        </w:rPr>
      </w:pPr>
      <w:r w:rsidRPr="00FD5367">
        <w:rPr>
          <w:i/>
          <w:sz w:val="21"/>
          <w:szCs w:val="20"/>
        </w:rPr>
        <w:t xml:space="preserve">- Z perspektywy przedsiębiorcy, który dzięki </w:t>
      </w:r>
      <w:proofErr w:type="spellStart"/>
      <w:r w:rsidRPr="00FD5367">
        <w:rPr>
          <w:i/>
          <w:sz w:val="21"/>
          <w:szCs w:val="20"/>
        </w:rPr>
        <w:t>fotowoltaice</w:t>
      </w:r>
      <w:proofErr w:type="spellEnd"/>
      <w:r w:rsidRPr="00FD5367">
        <w:rPr>
          <w:i/>
          <w:sz w:val="21"/>
          <w:szCs w:val="20"/>
        </w:rPr>
        <w:t xml:space="preserve"> może częściowo zrezygnować z coraz droższej</w:t>
      </w:r>
      <w:r w:rsidR="00FD5367" w:rsidRPr="00FD5367">
        <w:rPr>
          <w:i/>
          <w:sz w:val="21"/>
          <w:szCs w:val="20"/>
        </w:rPr>
        <w:t xml:space="preserve"> </w:t>
      </w:r>
      <w:r w:rsidRPr="00FD5367">
        <w:rPr>
          <w:i/>
          <w:sz w:val="21"/>
          <w:szCs w:val="20"/>
        </w:rPr>
        <w:t>energii z sieci, energetyka słoneczna jest już konkurencyjnym rozwiązaniem</w:t>
      </w:r>
      <w:r w:rsidR="00FD5367" w:rsidRPr="00FD5367">
        <w:rPr>
          <w:i/>
          <w:sz w:val="21"/>
          <w:szCs w:val="20"/>
        </w:rPr>
        <w:t>. N</w:t>
      </w:r>
      <w:r w:rsidRPr="00FD5367">
        <w:rPr>
          <w:i/>
          <w:sz w:val="21"/>
          <w:szCs w:val="20"/>
        </w:rPr>
        <w:t xml:space="preserve">awet </w:t>
      </w:r>
      <w:r w:rsidR="00FD5367" w:rsidRPr="00FD5367">
        <w:rPr>
          <w:i/>
          <w:sz w:val="21"/>
          <w:szCs w:val="20"/>
        </w:rPr>
        <w:t>teraz, kiedy</w:t>
      </w:r>
      <w:r w:rsidRPr="00FD5367">
        <w:rPr>
          <w:i/>
          <w:sz w:val="21"/>
          <w:szCs w:val="20"/>
        </w:rPr>
        <w:t xml:space="preserve"> </w:t>
      </w:r>
      <w:proofErr w:type="spellStart"/>
      <w:r w:rsidR="00FD5367" w:rsidRPr="00FD5367">
        <w:rPr>
          <w:i/>
          <w:sz w:val="21"/>
          <w:szCs w:val="20"/>
        </w:rPr>
        <w:t>eko</w:t>
      </w:r>
      <w:r w:rsidRPr="00FD5367">
        <w:rPr>
          <w:i/>
          <w:sz w:val="21"/>
          <w:szCs w:val="20"/>
        </w:rPr>
        <w:t>świadomość</w:t>
      </w:r>
      <w:proofErr w:type="spellEnd"/>
      <w:r w:rsidRPr="00FD5367">
        <w:rPr>
          <w:i/>
          <w:sz w:val="21"/>
          <w:szCs w:val="20"/>
        </w:rPr>
        <w:t xml:space="preserve"> w Polsce </w:t>
      </w:r>
      <w:r w:rsidR="00FD5367" w:rsidRPr="00FD5367">
        <w:rPr>
          <w:i/>
          <w:sz w:val="21"/>
          <w:szCs w:val="20"/>
        </w:rPr>
        <w:t xml:space="preserve">nie jest jeszcze w </w:t>
      </w:r>
      <w:r w:rsidRPr="00FD5367">
        <w:rPr>
          <w:i/>
          <w:sz w:val="21"/>
          <w:szCs w:val="20"/>
        </w:rPr>
        <w:t xml:space="preserve">pełni powszechna. </w:t>
      </w:r>
      <w:r w:rsidR="00FD5367" w:rsidRPr="00FD5367">
        <w:rPr>
          <w:i/>
          <w:sz w:val="21"/>
          <w:szCs w:val="20"/>
        </w:rPr>
        <w:t>Odnawialne źródła energii</w:t>
      </w:r>
      <w:r w:rsidRPr="00FD5367">
        <w:rPr>
          <w:i/>
          <w:sz w:val="21"/>
          <w:szCs w:val="20"/>
        </w:rPr>
        <w:t xml:space="preserve"> są konkurencyjne cenowo w stosunku do energii konwencjonalnej, pochodzącej w Polsce w 75% z węgla. Można się zatem spodziewać istotnego przyrostu mocy w </w:t>
      </w:r>
      <w:proofErr w:type="spellStart"/>
      <w:r w:rsidRPr="00FD5367">
        <w:rPr>
          <w:i/>
          <w:sz w:val="21"/>
          <w:szCs w:val="20"/>
        </w:rPr>
        <w:t>fotowoltaice</w:t>
      </w:r>
      <w:proofErr w:type="spellEnd"/>
      <w:r w:rsidRPr="00FD5367">
        <w:rPr>
          <w:i/>
          <w:sz w:val="21"/>
          <w:szCs w:val="20"/>
        </w:rPr>
        <w:t>. Przyczyna jest prosta – chodzi nie tyle o ekologię, chociaż ona też jest ważna, co o oszczędności, które dzięki OZE przedsiębiorcy mogą osiągać</w:t>
      </w:r>
      <w:r w:rsidR="00FD5367">
        <w:rPr>
          <w:sz w:val="21"/>
          <w:szCs w:val="20"/>
        </w:rPr>
        <w:t xml:space="preserve"> – zwraca uwagę </w:t>
      </w:r>
      <w:bookmarkStart w:id="0" w:name="_GoBack"/>
      <w:r w:rsidR="00FD5367" w:rsidRPr="00474C56">
        <w:rPr>
          <w:rFonts w:ascii="Calibri" w:hAnsi="Calibri" w:cs="Calibri"/>
          <w:b/>
          <w:color w:val="55AB8C"/>
          <w:sz w:val="21"/>
          <w:szCs w:val="20"/>
        </w:rPr>
        <w:t>Marcin Ścigan, aktualnie zastępca dyrektora departamentu ds. OZE w Ministerstwie Klimatu, a poprzednio kierownik ds. OZE z Forum Energii.</w:t>
      </w:r>
    </w:p>
    <w:p w:rsidR="00086513" w:rsidRPr="009A3A7F" w:rsidRDefault="008358F1" w:rsidP="009A3A7F">
      <w:pPr>
        <w:pStyle w:val="Bezodstpw"/>
        <w:spacing w:after="120" w:line="276" w:lineRule="auto"/>
        <w:rPr>
          <w:rFonts w:ascii="Calibri" w:hAnsi="Calibri" w:cs="Calibri"/>
          <w:b/>
          <w:color w:val="26744D"/>
          <w:sz w:val="18"/>
          <w:szCs w:val="18"/>
        </w:rPr>
      </w:pPr>
      <w:r w:rsidRPr="00474C56">
        <w:rPr>
          <w:rFonts w:ascii="Calibri" w:hAnsi="Calibri" w:cs="Calibri"/>
          <w:b/>
          <w:color w:val="55AB8C"/>
          <w:sz w:val="18"/>
          <w:szCs w:val="18"/>
        </w:rPr>
        <w:t>Zapraszamy do zapoznania się z pełnym raportem</w:t>
      </w:r>
      <w:r w:rsidR="002D24CC" w:rsidRPr="00474C56">
        <w:rPr>
          <w:rFonts w:ascii="Calibri" w:hAnsi="Calibri" w:cs="Calibri"/>
          <w:b/>
          <w:color w:val="55AB8C"/>
          <w:sz w:val="18"/>
          <w:szCs w:val="18"/>
        </w:rPr>
        <w:t xml:space="preserve"> EFL</w:t>
      </w:r>
      <w:r w:rsidRPr="00474C56">
        <w:rPr>
          <w:rFonts w:ascii="Calibri" w:hAnsi="Calibri" w:cs="Calibri"/>
          <w:b/>
          <w:color w:val="55AB8C"/>
          <w:sz w:val="18"/>
          <w:szCs w:val="18"/>
        </w:rPr>
        <w:t xml:space="preserve"> „Zielona energia w MŚP. Pod lupą”</w:t>
      </w:r>
      <w:r w:rsidR="002D24CC" w:rsidRPr="00474C56">
        <w:rPr>
          <w:rFonts w:ascii="Calibri" w:hAnsi="Calibri" w:cs="Calibri"/>
          <w:b/>
          <w:color w:val="55AB8C"/>
          <w:sz w:val="18"/>
          <w:szCs w:val="18"/>
        </w:rPr>
        <w:t xml:space="preserve">: </w:t>
      </w:r>
      <w:bookmarkEnd w:id="0"/>
      <w:r w:rsidR="00A2165D">
        <w:fldChar w:fldCharType="begin"/>
      </w:r>
      <w:r w:rsidR="00A2165D">
        <w:instrText xml:space="preserve"> HYPERLINK "https://media.efl.pl/reports/16870" </w:instrText>
      </w:r>
      <w:r w:rsidR="00A2165D">
        <w:fldChar w:fldCharType="separate"/>
      </w:r>
      <w:r w:rsidR="009A3A7F" w:rsidRPr="009A3A7F">
        <w:rPr>
          <w:rStyle w:val="Hipercze"/>
          <w:sz w:val="18"/>
          <w:szCs w:val="18"/>
        </w:rPr>
        <w:t>https://media.efl.pl/reports/16870</w:t>
      </w:r>
      <w:r w:rsidR="00A2165D">
        <w:rPr>
          <w:rStyle w:val="Hipercze"/>
          <w:sz w:val="18"/>
          <w:szCs w:val="18"/>
        </w:rPr>
        <w:fldChar w:fldCharType="end"/>
      </w:r>
      <w:r w:rsidR="009A3A7F" w:rsidRPr="009A3A7F">
        <w:rPr>
          <w:sz w:val="18"/>
          <w:szCs w:val="18"/>
        </w:rPr>
        <w:t>.</w:t>
      </w:r>
    </w:p>
    <w:p w:rsidR="0029063E" w:rsidRPr="00641DFA" w:rsidRDefault="00B145B0" w:rsidP="00641DFA">
      <w:pPr>
        <w:pStyle w:val="Bezodstpw"/>
        <w:spacing w:before="120" w:after="120" w:line="276" w:lineRule="auto"/>
        <w:jc w:val="both"/>
        <w:rPr>
          <w:rFonts w:ascii="Calibri" w:hAnsi="Calibri" w:cs="Calibri"/>
          <w:b/>
          <w:color w:val="26744D"/>
          <w:sz w:val="21"/>
          <w:szCs w:val="20"/>
        </w:rPr>
      </w:pPr>
      <w:r w:rsidRPr="00641DFA">
        <w:rPr>
          <w:rFonts w:ascii="Calibri" w:hAnsi="Calibri" w:cs="Calibri"/>
          <w:b/>
          <w:color w:val="26744D"/>
          <w:sz w:val="21"/>
          <w:szCs w:val="20"/>
        </w:rPr>
        <w:t>***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b/>
          <w:sz w:val="18"/>
          <w:szCs w:val="18"/>
        </w:rPr>
        <w:lastRenderedPageBreak/>
        <w:t>Raport „Zielona energia w MŚP. Pod lupą”</w:t>
      </w:r>
      <w:r w:rsidRPr="00B145B0">
        <w:rPr>
          <w:rFonts w:ascii="Calibri" w:hAnsi="Calibri" w:cs="Calibri"/>
          <w:sz w:val="18"/>
          <w:szCs w:val="18"/>
        </w:rPr>
        <w:t xml:space="preserve"> jest dziesiątym opracowaniem z serii „Pod lupą” wydanym przez Europejski Fundusz Leasingowy S.A. w ramach autorskiego projektu „Europejski Fundusz Modernizacji Polskich Firm”. Pierwszy charakteryzował kondycję sektora MŚP w Polsce </w:t>
      </w:r>
      <w:r w:rsidRPr="00B145B0">
        <w:rPr>
          <w:rFonts w:ascii="Calibri" w:hAnsi="Calibri" w:cs="Calibri"/>
          <w:i/>
          <w:sz w:val="18"/>
          <w:szCs w:val="18"/>
        </w:rPr>
        <w:t>(„MŚP pod lupą”, 2011),</w:t>
      </w:r>
      <w:r w:rsidRPr="00B145B0">
        <w:rPr>
          <w:rFonts w:ascii="Calibri" w:hAnsi="Calibri" w:cs="Calibri"/>
          <w:sz w:val="18"/>
          <w:szCs w:val="18"/>
        </w:rPr>
        <w:t xml:space="preserve"> drugi poświęcony był gospodarstwom rolnym </w:t>
      </w:r>
      <w:r w:rsidRPr="00B145B0">
        <w:rPr>
          <w:rFonts w:ascii="Calibri" w:hAnsi="Calibri" w:cs="Calibri"/>
          <w:i/>
          <w:sz w:val="18"/>
          <w:szCs w:val="18"/>
        </w:rPr>
        <w:t>(„Agro pod lupą”, 2012).</w:t>
      </w:r>
      <w:r w:rsidRPr="00B145B0">
        <w:rPr>
          <w:rFonts w:ascii="Calibri" w:hAnsi="Calibri" w:cs="Calibri"/>
          <w:sz w:val="18"/>
          <w:szCs w:val="18"/>
        </w:rPr>
        <w:t xml:space="preserve"> Trzecie opracowanie analizowało finansowe aspekty działalności transportowe</w:t>
      </w:r>
      <w:r w:rsidRPr="00B145B0">
        <w:rPr>
          <w:rFonts w:ascii="Calibri" w:hAnsi="Calibri" w:cs="Calibri"/>
          <w:i/>
          <w:sz w:val="18"/>
          <w:szCs w:val="18"/>
        </w:rPr>
        <w:t>j („Transport pod lupą”, 2013</w:t>
      </w:r>
      <w:r w:rsidRPr="00B145B0">
        <w:rPr>
          <w:rFonts w:ascii="Calibri" w:hAnsi="Calibri" w:cs="Calibri"/>
          <w:sz w:val="18"/>
          <w:szCs w:val="18"/>
        </w:rPr>
        <w:t xml:space="preserve">), czwarte – młodych na rynku pracy </w:t>
      </w:r>
      <w:r w:rsidRPr="00B145B0">
        <w:rPr>
          <w:rFonts w:ascii="Calibri" w:hAnsi="Calibri" w:cs="Calibri"/>
          <w:i/>
          <w:sz w:val="18"/>
          <w:szCs w:val="18"/>
        </w:rPr>
        <w:t xml:space="preserve">(„Młodzi na rynku pracy. Pod lupą”, 2014), </w:t>
      </w:r>
      <w:r w:rsidRPr="00B145B0">
        <w:rPr>
          <w:rFonts w:ascii="Calibri" w:hAnsi="Calibri" w:cs="Calibri"/>
          <w:sz w:val="18"/>
          <w:szCs w:val="18"/>
        </w:rPr>
        <w:t xml:space="preserve">piąte – innowacje </w:t>
      </w:r>
      <w:r w:rsidRPr="00B145B0">
        <w:rPr>
          <w:rFonts w:ascii="Calibri" w:hAnsi="Calibri" w:cs="Calibri"/>
          <w:i/>
          <w:sz w:val="18"/>
          <w:szCs w:val="18"/>
        </w:rPr>
        <w:t>(„Innowacje w MŚP. Pod lupą”, 2015).</w:t>
      </w:r>
      <w:r w:rsidRPr="00B145B0">
        <w:rPr>
          <w:rFonts w:ascii="Calibri" w:hAnsi="Calibri" w:cs="Calibri"/>
          <w:sz w:val="18"/>
          <w:szCs w:val="18"/>
        </w:rPr>
        <w:t xml:space="preserve"> Szósty raport przedstawiał inwestycje prowadzone przez MŚP </w:t>
      </w:r>
      <w:r w:rsidRPr="00B145B0">
        <w:rPr>
          <w:rFonts w:ascii="Calibri" w:hAnsi="Calibri" w:cs="Calibri"/>
          <w:i/>
          <w:sz w:val="18"/>
          <w:szCs w:val="18"/>
        </w:rPr>
        <w:t>(„Inwestycje w MŚP. Pod lupą”, 2016).</w:t>
      </w:r>
      <w:r w:rsidRPr="00B145B0">
        <w:rPr>
          <w:rFonts w:ascii="Calibri" w:hAnsi="Calibri" w:cs="Calibri"/>
          <w:sz w:val="18"/>
          <w:szCs w:val="18"/>
        </w:rPr>
        <w:t xml:space="preserve"> Siódme wydanie dotyczyło pokolenia milenialsów </w:t>
      </w:r>
      <w:r w:rsidRPr="00B145B0">
        <w:rPr>
          <w:rFonts w:ascii="Calibri" w:hAnsi="Calibri" w:cs="Calibri"/>
          <w:i/>
          <w:sz w:val="18"/>
          <w:szCs w:val="18"/>
        </w:rPr>
        <w:t>(„Millenialsi w MŚP. Pod lupą”, 2017)</w:t>
      </w:r>
      <w:r w:rsidRPr="00B145B0">
        <w:rPr>
          <w:rFonts w:ascii="Calibri" w:hAnsi="Calibri" w:cs="Calibri"/>
          <w:sz w:val="18"/>
          <w:szCs w:val="18"/>
        </w:rPr>
        <w:t xml:space="preserve">. Ósmy raport przedstawiał wielostronny obraz budownictwa </w:t>
      </w:r>
      <w:r w:rsidRPr="00B145B0">
        <w:rPr>
          <w:rFonts w:ascii="Calibri" w:hAnsi="Calibri" w:cs="Calibri"/>
          <w:i/>
          <w:sz w:val="18"/>
          <w:szCs w:val="18"/>
        </w:rPr>
        <w:t>(„Budownictwo przyszłości. Pod lupą”, 2018</w:t>
      </w:r>
      <w:r w:rsidRPr="00B145B0">
        <w:rPr>
          <w:rFonts w:ascii="Calibri" w:hAnsi="Calibri" w:cs="Calibri"/>
          <w:sz w:val="18"/>
          <w:szCs w:val="18"/>
        </w:rPr>
        <w:t xml:space="preserve">). Natomiast, dziewiąte wydanie pokazywało, ile MŚP wiedzą o społecznej odpowiedzialności biznesu </w:t>
      </w:r>
      <w:r w:rsidRPr="00B145B0">
        <w:rPr>
          <w:rFonts w:ascii="Calibri" w:hAnsi="Calibri" w:cs="Calibri"/>
          <w:i/>
          <w:sz w:val="18"/>
          <w:szCs w:val="18"/>
        </w:rPr>
        <w:t>(„CSR w MŚP. Pod lupą”, 2019)</w:t>
      </w:r>
      <w:r w:rsidRPr="00B145B0">
        <w:rPr>
          <w:rFonts w:ascii="Calibri" w:hAnsi="Calibri" w:cs="Calibri"/>
          <w:sz w:val="18"/>
          <w:szCs w:val="18"/>
        </w:rPr>
        <w:t xml:space="preserve">. 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sz w:val="18"/>
          <w:szCs w:val="18"/>
        </w:rPr>
        <w:t>Obecna edycja koncentruje się na obszarze ekologii, energii odnawialnej, elektromobilności i aktywności MŚP na tych polach. Raport, podobnie jak poprzednie edycje, opiera się na badaniach (ilościowym i jakościowym) zleconych przez EFL S.A. niezależnemu podmiotowi, rozbudowanych o szeroki kontekst problematyki związanej z ekologią.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b/>
          <w:sz w:val="18"/>
          <w:szCs w:val="18"/>
        </w:rPr>
        <w:t>Metodologia badania: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sz w:val="18"/>
          <w:szCs w:val="18"/>
        </w:rPr>
        <w:t xml:space="preserve">Badanie ilościowe zostało zrealizowane przez ICAN Institute na zlecenie EFL S.A. z właścicielami, współwłaścicielami i osobami odpowiedzialnymi za finanse w segmencie firm MŚP z całego kraju, z różnych branż. W sumie zrealizowano 500 wywiadów. 40 proc. stanowili mikroprzedsiębiorcy zatrudniający do 9 osób, 30 proc. mali przedsiębiorcy zatrudniający do 49 osób, tyle samo średni przedsiębiorcy z maksimum 249 osobami na pokładzie. </w:t>
      </w:r>
      <w:r w:rsidRPr="00B145B0">
        <w:rPr>
          <w:rFonts w:ascii="Calibri" w:hAnsi="Calibri" w:cs="Calibri"/>
          <w:bCs/>
          <w:sz w:val="18"/>
          <w:szCs w:val="18"/>
        </w:rPr>
        <w:t>W raporcie zastosowano wnioskowanie dla MŚP w Polsce (analiza wielkości firm, regionów Polski i całej populacji).</w:t>
      </w:r>
      <w:r w:rsidRPr="00B145B0">
        <w:rPr>
          <w:rFonts w:ascii="Calibri" w:hAnsi="Calibri" w:cs="Calibri"/>
          <w:sz w:val="18"/>
          <w:szCs w:val="18"/>
        </w:rPr>
        <w:t xml:space="preserve"> Są to wyniki przeważone do struktury firm w Polsce według operatora regon. Przygotowane w ten sposób dane pozwalają analizować i opisywać na poziomie całej populacji firm w Polsce. Badanie wykonano metodą telefonicznych ankiet (CATI) od 11 do 29 maja 2020 roku.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641DFA" w:rsidRPr="00641DFA" w:rsidTr="003938C7">
        <w:trPr>
          <w:trHeight w:val="267"/>
        </w:trPr>
        <w:tc>
          <w:tcPr>
            <w:tcW w:w="9155" w:type="dxa"/>
            <w:shd w:val="clear" w:color="auto" w:fill="22744F"/>
          </w:tcPr>
          <w:p w:rsidR="00641DFA" w:rsidRPr="00641DFA" w:rsidRDefault="00641DFA" w:rsidP="003938C7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>Więcej informacji udziela:</w:t>
            </w: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ab/>
            </w: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ab/>
            </w:r>
          </w:p>
        </w:tc>
      </w:tr>
      <w:tr w:rsidR="00641DFA" w:rsidRPr="00A83555" w:rsidTr="003938C7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641DFA" w:rsidRPr="00641DFA" w:rsidRDefault="00641DFA" w:rsidP="003938C7">
            <w:pPr>
              <w:spacing w:after="0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b/>
                <w:sz w:val="20"/>
                <w:szCs w:val="20"/>
              </w:rPr>
              <w:t>Maja Lidke</w:t>
            </w:r>
          </w:p>
          <w:p w:rsidR="00641DFA" w:rsidRPr="00641DFA" w:rsidRDefault="00641DFA" w:rsidP="003938C7">
            <w:pPr>
              <w:spacing w:after="0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sz w:val="20"/>
                <w:szCs w:val="20"/>
              </w:rPr>
              <w:t>Europejski Fundusz Leasingowy</w:t>
            </w:r>
          </w:p>
          <w:p w:rsidR="00641DFA" w:rsidRPr="00641DFA" w:rsidRDefault="00641DFA" w:rsidP="003938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sz w:val="20"/>
                <w:szCs w:val="20"/>
              </w:rPr>
              <w:t>Tel.: 603 630 166</w:t>
            </w:r>
          </w:p>
          <w:p w:rsidR="00641DFA" w:rsidRPr="00641DFA" w:rsidRDefault="00641DFA" w:rsidP="003938C7">
            <w:pPr>
              <w:spacing w:after="0"/>
              <w:outlineLvl w:val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641DF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 w:rsidRPr="00641DFA">
                <w:rPr>
                  <w:rStyle w:val="Hipercze"/>
                  <w:rFonts w:ascii="Calibri" w:hAnsi="Calibri" w:cs="Calibri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:rsidR="00611104" w:rsidRPr="00641DFA" w:rsidRDefault="00611104" w:rsidP="005211EF">
      <w:pPr>
        <w:pStyle w:val="Bezodstpw"/>
        <w:spacing w:after="240" w:line="276" w:lineRule="auto"/>
        <w:jc w:val="both"/>
        <w:rPr>
          <w:lang w:val="en-US"/>
        </w:rPr>
      </w:pPr>
    </w:p>
    <w:p w:rsidR="00297380" w:rsidRPr="00641DFA" w:rsidRDefault="00297380" w:rsidP="005211EF">
      <w:pPr>
        <w:pStyle w:val="Bezodstpw"/>
        <w:spacing w:after="240" w:line="276" w:lineRule="auto"/>
        <w:jc w:val="both"/>
        <w:rPr>
          <w:rFonts w:ascii="Calibri" w:hAnsi="Calibri" w:cs="Calibri"/>
          <w:b/>
          <w:color w:val="26744D"/>
          <w:sz w:val="21"/>
          <w:szCs w:val="21"/>
          <w:lang w:val="en-US"/>
        </w:rPr>
      </w:pPr>
    </w:p>
    <w:p w:rsidR="00FA4BE0" w:rsidRPr="00641DFA" w:rsidRDefault="00FA4BE0" w:rsidP="005211EF">
      <w:pPr>
        <w:pStyle w:val="Bezodstpw"/>
        <w:spacing w:after="240" w:line="276" w:lineRule="auto"/>
        <w:jc w:val="both"/>
        <w:rPr>
          <w:rFonts w:ascii="Calibri" w:hAnsi="Calibri" w:cs="Calibri"/>
          <w:color w:val="26744D"/>
          <w:sz w:val="21"/>
          <w:szCs w:val="21"/>
          <w:lang w:val="en-US"/>
        </w:rPr>
      </w:pPr>
    </w:p>
    <w:p w:rsidR="008A010C" w:rsidRPr="00641DFA" w:rsidRDefault="008A010C" w:rsidP="00796D8D">
      <w:pPr>
        <w:pStyle w:val="Bezodstpw"/>
        <w:spacing w:after="120" w:line="276" w:lineRule="auto"/>
        <w:jc w:val="both"/>
        <w:rPr>
          <w:lang w:val="en-US"/>
        </w:rPr>
      </w:pPr>
    </w:p>
    <w:sectPr w:rsidR="008A010C" w:rsidRPr="00641DFA" w:rsidSect="006214D9">
      <w:headerReference w:type="default" r:id="rId10"/>
      <w:footerReference w:type="default" r:id="rId11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5D" w:rsidRDefault="00A2165D" w:rsidP="00756646">
      <w:pPr>
        <w:spacing w:after="0" w:line="240" w:lineRule="auto"/>
      </w:pPr>
      <w:r>
        <w:separator/>
      </w:r>
    </w:p>
  </w:endnote>
  <w:endnote w:type="continuationSeparator" w:id="0">
    <w:p w:rsidR="00A2165D" w:rsidRDefault="00A2165D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5D" w:rsidRDefault="00A2165D" w:rsidP="00756646">
      <w:pPr>
        <w:spacing w:after="0" w:line="240" w:lineRule="auto"/>
      </w:pPr>
      <w:r>
        <w:separator/>
      </w:r>
    </w:p>
  </w:footnote>
  <w:footnote w:type="continuationSeparator" w:id="0">
    <w:p w:rsidR="00A2165D" w:rsidRDefault="00A2165D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77C2"/>
    <w:rsid w:val="00050F72"/>
    <w:rsid w:val="00053F5D"/>
    <w:rsid w:val="000605B2"/>
    <w:rsid w:val="0006485C"/>
    <w:rsid w:val="00064D68"/>
    <w:rsid w:val="000741B4"/>
    <w:rsid w:val="00075117"/>
    <w:rsid w:val="00081DCB"/>
    <w:rsid w:val="00085139"/>
    <w:rsid w:val="000862D4"/>
    <w:rsid w:val="00086513"/>
    <w:rsid w:val="00094654"/>
    <w:rsid w:val="000B2BAA"/>
    <w:rsid w:val="000B73B5"/>
    <w:rsid w:val="000C0CF3"/>
    <w:rsid w:val="000C7C0C"/>
    <w:rsid w:val="000E0BB9"/>
    <w:rsid w:val="000E0CA6"/>
    <w:rsid w:val="000E4710"/>
    <w:rsid w:val="000E5F63"/>
    <w:rsid w:val="00100D21"/>
    <w:rsid w:val="001202BF"/>
    <w:rsid w:val="0012637C"/>
    <w:rsid w:val="001330F3"/>
    <w:rsid w:val="00143266"/>
    <w:rsid w:val="00146C9C"/>
    <w:rsid w:val="00151F46"/>
    <w:rsid w:val="00154F6A"/>
    <w:rsid w:val="00155980"/>
    <w:rsid w:val="00160856"/>
    <w:rsid w:val="00175177"/>
    <w:rsid w:val="00176ECD"/>
    <w:rsid w:val="001A3AE8"/>
    <w:rsid w:val="001A7824"/>
    <w:rsid w:val="001C0AEF"/>
    <w:rsid w:val="001C56C4"/>
    <w:rsid w:val="001E0FC8"/>
    <w:rsid w:val="001E2893"/>
    <w:rsid w:val="001E5D31"/>
    <w:rsid w:val="001F0DAB"/>
    <w:rsid w:val="001F26C9"/>
    <w:rsid w:val="002011BA"/>
    <w:rsid w:val="002036A8"/>
    <w:rsid w:val="00204A2C"/>
    <w:rsid w:val="00215707"/>
    <w:rsid w:val="00227B0B"/>
    <w:rsid w:val="00233E34"/>
    <w:rsid w:val="00234A4C"/>
    <w:rsid w:val="002409D0"/>
    <w:rsid w:val="00240BA3"/>
    <w:rsid w:val="00247315"/>
    <w:rsid w:val="00247D8C"/>
    <w:rsid w:val="00251E2E"/>
    <w:rsid w:val="0027469D"/>
    <w:rsid w:val="002762A2"/>
    <w:rsid w:val="0029063E"/>
    <w:rsid w:val="00292B2D"/>
    <w:rsid w:val="00297380"/>
    <w:rsid w:val="002B0ECE"/>
    <w:rsid w:val="002B3B12"/>
    <w:rsid w:val="002D1DC5"/>
    <w:rsid w:val="002D24CC"/>
    <w:rsid w:val="002D4667"/>
    <w:rsid w:val="002E05D5"/>
    <w:rsid w:val="002E244A"/>
    <w:rsid w:val="00300E76"/>
    <w:rsid w:val="00302984"/>
    <w:rsid w:val="00304268"/>
    <w:rsid w:val="0030443C"/>
    <w:rsid w:val="00306CDC"/>
    <w:rsid w:val="00311DE9"/>
    <w:rsid w:val="00317F55"/>
    <w:rsid w:val="00320D72"/>
    <w:rsid w:val="00332D70"/>
    <w:rsid w:val="00336400"/>
    <w:rsid w:val="00373F48"/>
    <w:rsid w:val="00397712"/>
    <w:rsid w:val="003A1F41"/>
    <w:rsid w:val="003A551A"/>
    <w:rsid w:val="003B0521"/>
    <w:rsid w:val="003C67D1"/>
    <w:rsid w:val="003C7E17"/>
    <w:rsid w:val="003D01F6"/>
    <w:rsid w:val="003D1A3B"/>
    <w:rsid w:val="003F3907"/>
    <w:rsid w:val="003F48BE"/>
    <w:rsid w:val="003F5A78"/>
    <w:rsid w:val="00412140"/>
    <w:rsid w:val="00415528"/>
    <w:rsid w:val="00423768"/>
    <w:rsid w:val="00423B4F"/>
    <w:rsid w:val="004300D0"/>
    <w:rsid w:val="00435118"/>
    <w:rsid w:val="0044051B"/>
    <w:rsid w:val="0044120D"/>
    <w:rsid w:val="004534B4"/>
    <w:rsid w:val="004554AB"/>
    <w:rsid w:val="00466847"/>
    <w:rsid w:val="00473875"/>
    <w:rsid w:val="00474C56"/>
    <w:rsid w:val="00482D09"/>
    <w:rsid w:val="0048334F"/>
    <w:rsid w:val="0048521A"/>
    <w:rsid w:val="00487C12"/>
    <w:rsid w:val="00493B69"/>
    <w:rsid w:val="004C4E87"/>
    <w:rsid w:val="004D03AE"/>
    <w:rsid w:val="004D3CC1"/>
    <w:rsid w:val="004F3FDC"/>
    <w:rsid w:val="004F6E5C"/>
    <w:rsid w:val="00505BF6"/>
    <w:rsid w:val="005152FE"/>
    <w:rsid w:val="005211EF"/>
    <w:rsid w:val="00521A3B"/>
    <w:rsid w:val="00552EAF"/>
    <w:rsid w:val="00553059"/>
    <w:rsid w:val="00556359"/>
    <w:rsid w:val="00561011"/>
    <w:rsid w:val="00570C3F"/>
    <w:rsid w:val="00580E66"/>
    <w:rsid w:val="005930EB"/>
    <w:rsid w:val="005B221F"/>
    <w:rsid w:val="005B35C1"/>
    <w:rsid w:val="005C3C75"/>
    <w:rsid w:val="005F21CB"/>
    <w:rsid w:val="005F29F2"/>
    <w:rsid w:val="005F4888"/>
    <w:rsid w:val="00600ABE"/>
    <w:rsid w:val="00606DB3"/>
    <w:rsid w:val="00611104"/>
    <w:rsid w:val="00611A66"/>
    <w:rsid w:val="006214D9"/>
    <w:rsid w:val="00640B49"/>
    <w:rsid w:val="00641DFA"/>
    <w:rsid w:val="006522CF"/>
    <w:rsid w:val="0066746C"/>
    <w:rsid w:val="006A5807"/>
    <w:rsid w:val="006B10B3"/>
    <w:rsid w:val="006B3F1D"/>
    <w:rsid w:val="006D07D5"/>
    <w:rsid w:val="006D4C5A"/>
    <w:rsid w:val="006D7822"/>
    <w:rsid w:val="006E2D67"/>
    <w:rsid w:val="006E3FEC"/>
    <w:rsid w:val="006E5E53"/>
    <w:rsid w:val="006F0514"/>
    <w:rsid w:val="006F16B3"/>
    <w:rsid w:val="006F2AC0"/>
    <w:rsid w:val="006F4EA3"/>
    <w:rsid w:val="00703444"/>
    <w:rsid w:val="0071000A"/>
    <w:rsid w:val="00731222"/>
    <w:rsid w:val="00734C70"/>
    <w:rsid w:val="00737744"/>
    <w:rsid w:val="00747A95"/>
    <w:rsid w:val="00756646"/>
    <w:rsid w:val="00757FF2"/>
    <w:rsid w:val="00764E13"/>
    <w:rsid w:val="007766DE"/>
    <w:rsid w:val="0077766C"/>
    <w:rsid w:val="00790519"/>
    <w:rsid w:val="00796D8D"/>
    <w:rsid w:val="00797AEB"/>
    <w:rsid w:val="007A6AEF"/>
    <w:rsid w:val="007B5BDB"/>
    <w:rsid w:val="007D2E20"/>
    <w:rsid w:val="007D356B"/>
    <w:rsid w:val="007E305E"/>
    <w:rsid w:val="00812229"/>
    <w:rsid w:val="00815715"/>
    <w:rsid w:val="008216B9"/>
    <w:rsid w:val="00821E8C"/>
    <w:rsid w:val="00824651"/>
    <w:rsid w:val="00830EDB"/>
    <w:rsid w:val="00833AA5"/>
    <w:rsid w:val="00834CFE"/>
    <w:rsid w:val="008358F1"/>
    <w:rsid w:val="008375A0"/>
    <w:rsid w:val="00837A8A"/>
    <w:rsid w:val="00842183"/>
    <w:rsid w:val="00847F21"/>
    <w:rsid w:val="00875CF9"/>
    <w:rsid w:val="00883463"/>
    <w:rsid w:val="00883C2C"/>
    <w:rsid w:val="008A010C"/>
    <w:rsid w:val="008A32C8"/>
    <w:rsid w:val="008A51D5"/>
    <w:rsid w:val="008C334E"/>
    <w:rsid w:val="008C338A"/>
    <w:rsid w:val="008C518A"/>
    <w:rsid w:val="008D062A"/>
    <w:rsid w:val="008D29CA"/>
    <w:rsid w:val="008E12B8"/>
    <w:rsid w:val="008E35FB"/>
    <w:rsid w:val="008E613B"/>
    <w:rsid w:val="008F33C0"/>
    <w:rsid w:val="008F42B0"/>
    <w:rsid w:val="0091308B"/>
    <w:rsid w:val="00917EFD"/>
    <w:rsid w:val="009264C1"/>
    <w:rsid w:val="00933706"/>
    <w:rsid w:val="00941309"/>
    <w:rsid w:val="009528F1"/>
    <w:rsid w:val="009528FB"/>
    <w:rsid w:val="00954B4D"/>
    <w:rsid w:val="00984D42"/>
    <w:rsid w:val="00991DE1"/>
    <w:rsid w:val="00992152"/>
    <w:rsid w:val="009A3A7F"/>
    <w:rsid w:val="009B5DED"/>
    <w:rsid w:val="009C0B12"/>
    <w:rsid w:val="009C4A9A"/>
    <w:rsid w:val="009D57DE"/>
    <w:rsid w:val="009D69CE"/>
    <w:rsid w:val="009D798B"/>
    <w:rsid w:val="00A017C6"/>
    <w:rsid w:val="00A04C24"/>
    <w:rsid w:val="00A2165D"/>
    <w:rsid w:val="00A21C5A"/>
    <w:rsid w:val="00A31198"/>
    <w:rsid w:val="00A317A6"/>
    <w:rsid w:val="00A34B21"/>
    <w:rsid w:val="00A51B9E"/>
    <w:rsid w:val="00A66F5A"/>
    <w:rsid w:val="00A71BCE"/>
    <w:rsid w:val="00A73084"/>
    <w:rsid w:val="00A75C09"/>
    <w:rsid w:val="00A812F6"/>
    <w:rsid w:val="00A83555"/>
    <w:rsid w:val="00AB2B5F"/>
    <w:rsid w:val="00AB5435"/>
    <w:rsid w:val="00AB7FAD"/>
    <w:rsid w:val="00AC32F0"/>
    <w:rsid w:val="00AD3796"/>
    <w:rsid w:val="00AE00C5"/>
    <w:rsid w:val="00B069A1"/>
    <w:rsid w:val="00B145B0"/>
    <w:rsid w:val="00B14C8A"/>
    <w:rsid w:val="00B22A46"/>
    <w:rsid w:val="00B3179B"/>
    <w:rsid w:val="00B334D8"/>
    <w:rsid w:val="00B42B8A"/>
    <w:rsid w:val="00B5405A"/>
    <w:rsid w:val="00B62D33"/>
    <w:rsid w:val="00B718C4"/>
    <w:rsid w:val="00B76C47"/>
    <w:rsid w:val="00B84DB6"/>
    <w:rsid w:val="00B85808"/>
    <w:rsid w:val="00B97D22"/>
    <w:rsid w:val="00BB18D2"/>
    <w:rsid w:val="00BC08E5"/>
    <w:rsid w:val="00BD02B8"/>
    <w:rsid w:val="00BD6F4D"/>
    <w:rsid w:val="00BE67F5"/>
    <w:rsid w:val="00BE7440"/>
    <w:rsid w:val="00BF0FFC"/>
    <w:rsid w:val="00BF1E09"/>
    <w:rsid w:val="00C057AB"/>
    <w:rsid w:val="00C11D0F"/>
    <w:rsid w:val="00C3282D"/>
    <w:rsid w:val="00C34A28"/>
    <w:rsid w:val="00C35E55"/>
    <w:rsid w:val="00C422B3"/>
    <w:rsid w:val="00C61CA6"/>
    <w:rsid w:val="00C76947"/>
    <w:rsid w:val="00C8189E"/>
    <w:rsid w:val="00C8385E"/>
    <w:rsid w:val="00C927BE"/>
    <w:rsid w:val="00C930C6"/>
    <w:rsid w:val="00C94F6C"/>
    <w:rsid w:val="00C976BE"/>
    <w:rsid w:val="00CB15E7"/>
    <w:rsid w:val="00CB4203"/>
    <w:rsid w:val="00CC3621"/>
    <w:rsid w:val="00CC6ADA"/>
    <w:rsid w:val="00CD321F"/>
    <w:rsid w:val="00CD44FB"/>
    <w:rsid w:val="00CE42F9"/>
    <w:rsid w:val="00CE4FE0"/>
    <w:rsid w:val="00D01C3F"/>
    <w:rsid w:val="00D20AF5"/>
    <w:rsid w:val="00D24366"/>
    <w:rsid w:val="00D25A6D"/>
    <w:rsid w:val="00D33DD7"/>
    <w:rsid w:val="00D34FF6"/>
    <w:rsid w:val="00D35FF4"/>
    <w:rsid w:val="00D41550"/>
    <w:rsid w:val="00D43172"/>
    <w:rsid w:val="00D46C34"/>
    <w:rsid w:val="00D558B5"/>
    <w:rsid w:val="00D57FEB"/>
    <w:rsid w:val="00D63783"/>
    <w:rsid w:val="00D836B6"/>
    <w:rsid w:val="00D9587E"/>
    <w:rsid w:val="00DA33A8"/>
    <w:rsid w:val="00DC5521"/>
    <w:rsid w:val="00DC6B7C"/>
    <w:rsid w:val="00DD23CC"/>
    <w:rsid w:val="00DE42D5"/>
    <w:rsid w:val="00DF5EF0"/>
    <w:rsid w:val="00E01F9C"/>
    <w:rsid w:val="00E04937"/>
    <w:rsid w:val="00E10C34"/>
    <w:rsid w:val="00E1767F"/>
    <w:rsid w:val="00E203B4"/>
    <w:rsid w:val="00E24147"/>
    <w:rsid w:val="00E31E79"/>
    <w:rsid w:val="00E968B9"/>
    <w:rsid w:val="00EA4F00"/>
    <w:rsid w:val="00EC3C5A"/>
    <w:rsid w:val="00EC778C"/>
    <w:rsid w:val="00EC7B14"/>
    <w:rsid w:val="00ED256B"/>
    <w:rsid w:val="00EE34C0"/>
    <w:rsid w:val="00EE3D86"/>
    <w:rsid w:val="00EF18AB"/>
    <w:rsid w:val="00F04D83"/>
    <w:rsid w:val="00F1260C"/>
    <w:rsid w:val="00F21CCA"/>
    <w:rsid w:val="00F26025"/>
    <w:rsid w:val="00F30112"/>
    <w:rsid w:val="00F3609F"/>
    <w:rsid w:val="00F75899"/>
    <w:rsid w:val="00F81DE9"/>
    <w:rsid w:val="00F87B6D"/>
    <w:rsid w:val="00F96C61"/>
    <w:rsid w:val="00F96D6C"/>
    <w:rsid w:val="00FA3022"/>
    <w:rsid w:val="00FA4BE0"/>
    <w:rsid w:val="00FC07FC"/>
    <w:rsid w:val="00FC6B86"/>
    <w:rsid w:val="00FD040B"/>
    <w:rsid w:val="00FD5324"/>
    <w:rsid w:val="00FD5367"/>
    <w:rsid w:val="00FD54EA"/>
    <w:rsid w:val="00FE13B5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 w:cs="Times New Roman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E5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EA3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069A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762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ja.lidke@ef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78</cp:revision>
  <cp:lastPrinted>2019-11-22T10:17:00Z</cp:lastPrinted>
  <dcterms:created xsi:type="dcterms:W3CDTF">2020-08-24T09:40:00Z</dcterms:created>
  <dcterms:modified xsi:type="dcterms:W3CDTF">2020-11-18T14:19:00Z</dcterms:modified>
</cp:coreProperties>
</file>