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72" w:rsidRDefault="00691D72" w:rsidP="00101C61">
      <w:pPr>
        <w:pStyle w:val="Nagwek2"/>
        <w:numPr>
          <w:ilvl w:val="0"/>
          <w:numId w:val="0"/>
        </w:numPr>
        <w:spacing w:before="0"/>
        <w:jc w:val="right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Załącznik nr 3</w:t>
      </w:r>
      <w:r w:rsidR="00101C61">
        <w:rPr>
          <w:i/>
          <w:color w:val="0D0D0D" w:themeColor="text1" w:themeTint="F2"/>
        </w:rPr>
        <w:t xml:space="preserve"> do Umowy</w:t>
      </w:r>
    </w:p>
    <w:p w:rsidR="00BC7553" w:rsidRPr="003D48CE" w:rsidRDefault="00BC7553" w:rsidP="00BC7553">
      <w:pPr>
        <w:pStyle w:val="Nagwek2"/>
        <w:numPr>
          <w:ilvl w:val="0"/>
          <w:numId w:val="0"/>
        </w:numPr>
        <w:rPr>
          <w:i/>
          <w:color w:val="0D0D0D" w:themeColor="text1" w:themeTint="F2"/>
        </w:rPr>
      </w:pPr>
      <w:r w:rsidRPr="003D48CE">
        <w:rPr>
          <w:i/>
          <w:color w:val="0D0D0D" w:themeColor="text1" w:themeTint="F2"/>
        </w:rPr>
        <w:t>Mierniki Jakościowe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4"/>
        <w:gridCol w:w="1588"/>
        <w:gridCol w:w="1559"/>
        <w:gridCol w:w="2551"/>
        <w:gridCol w:w="1106"/>
        <w:gridCol w:w="1842"/>
      </w:tblGrid>
      <w:tr w:rsidR="00101C61" w:rsidRPr="00101C61" w:rsidTr="00101C61">
        <w:trPr>
          <w:trHeight w:val="373"/>
        </w:trPr>
        <w:tc>
          <w:tcPr>
            <w:tcW w:w="9180" w:type="dxa"/>
            <w:gridSpan w:val="6"/>
            <w:shd w:val="clear" w:color="auto" w:fill="FFFFFF" w:themeFill="background1"/>
            <w:vAlign w:val="center"/>
          </w:tcPr>
          <w:p w:rsidR="003D48CE" w:rsidRPr="00101C61" w:rsidRDefault="003D48CE" w:rsidP="00643A15">
            <w:pPr>
              <w:pStyle w:val="Bezodstpw"/>
              <w:jc w:val="center"/>
              <w:rPr>
                <w:b/>
                <w:i/>
                <w:szCs w:val="18"/>
                <w:lang w:eastAsia="pl-PL"/>
              </w:rPr>
            </w:pPr>
            <w:r w:rsidRPr="00101C61">
              <w:rPr>
                <w:b/>
                <w:i/>
                <w:szCs w:val="18"/>
                <w:lang w:eastAsia="pl-PL"/>
              </w:rPr>
              <w:t>Mierniki Jakościowe</w:t>
            </w:r>
          </w:p>
        </w:tc>
      </w:tr>
      <w:tr w:rsidR="00101C61" w:rsidRPr="00101C61" w:rsidTr="00101C61">
        <w:trPr>
          <w:trHeight w:val="1003"/>
        </w:trPr>
        <w:tc>
          <w:tcPr>
            <w:tcW w:w="534" w:type="dxa"/>
            <w:shd w:val="clear" w:color="auto" w:fill="FFFFFF" w:themeFill="background1"/>
            <w:vAlign w:val="center"/>
          </w:tcPr>
          <w:p w:rsidR="003D48CE" w:rsidRPr="00101C61" w:rsidRDefault="00F516B6" w:rsidP="00643A1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eastAsia="pl-PL"/>
              </w:rPr>
            </w:pPr>
            <w:r w:rsidRPr="00101C61">
              <w:rPr>
                <w:b/>
                <w:i/>
                <w:sz w:val="18"/>
                <w:szCs w:val="18"/>
                <w:lang w:eastAsia="pl-PL"/>
              </w:rPr>
              <w:t>L</w:t>
            </w:r>
            <w:r w:rsidR="003D48CE" w:rsidRPr="00101C61">
              <w:rPr>
                <w:b/>
                <w:i/>
                <w:sz w:val="18"/>
                <w:szCs w:val="18"/>
                <w:lang w:eastAsia="pl-PL"/>
              </w:rPr>
              <w:t>p.</w:t>
            </w:r>
          </w:p>
          <w:p w:rsidR="00F516B6" w:rsidRPr="00101C61" w:rsidRDefault="00F516B6" w:rsidP="00643A1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3D48CE" w:rsidRPr="00101C61" w:rsidRDefault="003D48CE" w:rsidP="00643A1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eastAsia="pl-PL"/>
              </w:rPr>
            </w:pPr>
            <w:r w:rsidRPr="00101C61">
              <w:rPr>
                <w:b/>
                <w:i/>
                <w:sz w:val="18"/>
                <w:szCs w:val="18"/>
                <w:lang w:eastAsia="pl-PL"/>
              </w:rPr>
              <w:t>Zakres czynności/działań podlegających ocenie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8CE" w:rsidRPr="00101C61" w:rsidRDefault="003D48CE" w:rsidP="005C11B4">
            <w:pPr>
              <w:spacing w:after="0" w:line="240" w:lineRule="auto"/>
              <w:jc w:val="center"/>
              <w:rPr>
                <w:b/>
                <w:i/>
                <w:szCs w:val="18"/>
                <w:lang w:eastAsia="pl-PL"/>
              </w:rPr>
            </w:pPr>
            <w:r w:rsidRPr="00101C61">
              <w:rPr>
                <w:b/>
                <w:i/>
                <w:szCs w:val="18"/>
                <w:lang w:eastAsia="pl-PL"/>
              </w:rPr>
              <w:t>Cel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48CE" w:rsidRPr="00101C61" w:rsidRDefault="003D48CE" w:rsidP="00643A1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eastAsia="pl-PL"/>
              </w:rPr>
            </w:pPr>
            <w:r w:rsidRPr="00101C61">
              <w:rPr>
                <w:b/>
                <w:i/>
                <w:sz w:val="18"/>
                <w:szCs w:val="18"/>
                <w:lang w:eastAsia="pl-PL"/>
              </w:rPr>
              <w:t>Algorytm rozliczeniowy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D48CE" w:rsidRPr="00101C61" w:rsidRDefault="003D48CE" w:rsidP="005C11B4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  <w:lang w:eastAsia="pl-PL"/>
              </w:rPr>
            </w:pPr>
            <w:r w:rsidRPr="00101C61">
              <w:rPr>
                <w:rFonts w:cs="Arial"/>
                <w:b/>
                <w:i/>
                <w:sz w:val="18"/>
                <w:szCs w:val="18"/>
                <w:lang w:eastAsia="pl-PL"/>
              </w:rPr>
              <w:t>Maksymalne odchylenie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D48CE" w:rsidRPr="00101C61" w:rsidRDefault="003D48CE" w:rsidP="00643A1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eastAsia="pl-PL"/>
              </w:rPr>
            </w:pPr>
            <w:r w:rsidRPr="00101C61">
              <w:rPr>
                <w:rFonts w:cs="Arial"/>
                <w:b/>
                <w:i/>
                <w:sz w:val="18"/>
                <w:szCs w:val="18"/>
                <w:lang w:eastAsia="pl-PL"/>
              </w:rPr>
              <w:t>Redukcja wynagrodzenia z tytułu niedotrzymania celu Miernika Jakościowego</w:t>
            </w: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before="24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Terminowość realizacji odczytu na indywidualne zlecenie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E97F41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3 dni robocze lub w terminie </w:t>
            </w:r>
            <w:r>
              <w:t xml:space="preserve"> </w:t>
            </w:r>
            <w:r w:rsidRPr="0078194E">
              <w:rPr>
                <w:color w:val="0D0D0D" w:themeColor="text1" w:themeTint="F2"/>
                <w:sz w:val="18"/>
                <w:szCs w:val="18"/>
                <w:lang w:eastAsia="pl-PL"/>
              </w:rPr>
              <w:t>umówionym z Odbiorcą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.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3626F5">
              <w:rPr>
                <w:color w:val="0D0D0D" w:themeColor="text1" w:themeTint="F2"/>
                <w:sz w:val="18"/>
                <w:szCs w:val="18"/>
                <w:lang w:eastAsia="pl-PL"/>
              </w:rPr>
              <w:t>Pierwszy dzień roboczy jest niepełny i jest liczony od godziny 9:00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.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053EDD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Umówiony z Odbiorcą termin </w:t>
            </w:r>
            <w:r w:rsidRPr="00354597">
              <w:rPr>
                <w:color w:val="0D0D0D" w:themeColor="text1" w:themeTint="F2"/>
                <w:sz w:val="18"/>
                <w:szCs w:val="18"/>
                <w:lang w:eastAsia="pl-PL"/>
              </w:rPr>
              <w:t>realizacji zlecenia OT należy niezwłocznie zgłosić do Zamawiającego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Default="00BC7553" w:rsidP="00D02A45">
            <w:pPr>
              <w:spacing w:before="240" w:line="240" w:lineRule="auto"/>
              <w:rPr>
                <w:sz w:val="18"/>
                <w:szCs w:val="18"/>
                <w:lang w:eastAsia="pl-PL"/>
              </w:rPr>
            </w:pPr>
            <w:r w:rsidRPr="003626F5">
              <w:rPr>
                <w:sz w:val="18"/>
                <w:szCs w:val="18"/>
                <w:lang w:eastAsia="pl-PL"/>
              </w:rPr>
              <w:t xml:space="preserve">Rozliczenie miesięczne. Termin liczony od daty przekazania Zlecenia OT do Wykonawcy do dnia </w:t>
            </w:r>
            <w:r>
              <w:t xml:space="preserve"> </w:t>
            </w:r>
            <w:r w:rsidRPr="002163EC">
              <w:rPr>
                <w:sz w:val="18"/>
                <w:szCs w:val="18"/>
                <w:lang w:eastAsia="pl-PL"/>
              </w:rPr>
              <w:t xml:space="preserve">przekazania zrealizowanego zlecenia OT do </w:t>
            </w:r>
            <w:r>
              <w:rPr>
                <w:sz w:val="18"/>
                <w:szCs w:val="18"/>
                <w:lang w:eastAsia="pl-PL"/>
              </w:rPr>
              <w:t>Z</w:t>
            </w:r>
            <w:r w:rsidRPr="002163EC">
              <w:rPr>
                <w:sz w:val="18"/>
                <w:szCs w:val="18"/>
                <w:lang w:eastAsia="pl-PL"/>
              </w:rPr>
              <w:t>amawiającego. W przypadku realizacji zleceń w terminie umówionym, przekazanie następuje nie później niż w kolejnym dniu roboczym.</w:t>
            </w:r>
          </w:p>
          <w:p w:rsidR="00BC7553" w:rsidRPr="00221617" w:rsidRDefault="00BC7553" w:rsidP="00D02A45">
            <w:pPr>
              <w:spacing w:before="240" w:line="240" w:lineRule="auto"/>
              <w:rPr>
                <w:sz w:val="18"/>
                <w:szCs w:val="18"/>
                <w:lang w:eastAsia="pl-PL"/>
              </w:rPr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 w których Wykonawca zwróci zlecenia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 OT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wpisami informującymi 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6257D6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20,00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przypadek</w:t>
            </w:r>
          </w:p>
        </w:tc>
      </w:tr>
      <w:tr w:rsidR="00BC7553" w:rsidRPr="009C1E83" w:rsidTr="00101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before="24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sz w:val="18"/>
                <w:szCs w:val="18"/>
                <w:lang w:eastAsia="pl-PL"/>
              </w:rPr>
              <w:t>Sprawność przekazania danych pomiarowo rozliczeniowych do Zamawiającego - dot. odczytów realizowanych na urządzeniach inkasenckich lub kartach odczytowych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553" w:rsidRPr="003626F5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97%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553" w:rsidRPr="00D02A45" w:rsidRDefault="005C11B4" w:rsidP="005C11B4">
            <w:pPr>
              <w:spacing w:before="240" w:line="240" w:lineRule="auto"/>
              <w:jc w:val="both"/>
              <w:rPr>
                <w:rFonts w:eastAsiaTheme="minorEastAsia"/>
                <w:color w:val="0D0D0D" w:themeColor="text1" w:themeTint="F2"/>
                <w:sz w:val="18"/>
                <w:szCs w:val="18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vertAlign w:val="subscript"/>
                    <w:lang w:eastAsia="pl-PL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  <m:t>(Low+Lus)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  <m:t>Loz</m:t>
                    </m:r>
                  </m:den>
                </m:f>
                <m: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*100%</m:t>
                </m:r>
              </m:oMath>
            </m:oMathPara>
          </w:p>
          <w:p w:rsidR="00643A15" w:rsidRDefault="00BC7553" w:rsidP="00D02A45">
            <w:pPr>
              <w:spacing w:before="24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3626F5">
              <w:rPr>
                <w:color w:val="0D0D0D" w:themeColor="text1" w:themeTint="F2"/>
                <w:sz w:val="18"/>
                <w:szCs w:val="18"/>
                <w:lang w:eastAsia="pl-PL"/>
              </w:rPr>
              <w:t>Rozliczenie miesięczne, wyliczane jako: iloraz sumy liczby odczytów rozliczeniowych rzeczywistych L</w:t>
            </w:r>
            <w:r w:rsidRPr="003626F5">
              <w:rPr>
                <w:color w:val="0D0D0D" w:themeColor="text1" w:themeTint="F2"/>
                <w:sz w:val="18"/>
                <w:szCs w:val="18"/>
                <w:vertAlign w:val="subscript"/>
                <w:lang w:eastAsia="pl-PL"/>
              </w:rPr>
              <w:t>ow</w:t>
            </w:r>
            <w:r w:rsidRPr="003626F5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i liczby usterek L</w:t>
            </w:r>
            <w:r w:rsidRPr="003626F5">
              <w:rPr>
                <w:color w:val="0D0D0D" w:themeColor="text1" w:themeTint="F2"/>
                <w:sz w:val="18"/>
                <w:szCs w:val="18"/>
                <w:vertAlign w:val="subscript"/>
                <w:lang w:eastAsia="pl-PL"/>
              </w:rPr>
              <w:t>us</w:t>
            </w:r>
            <w:r w:rsidRPr="003626F5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uniemożliwiających dokonanie prawidłowego odczytu przekazanych Zamawiającemu do liczby odczytów rozliczeniowych do zrealizowania L</w:t>
            </w:r>
            <w:r w:rsidRPr="003626F5">
              <w:rPr>
                <w:color w:val="0D0D0D" w:themeColor="text1" w:themeTint="F2"/>
                <w:sz w:val="18"/>
                <w:szCs w:val="18"/>
                <w:vertAlign w:val="subscript"/>
                <w:lang w:eastAsia="pl-PL"/>
              </w:rPr>
              <w:t>oz</w:t>
            </w:r>
            <w:r w:rsidRPr="003626F5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w okresie rozliczeniowym zgodnie z harmonogramem obowiązującym w oddziale Zamawiającego</w:t>
            </w:r>
            <w:r w:rsidR="00643A15">
              <w:rPr>
                <w:color w:val="0D0D0D" w:themeColor="text1" w:themeTint="F2"/>
                <w:sz w:val="18"/>
                <w:szCs w:val="18"/>
                <w:lang w:eastAsia="pl-PL"/>
              </w:rPr>
              <w:t>.</w:t>
            </w:r>
          </w:p>
          <w:p w:rsidR="00BC7553" w:rsidRPr="003626F5" w:rsidRDefault="00BC7553" w:rsidP="00D02A45">
            <w:pPr>
              <w:spacing w:before="240" w:line="240" w:lineRule="auto"/>
              <w:rPr>
                <w:sz w:val="18"/>
                <w:szCs w:val="18"/>
                <w:lang w:eastAsia="pl-PL"/>
              </w:rPr>
            </w:pPr>
            <w:r w:rsidRPr="003626F5">
              <w:rPr>
                <w:color w:val="0D0D0D" w:themeColor="text1" w:themeTint="F2"/>
                <w:sz w:val="18"/>
                <w:szCs w:val="18"/>
                <w:lang w:eastAsia="pl-PL"/>
              </w:rPr>
              <w:t>Wskaźnik wyznaczany w zaokrągleniu do setnych części punktu procentowego.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553" w:rsidRPr="003626F5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3626F5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0,5%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553" w:rsidRPr="003626F5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4,00</w:t>
            </w:r>
            <w:r w:rsidRPr="003626F5">
              <w:rPr>
                <w:rFonts w:cs="Arial"/>
                <w:sz w:val="18"/>
                <w:szCs w:val="18"/>
                <w:lang w:eastAsia="pl-PL"/>
              </w:rPr>
              <w:t xml:space="preserve"> zł za każdy brakujący odczyt</w:t>
            </w: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Liczba liczników odczytanych co najmniej raz na 3 </w:t>
            </w:r>
            <w:r w:rsidR="00643A15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okresy rozliczeniowe</w:t>
            </w: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Pr="00F93806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30757" w:rsidRPr="00CE0A80" w:rsidRDefault="00BC7553" w:rsidP="00D02A45">
            <w:pPr>
              <w:spacing w:line="240" w:lineRule="auto"/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Za każdy zidentyfikowany przypadek.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br/>
              <w:t>D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o wyliczenia wskaźnika nie są uw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zględniane przypadki,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wpisami informującymi 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br/>
            </w:r>
            <w:r w:rsidR="00A91709" w:rsidRPr="00A91709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</w:t>
            </w:r>
            <w:r w:rsidR="00A91709" w:rsidRPr="00A91709">
              <w:rPr>
                <w:sz w:val="18"/>
                <w:szCs w:val="18"/>
              </w:rPr>
              <w:t xml:space="preserve"> które nie zostały Wykonawcy przedłożone w zestawieniu zawierającym </w:t>
            </w:r>
            <w:r w:rsidR="00414581">
              <w:rPr>
                <w:sz w:val="18"/>
                <w:szCs w:val="18"/>
              </w:rPr>
              <w:t xml:space="preserve">liczniki nieodczytane od  </w:t>
            </w:r>
            <w:r w:rsidR="00A91709" w:rsidRPr="00A91709">
              <w:rPr>
                <w:sz w:val="18"/>
                <w:szCs w:val="18"/>
              </w:rPr>
              <w:t>2  okresów rozliczeniowych.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F93806" w:rsidRDefault="00BC7553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0,5%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F93806" w:rsidRDefault="00BC7553" w:rsidP="00643A15">
            <w:pPr>
              <w:spacing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50 </w:t>
            </w:r>
            <w:r w:rsidRPr="00F93806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zł za każdy brakujący odczyt</w:t>
            </w: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Prawidłowość odczytu Układu Pomiarowego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Pr="00F93806" w:rsidRDefault="00BC7553" w:rsidP="005C11B4">
            <w:pPr>
              <w:spacing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Pr="00F93806" w:rsidRDefault="00BC7553" w:rsidP="00D02A45">
            <w:pPr>
              <w:spacing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Rozliczenie miesięczne, za każdy zidentyfikowany i zweryfikowany przypadek błędnego odczytu stwierdzony w miesiącu rozliczeniowym.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F93806" w:rsidDel="00627C58" w:rsidRDefault="00BC7553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0,3%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F93806" w:rsidRDefault="008E3A72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20</w:t>
            </w:r>
            <w:r w:rsidR="0080596F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,00</w:t>
            </w:r>
            <w:r w:rsidR="00BC7553" w:rsidRPr="00F93806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błędny odczyt</w:t>
            </w:r>
          </w:p>
          <w:p w:rsidR="00BC7553" w:rsidRPr="00F93806" w:rsidRDefault="00BC7553" w:rsidP="00643A15">
            <w:pPr>
              <w:spacing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before="24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Skuteczność realizacji wymian legalizacyjnych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100,0%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Pr="003626F5" w:rsidRDefault="005C11B4" w:rsidP="005C11B4">
            <w:pPr>
              <w:spacing w:before="240" w:line="240" w:lineRule="auto"/>
              <w:jc w:val="both"/>
              <w:rPr>
                <w:rFonts w:eastAsiaTheme="minorEastAsia"/>
                <w:color w:val="0D0D0D" w:themeColor="text1" w:themeTint="F2"/>
                <w:sz w:val="18"/>
                <w:szCs w:val="18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vertAlign w:val="subscript"/>
                    <w:lang w:eastAsia="pl-PL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  <m:t>(Llz-Llzp)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  <m:t>Llp</m:t>
                    </m:r>
                  </m:den>
                </m:f>
                <m: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*100%</m:t>
                </m:r>
              </m:oMath>
            </m:oMathPara>
          </w:p>
          <w:p w:rsidR="00BC7553" w:rsidRDefault="00BC7553" w:rsidP="00D02A45">
            <w:pPr>
              <w:spacing w:before="24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DA2">
              <w:rPr>
                <w:color w:val="0D0D0D" w:themeColor="text1" w:themeTint="F2"/>
                <w:sz w:val="16"/>
                <w:szCs w:val="16"/>
                <w:lang w:eastAsia="pl-PL"/>
              </w:rPr>
              <w:t>Wl - skuteczność realizacji wymian legalizacyjnych</w:t>
            </w:r>
            <w:r>
              <w:rPr>
                <w:color w:val="0D0D0D" w:themeColor="text1" w:themeTint="F2"/>
                <w:sz w:val="16"/>
                <w:szCs w:val="16"/>
                <w:lang w:eastAsia="pl-PL"/>
              </w:rPr>
              <w:br/>
            </w:r>
            <w:r w:rsidRPr="00091DA2">
              <w:rPr>
                <w:color w:val="0D0D0D" w:themeColor="text1" w:themeTint="F2"/>
                <w:sz w:val="16"/>
                <w:szCs w:val="16"/>
                <w:lang w:eastAsia="pl-PL"/>
              </w:rPr>
              <w:t xml:space="preserve">Llz </w:t>
            </w:r>
            <w:r>
              <w:rPr>
                <w:color w:val="0D0D0D" w:themeColor="text1" w:themeTint="F2"/>
                <w:sz w:val="16"/>
                <w:szCs w:val="16"/>
                <w:lang w:eastAsia="pl-PL"/>
              </w:rPr>
              <w:t>–</w:t>
            </w:r>
            <w:r w:rsidRPr="00091DA2">
              <w:rPr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liczba </w:t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>zleceń OT zrealizowanych w okresie rozliczeniowym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br/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 xml:space="preserve">Llzp – liczba 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 xml:space="preserve">zleceń OT przekazanych do Zamawiającego w terminie przekraczającym 5 dni robocze 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>od realizacji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br/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 xml:space="preserve"> Llp – zlecenia przekazane Wykonawcy do realizacji</w:t>
            </w:r>
          </w:p>
          <w:p w:rsidR="00BC7553" w:rsidRDefault="00BC7553" w:rsidP="00D02A45">
            <w:pPr>
              <w:spacing w:before="24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FC7518">
              <w:rPr>
                <w:sz w:val="18"/>
                <w:szCs w:val="18"/>
                <w:lang w:eastAsia="pl-PL"/>
              </w:rPr>
              <w:t>Rozliczenie</w:t>
            </w:r>
            <w:r>
              <w:rPr>
                <w:sz w:val="18"/>
                <w:szCs w:val="18"/>
                <w:lang w:eastAsia="pl-PL"/>
              </w:rPr>
              <w:t xml:space="preserve"> kwartalne</w:t>
            </w:r>
            <w:r w:rsidR="00105654">
              <w:rPr>
                <w:sz w:val="18"/>
                <w:szCs w:val="18"/>
                <w:lang w:eastAsia="pl-PL"/>
              </w:rPr>
              <w:t xml:space="preserve"> (po 3 miesiącach od przekazania zaleceń Wykonawcy)</w:t>
            </w:r>
            <w:r w:rsidRPr="00FC7518">
              <w:rPr>
                <w:sz w:val="18"/>
                <w:szCs w:val="18"/>
                <w:lang w:eastAsia="pl-PL"/>
              </w:rPr>
              <w:t xml:space="preserve">, wyliczane jako: </w:t>
            </w:r>
            <w:r w:rsidRPr="00304718">
              <w:rPr>
                <w:color w:val="000000" w:themeColor="text1"/>
                <w:sz w:val="18"/>
                <w:szCs w:val="18"/>
                <w:lang w:eastAsia="pl-PL"/>
              </w:rPr>
              <w:t xml:space="preserve">iloraz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różnicy </w:t>
            </w:r>
            <w:r w:rsidRPr="00304718">
              <w:rPr>
                <w:color w:val="000000" w:themeColor="text1"/>
                <w:sz w:val="18"/>
                <w:szCs w:val="18"/>
                <w:lang w:eastAsia="pl-PL"/>
              </w:rPr>
              <w:t xml:space="preserve">liczby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zleceń OT zrealizowanych  Llz i liczby zleceń przekazanych do zamawiającego w terminie przekraczającym 5 dni robocze po wykonaniu usługi  llzp do liczby zleceń przekazanych do realizacji Llp.</w:t>
            </w:r>
          </w:p>
          <w:p w:rsidR="00BC7553" w:rsidRPr="009C1E83" w:rsidRDefault="00BC7553" w:rsidP="00D02A45">
            <w:pPr>
              <w:spacing w:before="24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 w których Wykonawca zwróci zlecenia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 OT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wpisami informującymi 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30,00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niewymieniony licznik bezpośredni</w:t>
            </w:r>
          </w:p>
          <w:p w:rsidR="00BC7553" w:rsidRPr="009C1E83" w:rsidRDefault="00BC7553" w:rsidP="00643A15">
            <w:pPr>
              <w:spacing w:before="24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before="24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Skuteczność realizacji wymian masowych liczników 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100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,0%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Pr="003626F5" w:rsidRDefault="005C11B4" w:rsidP="00D02A45">
            <w:pPr>
              <w:spacing w:before="240" w:line="240" w:lineRule="auto"/>
              <w:rPr>
                <w:rFonts w:eastAsiaTheme="minorEastAsia"/>
                <w:color w:val="0D0D0D" w:themeColor="text1" w:themeTint="F2"/>
                <w:sz w:val="18"/>
                <w:szCs w:val="18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vertAlign w:val="subscript"/>
                    <w:lang w:eastAsia="pl-PL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  <m:t>(Laz-Lazp)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D0D0D" w:themeColor="text1" w:themeTint="F2"/>
                        <w:sz w:val="18"/>
                        <w:szCs w:val="18"/>
                        <w:lang w:eastAsia="pl-PL"/>
                      </w:rPr>
                      <m:t>Lap</m:t>
                    </m:r>
                  </m:den>
                </m:f>
                <m:r>
                  <w:rPr>
                    <w:rFonts w:ascii="Cambria Math" w:hAnsi="Cambria Math"/>
                    <w:color w:val="0D0D0D" w:themeColor="text1" w:themeTint="F2"/>
                    <w:sz w:val="18"/>
                    <w:szCs w:val="18"/>
                    <w:lang w:eastAsia="pl-PL"/>
                  </w:rPr>
                  <m:t>*100%</m:t>
                </m:r>
              </m:oMath>
            </m:oMathPara>
          </w:p>
          <w:p w:rsidR="002456CD" w:rsidRDefault="00BC7553" w:rsidP="00D02A45">
            <w:pPr>
              <w:spacing w:before="240" w:line="240" w:lineRule="auto"/>
              <w:rPr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color w:val="0D0D0D" w:themeColor="text1" w:themeTint="F2"/>
                <w:sz w:val="16"/>
                <w:szCs w:val="16"/>
                <w:lang w:eastAsia="pl-PL"/>
              </w:rPr>
              <w:t>Wa</w:t>
            </w:r>
            <w:r w:rsidRPr="00091DA2">
              <w:rPr>
                <w:color w:val="0D0D0D" w:themeColor="text1" w:themeTint="F2"/>
                <w:sz w:val="16"/>
                <w:szCs w:val="16"/>
                <w:lang w:eastAsia="pl-PL"/>
              </w:rPr>
              <w:t xml:space="preserve"> - skuteczność realizacji wymian legalizacyjnych</w:t>
            </w:r>
            <w:r>
              <w:rPr>
                <w:color w:val="0D0D0D" w:themeColor="text1" w:themeTint="F2"/>
                <w:sz w:val="16"/>
                <w:szCs w:val="16"/>
                <w:lang w:eastAsia="pl-PL"/>
              </w:rPr>
              <w:br/>
              <w:t>Laz</w:t>
            </w:r>
            <w:r w:rsidRPr="00091DA2">
              <w:rPr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r>
              <w:rPr>
                <w:color w:val="0D0D0D" w:themeColor="text1" w:themeTint="F2"/>
                <w:sz w:val="16"/>
                <w:szCs w:val="16"/>
                <w:lang w:eastAsia="pl-PL"/>
              </w:rPr>
              <w:t>–</w:t>
            </w:r>
            <w:r w:rsidRPr="00091DA2">
              <w:rPr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liczba </w:t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>zleceń OT zrealizowanych w okresie rozliczeniowym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br/>
              <w:t>Lazp</w:t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 xml:space="preserve"> – liczba 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 xml:space="preserve">zleceń OT przekazanych do Zamawiającego w terminie przekraczającym 5 dni robocze 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>od realizacji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br/>
              <w:t xml:space="preserve"> Lap</w:t>
            </w:r>
            <w:r w:rsidRPr="00091DA2">
              <w:rPr>
                <w:color w:val="000000" w:themeColor="text1"/>
                <w:sz w:val="16"/>
                <w:szCs w:val="16"/>
                <w:lang w:eastAsia="pl-PL"/>
              </w:rPr>
              <w:t xml:space="preserve"> – zlecenia przekazane Wykonawcy do realizacji</w:t>
            </w:r>
          </w:p>
          <w:p w:rsidR="00BC7553" w:rsidRPr="009C1E83" w:rsidRDefault="002456CD" w:rsidP="00D02A45">
            <w:pPr>
              <w:spacing w:before="24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6"/>
                <w:szCs w:val="16"/>
                <w:lang w:eastAsia="pl-PL"/>
              </w:rPr>
              <w:br/>
            </w:r>
            <w:r w:rsidR="00BC7553"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Rozliczenie </w:t>
            </w:r>
            <w:r w:rsidR="00BC755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="00BC7553" w:rsidRPr="005C11B4">
              <w:rPr>
                <w:color w:val="0D0D0D" w:themeColor="text1" w:themeTint="F2"/>
                <w:sz w:val="18"/>
                <w:szCs w:val="18"/>
                <w:lang w:eastAsia="pl-PL"/>
              </w:rPr>
              <w:t>kwartalne</w:t>
            </w:r>
            <w:r w:rsidR="00075EB8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="00075EB8">
              <w:rPr>
                <w:sz w:val="18"/>
                <w:szCs w:val="18"/>
                <w:lang w:eastAsia="pl-PL"/>
              </w:rPr>
              <w:t>(po 3 miesiącach od przekazania zaleceń Wykonawcy)</w:t>
            </w:r>
            <w:r w:rsidR="00075EB8" w:rsidRPr="00FC7518">
              <w:rPr>
                <w:sz w:val="18"/>
                <w:szCs w:val="18"/>
                <w:lang w:eastAsia="pl-PL"/>
              </w:rPr>
              <w:t>,</w:t>
            </w:r>
            <w:r w:rsidR="00BC7553" w:rsidRPr="005C11B4">
              <w:rPr>
                <w:color w:val="0D0D0D" w:themeColor="text1" w:themeTint="F2"/>
                <w:sz w:val="18"/>
                <w:szCs w:val="18"/>
                <w:lang w:eastAsia="pl-PL"/>
              </w:rPr>
              <w:t>,</w:t>
            </w:r>
            <w:r w:rsidR="00BC7553"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wyliczane jako: </w:t>
            </w:r>
            <w:r w:rsidR="00BC7553" w:rsidRPr="00304718">
              <w:rPr>
                <w:color w:val="000000" w:themeColor="text1"/>
                <w:sz w:val="18"/>
                <w:szCs w:val="18"/>
                <w:lang w:eastAsia="pl-PL"/>
              </w:rPr>
              <w:t xml:space="preserve">iloraz </w:t>
            </w:r>
            <w:r w:rsidR="00BC7553">
              <w:rPr>
                <w:color w:val="000000" w:themeColor="text1"/>
                <w:sz w:val="18"/>
                <w:szCs w:val="18"/>
                <w:lang w:eastAsia="pl-PL"/>
              </w:rPr>
              <w:t xml:space="preserve">różnicy </w:t>
            </w:r>
            <w:r w:rsidR="00BC7553" w:rsidRPr="00304718">
              <w:rPr>
                <w:color w:val="000000" w:themeColor="text1"/>
                <w:sz w:val="18"/>
                <w:szCs w:val="18"/>
                <w:lang w:eastAsia="pl-PL"/>
              </w:rPr>
              <w:t xml:space="preserve">liczby </w:t>
            </w:r>
            <w:r w:rsidR="00BC7553">
              <w:rPr>
                <w:color w:val="000000" w:themeColor="text1"/>
                <w:sz w:val="18"/>
                <w:szCs w:val="18"/>
                <w:lang w:eastAsia="pl-PL"/>
              </w:rPr>
              <w:t>zleceń OT zrealizowanych  Laz i liczby zleceń przekazanych do zamawiającego w terminie przekraczającym 5 dni</w:t>
            </w:r>
            <w:r w:rsidR="005C11B4">
              <w:rPr>
                <w:color w:val="000000" w:themeColor="text1"/>
                <w:sz w:val="18"/>
                <w:szCs w:val="18"/>
                <w:lang w:eastAsia="pl-PL"/>
              </w:rPr>
              <w:t xml:space="preserve"> robocze po wykonaniu usługi  La</w:t>
            </w:r>
            <w:r w:rsidR="00BC7553">
              <w:rPr>
                <w:color w:val="000000" w:themeColor="text1"/>
                <w:sz w:val="18"/>
                <w:szCs w:val="18"/>
                <w:lang w:eastAsia="pl-PL"/>
              </w:rPr>
              <w:t>zp do liczby zleceń przekazanych do realizacji Lap.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="00BC7553"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 w których Wykonawca zwróci zlecenia</w:t>
            </w:r>
            <w:r w:rsidR="00BC755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 OT </w:t>
            </w:r>
            <w:r w:rsidR="00BC7553"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 xml:space="preserve">udokumentowane wpisami informującymi o </w:t>
            </w:r>
            <w:r w:rsidR="00BC755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="00BC7553"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 w:rsidR="00BC755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5,0%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before="24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3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0,00 zł za każdy niewymieniony licznik bezpośredni AMI</w:t>
            </w:r>
          </w:p>
        </w:tc>
      </w:tr>
      <w:tr w:rsidR="00BC7553" w:rsidRPr="009C1E83" w:rsidTr="00101C61">
        <w:trPr>
          <w:trHeight w:val="558"/>
        </w:trPr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after="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Terminowość realizacji zleceń na oplombowanie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14</w:t>
            </w:r>
            <w:r w:rsidRPr="00DB527E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dni roboczych lub w terminie </w:t>
            </w:r>
            <w:r>
              <w:t xml:space="preserve"> </w:t>
            </w:r>
            <w:r w:rsidRPr="00951B6A">
              <w:rPr>
                <w:color w:val="0D0D0D" w:themeColor="text1" w:themeTint="F2"/>
                <w:sz w:val="18"/>
                <w:szCs w:val="18"/>
                <w:lang w:eastAsia="pl-PL"/>
              </w:rPr>
              <w:t>umówionym z Odbiorcą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DB527E">
              <w:rPr>
                <w:color w:val="0D0D0D" w:themeColor="text1" w:themeTint="F2"/>
                <w:sz w:val="18"/>
                <w:szCs w:val="18"/>
                <w:lang w:eastAsia="pl-PL"/>
              </w:rPr>
              <w:t>Pierwszy dzień roboczy jest niepełny i jest liczony od godziny 9:00.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D45F88">
              <w:rPr>
                <w:color w:val="0D0D0D" w:themeColor="text1" w:themeTint="F2"/>
                <w:sz w:val="18"/>
                <w:szCs w:val="18"/>
                <w:lang w:eastAsia="pl-PL"/>
              </w:rPr>
              <w:t>Umówiony z Odbiorcą termin realizacji zlecenia OT należy niezwłocznie zgłosić do Zamawiającego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456CD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Rozliczenie miesięczne. Termin liczony od dnia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przekazania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Zlecenia OT </w:t>
            </w:r>
            <w:r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do Wykonawcy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do </w:t>
            </w:r>
            <w:r>
              <w:t xml:space="preserve"> </w:t>
            </w:r>
            <w:r w:rsidRPr="00634ECC">
              <w:rPr>
                <w:color w:val="0D0D0D" w:themeColor="text1" w:themeTint="F2"/>
                <w:sz w:val="18"/>
                <w:szCs w:val="18"/>
                <w:lang w:eastAsia="pl-PL"/>
              </w:rPr>
              <w:t>dnia przekazania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zrealizowanego zlecenia OT do Za</w:t>
            </w:r>
            <w:r w:rsidRPr="00634ECC">
              <w:rPr>
                <w:color w:val="0D0D0D" w:themeColor="text1" w:themeTint="F2"/>
                <w:sz w:val="18"/>
                <w:szCs w:val="18"/>
                <w:lang w:eastAsia="pl-PL"/>
              </w:rPr>
              <w:t>mawiającego.</w:t>
            </w:r>
            <w:r>
              <w:t xml:space="preserve"> </w:t>
            </w:r>
            <w:r w:rsidRPr="00634ECC">
              <w:rPr>
                <w:color w:val="0D0D0D" w:themeColor="text1" w:themeTint="F2"/>
                <w:sz w:val="18"/>
                <w:szCs w:val="18"/>
                <w:lang w:eastAsia="pl-PL"/>
              </w:rPr>
              <w:t>W przypadku realizacji zleceń w terminie umówionym, przekazanie następuje nie później niż w kolejnym dniu roboczym.</w:t>
            </w:r>
          </w:p>
          <w:p w:rsidR="00BC7553" w:rsidRPr="009C1E8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 w których Wykonawca zwróci zlecenia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 OT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wpisami informującymi 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6257D6" w:rsidRDefault="00BC7553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20,00 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przypadek</w:t>
            </w:r>
          </w:p>
          <w:p w:rsidR="00BC7553" w:rsidRPr="009C1E83" w:rsidRDefault="00BC7553" w:rsidP="00643A15">
            <w:pPr>
              <w:spacing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BC7553" w:rsidRPr="009C1E83" w:rsidTr="00101C61">
        <w:trPr>
          <w:trHeight w:val="558"/>
        </w:trPr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after="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Terminowość realizacji zleceń na czynności eksploatacyjne oraz wymian na liczniki z możliwością zdalnego odczytu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DB527E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5 dni roboczych lub w terminie </w:t>
            </w:r>
            <w:r>
              <w:t xml:space="preserve"> </w:t>
            </w:r>
            <w:r w:rsidRPr="00951B6A">
              <w:rPr>
                <w:color w:val="0D0D0D" w:themeColor="text1" w:themeTint="F2"/>
                <w:sz w:val="18"/>
                <w:szCs w:val="18"/>
                <w:lang w:eastAsia="pl-PL"/>
              </w:rPr>
              <w:t>umówionym z Odbiorcą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. </w:t>
            </w:r>
            <w:r w:rsidRPr="00DB527E">
              <w:rPr>
                <w:color w:val="0D0D0D" w:themeColor="text1" w:themeTint="F2"/>
                <w:sz w:val="18"/>
                <w:szCs w:val="18"/>
                <w:lang w:eastAsia="pl-PL"/>
              </w:rPr>
              <w:t>Pierwszy dzień roboczy jest niepełny i jest liczony od godziny 9:00.</w:t>
            </w:r>
            <w:r>
              <w:t xml:space="preserve"> </w:t>
            </w:r>
            <w:r w:rsidRPr="00053EDD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Umówiony z Odbiorcą termin </w:t>
            </w:r>
            <w:r w:rsidRPr="00354597">
              <w:rPr>
                <w:color w:val="0D0D0D" w:themeColor="text1" w:themeTint="F2"/>
                <w:sz w:val="18"/>
                <w:szCs w:val="18"/>
                <w:lang w:eastAsia="pl-PL"/>
              </w:rPr>
              <w:t>realizacji zlecenia OT należy niezwłocznie zgłosić do Zamawiającego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456CD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Rozliczenie miesięczne. Termin liczony od dnia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przekazania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Zlecenia OT </w:t>
            </w:r>
            <w:r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do Wykonawcy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do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3F67F0">
              <w:rPr>
                <w:color w:val="0D0D0D" w:themeColor="text1" w:themeTint="F2"/>
                <w:sz w:val="18"/>
                <w:szCs w:val="18"/>
                <w:lang w:eastAsia="pl-PL"/>
              </w:rPr>
              <w:t>dnia przekazania zrealizowanego zlecenia OT do zamawiającego. W przypadku realizacji zleceń w terminie umówionym, przekazanie następuje nie później niż w kolejnym dniu roboczym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.</w:t>
            </w:r>
          </w:p>
          <w:p w:rsidR="00BC7553" w:rsidRPr="009C1E8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 w których Wykonawca zwróci zlecenia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 OT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wpisami informującymi 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6257D6" w:rsidRDefault="00BC7553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30,00 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przypadek</w:t>
            </w:r>
          </w:p>
          <w:p w:rsidR="00BC7553" w:rsidRPr="009C1E83" w:rsidRDefault="00BC7553" w:rsidP="00643A15">
            <w:pPr>
              <w:spacing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Realizacja zleceń na wyłączenie dostawy energii elektrycznej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90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% w terminie do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3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dni roboczych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lub innym terminie uzgodnionym pomiędzy zamawiającym i Wykonawcą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Pr="009C1E83" w:rsidRDefault="00BC7553" w:rsidP="00D02A45">
            <w:pPr>
              <w:spacing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Rozliczenie miesięczne, Wyliczane jako: iloraz liczby </w:t>
            </w:r>
            <w:r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Zleceń OT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zakończonych wstrzymaniem dostawy energii elektrycznej w danym okresie rozliczeniowym</w:t>
            </w:r>
            <w:r>
              <w:t xml:space="preserve">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i przekazanych do Za</w:t>
            </w:r>
            <w:r w:rsidRPr="00183C79">
              <w:rPr>
                <w:color w:val="0D0D0D" w:themeColor="text1" w:themeTint="F2"/>
                <w:sz w:val="18"/>
                <w:szCs w:val="18"/>
                <w:lang w:eastAsia="pl-PL"/>
              </w:rPr>
              <w:t>mawiającego,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do łącznej liczby zleceń na wstrzymanie dostawy energii elektrycznej, przekazanych do realizacji w okresie rozliczeniowym.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15%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30,00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przypadek</w:t>
            </w: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Skuteczność realizacji usługi wznowienia dostawy energii elektrycznej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100% w terminie </w:t>
            </w:r>
            <w:r w:rsidR="00D5247A">
              <w:rPr>
                <w:color w:val="0D0D0D" w:themeColor="text1" w:themeTint="F2"/>
                <w:sz w:val="18"/>
                <w:szCs w:val="18"/>
                <w:lang w:eastAsia="pl-PL"/>
              </w:rPr>
              <w:t>1 (jednego) pełnego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dni</w:t>
            </w:r>
            <w:r w:rsidR="00D5247A">
              <w:rPr>
                <w:color w:val="0D0D0D" w:themeColor="text1" w:themeTint="F2"/>
                <w:sz w:val="18"/>
                <w:szCs w:val="18"/>
                <w:lang w:eastAsia="pl-PL"/>
              </w:rPr>
              <w:t>a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="00D5247A"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robocz</w:t>
            </w:r>
            <w:r w:rsidR="00D5247A">
              <w:rPr>
                <w:color w:val="0D0D0D" w:themeColor="text1" w:themeTint="F2"/>
                <w:sz w:val="18"/>
                <w:szCs w:val="18"/>
                <w:lang w:eastAsia="pl-PL"/>
              </w:rPr>
              <w:t>ego</w:t>
            </w:r>
            <w:r w:rsidR="00D5247A">
              <w:t xml:space="preserve"> </w:t>
            </w:r>
            <w:r w:rsidRPr="00183C79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lub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w terminie umówionym z </w:t>
            </w:r>
            <w:r w:rsidR="005C11B4">
              <w:rPr>
                <w:color w:val="0D0D0D" w:themeColor="text1" w:themeTint="F2"/>
                <w:sz w:val="18"/>
                <w:szCs w:val="18"/>
                <w:lang w:eastAsia="pl-PL"/>
              </w:rPr>
              <w:t>O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dbiorcą.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053EDD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Umówiony z Odbiorcą termin </w:t>
            </w:r>
            <w:r w:rsidRPr="00354597">
              <w:rPr>
                <w:color w:val="0D0D0D" w:themeColor="text1" w:themeTint="F2"/>
                <w:sz w:val="18"/>
                <w:szCs w:val="18"/>
                <w:lang w:eastAsia="pl-PL"/>
              </w:rPr>
              <w:t>realizacji zlecenia OT należy niezwłocznie zgłosić do Zamawiającego</w:t>
            </w:r>
          </w:p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Pr="009C1E83" w:rsidRDefault="00BC7553" w:rsidP="00D02A45">
            <w:pPr>
              <w:spacing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Rozliczenie miesięczne, Wyliczane jako: iloraz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liczby 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Zleceń OT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zrealizowanych i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przekazanych do Z</w:t>
            </w:r>
            <w:r w:rsidRPr="00183C79">
              <w:rPr>
                <w:color w:val="0D0D0D" w:themeColor="text1" w:themeTint="F2"/>
                <w:sz w:val="18"/>
                <w:szCs w:val="18"/>
                <w:lang w:eastAsia="pl-PL"/>
              </w:rPr>
              <w:t>amawiającego</w:t>
            </w:r>
            <w:r w:rsidRPr="00183C79" w:rsidDel="00183C79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,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do łącznej liczby 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Zleceń OT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przekazanych do realizacji w okresie rozliczeniowym.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br/>
            </w:r>
            <w:r w:rsidRPr="00AE7F67">
              <w:rPr>
                <w:color w:val="0D0D0D" w:themeColor="text1" w:themeTint="F2"/>
                <w:sz w:val="18"/>
                <w:szCs w:val="18"/>
                <w:lang w:eastAsia="pl-PL"/>
              </w:rPr>
              <w:t>W przypadku realizacji zleceń w terminie umówionym, przekazanie następuje nie później niż w kolejnym dniu roboczym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t>.</w:t>
            </w:r>
            <w:r w:rsidR="002456CD">
              <w:rPr>
                <w:color w:val="0D0D0D" w:themeColor="text1" w:themeTint="F2"/>
                <w:sz w:val="18"/>
                <w:szCs w:val="18"/>
                <w:lang w:eastAsia="pl-PL"/>
              </w:rPr>
              <w:br/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 uwzględniane przypadki, w których Wykonawca zwróci zlecenia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 OT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wpisami informującymi o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uzasadnionej </w:t>
            </w:r>
            <w:r w:rsidRPr="00F93806">
              <w:rPr>
                <w:color w:val="0D0D0D" w:themeColor="text1" w:themeTint="F2"/>
                <w:sz w:val="18"/>
                <w:szCs w:val="18"/>
                <w:lang w:eastAsia="pl-PL"/>
              </w:rPr>
              <w:t>przyczynie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braku realizacji.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6257D6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50,00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przypadek</w:t>
            </w: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after="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Terminowość realizacji zleceń </w:t>
            </w: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Kontroli Układu Pomiarowego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Pr="009C1E83" w:rsidRDefault="00D5247A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5</w:t>
            </w:r>
            <w:r w:rsidR="00BC7553"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dni roboczych</w:t>
            </w:r>
            <w:r w:rsidR="00BC7553">
              <w:t xml:space="preserve"> </w:t>
            </w:r>
            <w:r w:rsidR="00BC7553" w:rsidRPr="00183C79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lub innym terminie </w:t>
            </w:r>
            <w:r w:rsidR="00861B10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uzgodnionym </w:t>
            </w:r>
            <w:r w:rsidR="00861B10">
              <w:rPr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pomiędzy Z</w:t>
            </w:r>
            <w:r w:rsidR="00BC7553" w:rsidRPr="00183C79">
              <w:rPr>
                <w:color w:val="0D0D0D" w:themeColor="text1" w:themeTint="F2"/>
                <w:sz w:val="18"/>
                <w:szCs w:val="18"/>
                <w:lang w:eastAsia="pl-PL"/>
              </w:rPr>
              <w:t>amawiającym i Wykonawcą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 xml:space="preserve">Rozliczenie miesięczne. Termin liczony od daty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przekazania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Zlecenia OT </w:t>
            </w:r>
            <w:r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do Wykonawcy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do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dnia</w:t>
            </w:r>
            <w:r>
              <w:t xml:space="preserve"> </w:t>
            </w:r>
            <w:r w:rsidRPr="00183C79">
              <w:rPr>
                <w:color w:val="0D0D0D" w:themeColor="text1" w:themeTint="F2"/>
                <w:sz w:val="18"/>
                <w:szCs w:val="18"/>
                <w:lang w:eastAsia="pl-PL"/>
              </w:rPr>
              <w:t>przekazania zrealizowanego zlecenia OT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.</w:t>
            </w:r>
          </w:p>
          <w:p w:rsidR="00BC755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0634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W przypadku realizacji zleceń </w:t>
            </w:r>
            <w:r w:rsidR="005C11B4">
              <w:rPr>
                <w:color w:val="0D0D0D" w:themeColor="text1" w:themeTint="F2"/>
                <w:sz w:val="18"/>
                <w:szCs w:val="18"/>
                <w:lang w:eastAsia="pl-PL"/>
              </w:rPr>
              <w:br/>
            </w:r>
            <w:r w:rsidRPr="009C0634">
              <w:rPr>
                <w:color w:val="0D0D0D" w:themeColor="text1" w:themeTint="F2"/>
                <w:sz w:val="18"/>
                <w:szCs w:val="18"/>
                <w:lang w:eastAsia="pl-PL"/>
              </w:rPr>
              <w:t>w terminie umówionym, przekazanie następuje nie później niż w kolejnym dniu roboczym.</w:t>
            </w:r>
          </w:p>
          <w:p w:rsidR="00BC755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Do wyliczenia wskaźnika nie są</w:t>
            </w:r>
            <w:r>
              <w:t xml:space="preserve"> </w:t>
            </w:r>
            <w:r w:rsidRPr="0000065A">
              <w:rPr>
                <w:color w:val="0D0D0D" w:themeColor="text1" w:themeTint="F2"/>
                <w:sz w:val="18"/>
                <w:szCs w:val="18"/>
                <w:lang w:eastAsia="pl-PL"/>
              </w:rPr>
              <w:t>uwzględniane przypadki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>,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w których Wykonawca zwróci </w:t>
            </w:r>
            <w:r w:rsidRPr="009C1E83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Zlecenia OT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="00861B10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udokumentowane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wpisami </w:t>
            </w:r>
            <w:r w:rsidR="00861B10">
              <w:rPr>
                <w:color w:val="0D0D0D" w:themeColor="text1" w:themeTint="F2"/>
                <w:sz w:val="18"/>
                <w:szCs w:val="18"/>
                <w:lang w:eastAsia="pl-PL"/>
              </w:rPr>
              <w:t>i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nformującymi o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uzasadnionej </w:t>
            </w: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przyczynie braku</w:t>
            </w:r>
            <w:r>
              <w:rPr>
                <w:color w:val="0D0D0D" w:themeColor="text1" w:themeTint="F2"/>
                <w:sz w:val="18"/>
                <w:szCs w:val="18"/>
                <w:lang w:eastAsia="pl-PL"/>
              </w:rPr>
              <w:t xml:space="preserve"> realizacji.</w:t>
            </w:r>
          </w:p>
          <w:p w:rsidR="00BC7553" w:rsidRPr="009C1E8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6257D6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6257D6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10%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100,00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każdy przypadek</w:t>
            </w:r>
          </w:p>
        </w:tc>
      </w:tr>
      <w:tr w:rsidR="00BC7553" w:rsidRPr="009C1E83" w:rsidTr="00101C61">
        <w:tc>
          <w:tcPr>
            <w:tcW w:w="534" w:type="dxa"/>
            <w:shd w:val="clear" w:color="auto" w:fill="FFFFFF" w:themeFill="background1"/>
            <w:vAlign w:val="center"/>
          </w:tcPr>
          <w:p w:rsidR="00BC7553" w:rsidRPr="00F516B6" w:rsidRDefault="00BC7553" w:rsidP="00861B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C7553" w:rsidRPr="005C11B4" w:rsidRDefault="00BC7553" w:rsidP="00643A15">
            <w:pPr>
              <w:spacing w:after="0" w:line="240" w:lineRule="auto"/>
              <w:jc w:val="center"/>
              <w:rPr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Realizacja wymaganego zakresu czynności zgodnie z zapisami Załącznika </w:t>
            </w:r>
            <w:r w:rsidR="002456CD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nr 2</w:t>
            </w:r>
            <w:r w:rsidR="005C11B4"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 </w:t>
            </w: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 xml:space="preserve">oraz zdefiniowanymi </w:t>
            </w:r>
            <w:r w:rsidRPr="00D5247A">
              <w:rPr>
                <w:i/>
                <w:sz w:val="18"/>
                <w:szCs w:val="18"/>
                <w:lang w:eastAsia="pl-PL"/>
              </w:rPr>
              <w:t xml:space="preserve">Procedurami w Megaprocesie „Zarządzanie </w:t>
            </w:r>
            <w:r w:rsidRPr="005C11B4">
              <w:rPr>
                <w:i/>
                <w:color w:val="0D0D0D" w:themeColor="text1" w:themeTint="F2"/>
                <w:sz w:val="18"/>
                <w:szCs w:val="18"/>
                <w:lang w:eastAsia="pl-PL"/>
              </w:rPr>
              <w:t>pomiarami”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55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100%</w:t>
            </w:r>
          </w:p>
          <w:p w:rsidR="00BC7553" w:rsidRPr="009C1E83" w:rsidRDefault="00BC7553" w:rsidP="005C11B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7553" w:rsidRPr="009C1E83" w:rsidRDefault="00BC7553" w:rsidP="00D02A45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color w:val="0D0D0D" w:themeColor="text1" w:themeTint="F2"/>
                <w:sz w:val="18"/>
                <w:szCs w:val="18"/>
                <w:lang w:eastAsia="pl-PL"/>
              </w:rPr>
              <w:t>Za każdy zidentyfikowany przypadek.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0,3%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7553" w:rsidRPr="009C1E83" w:rsidRDefault="00BC7553" w:rsidP="00643A15">
            <w:pPr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>100,00</w:t>
            </w:r>
            <w:r w:rsidRPr="009C1E83">
              <w:rPr>
                <w:rFonts w:cs="Arial"/>
                <w:color w:val="0D0D0D" w:themeColor="text1" w:themeTint="F2"/>
                <w:sz w:val="18"/>
                <w:szCs w:val="18"/>
                <w:lang w:eastAsia="pl-PL"/>
              </w:rPr>
              <w:t xml:space="preserve"> zł za każdą nieprawidłowość stwierdzoną przez Zamawiającego</w:t>
            </w:r>
          </w:p>
        </w:tc>
      </w:tr>
    </w:tbl>
    <w:p w:rsidR="009A2E1A" w:rsidRDefault="009A2E1A" w:rsidP="00BC7553">
      <w:pPr>
        <w:suppressAutoHyphens/>
        <w:ind w:left="720"/>
        <w:jc w:val="both"/>
      </w:pPr>
    </w:p>
    <w:p w:rsidR="00BC7553" w:rsidRDefault="00BC7553" w:rsidP="00643A15">
      <w:pPr>
        <w:suppressAutoHyphens/>
        <w:spacing w:line="240" w:lineRule="auto"/>
        <w:ind w:left="720"/>
        <w:jc w:val="both"/>
      </w:pPr>
      <w:r w:rsidRPr="002952B0">
        <w:t xml:space="preserve">W przypadku stwierdzenia w </w:t>
      </w:r>
      <w:r w:rsidR="003D48CE">
        <w:rPr>
          <w:i/>
          <w:iCs/>
        </w:rPr>
        <w:t>Raportach</w:t>
      </w:r>
      <w:r w:rsidRPr="002952B0">
        <w:rPr>
          <w:i/>
          <w:iCs/>
        </w:rPr>
        <w:t xml:space="preserve"> Jakościowych</w:t>
      </w:r>
      <w:r w:rsidR="003D48CE">
        <w:rPr>
          <w:i/>
          <w:iCs/>
        </w:rPr>
        <w:t xml:space="preserve"> (RJ)</w:t>
      </w:r>
      <w:r w:rsidRPr="002952B0">
        <w:rPr>
          <w:iCs/>
        </w:rPr>
        <w:t xml:space="preserve">, </w:t>
      </w:r>
      <w:r w:rsidRPr="002952B0">
        <w:t xml:space="preserve">obniżenia w okresie kolejnych </w:t>
      </w:r>
      <w:r w:rsidR="008936A7">
        <w:t>dwóch</w:t>
      </w:r>
      <w:r w:rsidR="008936A7" w:rsidRPr="002952B0">
        <w:t xml:space="preserve"> </w:t>
      </w:r>
      <w:r w:rsidR="008936A7">
        <w:t xml:space="preserve"> </w:t>
      </w:r>
      <w:r>
        <w:t xml:space="preserve">okresów rozliczeniowych </w:t>
      </w:r>
      <w:r w:rsidRPr="002952B0">
        <w:t xml:space="preserve">średniego poziomu świadczenia przez Wykonawcę całości lub części usług objętych </w:t>
      </w:r>
      <w:r w:rsidRPr="00C14145">
        <w:rPr>
          <w:i/>
        </w:rPr>
        <w:t>Umową</w:t>
      </w:r>
      <w:r w:rsidRPr="002952B0">
        <w:t xml:space="preserve"> o wartość przekraczającą maksymalne odchylenie zdefiniowane odrębnie dla jakiegokolwiek </w:t>
      </w:r>
      <w:r w:rsidRPr="002952B0">
        <w:rPr>
          <w:i/>
        </w:rPr>
        <w:t xml:space="preserve">Miernika </w:t>
      </w:r>
      <w:r w:rsidRPr="009A2E1A">
        <w:rPr>
          <w:i/>
        </w:rPr>
        <w:t>Jakościowego,</w:t>
      </w:r>
      <w:r w:rsidR="000B5121">
        <w:rPr>
          <w:i/>
        </w:rPr>
        <w:t xml:space="preserve"> Z</w:t>
      </w:r>
      <w:r w:rsidRPr="009A2E1A">
        <w:rPr>
          <w:iCs/>
        </w:rPr>
        <w:t xml:space="preserve">amawiający wezwie </w:t>
      </w:r>
      <w:r w:rsidRPr="009A2E1A">
        <w:t xml:space="preserve">pisemnie Wykonawcę do przywrócenia poziomu świadczonych usług zgodnie ze zdefiniowanymi </w:t>
      </w:r>
      <w:r w:rsidRPr="009A2E1A">
        <w:rPr>
          <w:i/>
          <w:iCs/>
        </w:rPr>
        <w:t>Miernikami Jakościowymi</w:t>
      </w:r>
      <w:r w:rsidRPr="009A2E1A">
        <w:rPr>
          <w:iCs/>
        </w:rPr>
        <w:t xml:space="preserve"> w odpowiednio wyznaczonym terminie, nie krótszym jednak niż </w:t>
      </w:r>
      <w:r w:rsidR="008936A7">
        <w:rPr>
          <w:iCs/>
        </w:rPr>
        <w:t>2</w:t>
      </w:r>
      <w:r w:rsidR="008936A7" w:rsidRPr="009A2E1A">
        <w:rPr>
          <w:iCs/>
        </w:rPr>
        <w:t xml:space="preserve"> </w:t>
      </w:r>
      <w:r w:rsidRPr="009A2E1A">
        <w:rPr>
          <w:iCs/>
        </w:rPr>
        <w:t>okresy rozliczeniowe.</w:t>
      </w:r>
      <w:r w:rsidR="009A2E1A" w:rsidRPr="009A2E1A">
        <w:rPr>
          <w:iCs/>
        </w:rPr>
        <w:t xml:space="preserve"> </w:t>
      </w:r>
      <w:r w:rsidRPr="009A2E1A">
        <w:t>Nie</w:t>
      </w:r>
      <w:r>
        <w:t xml:space="preserve"> przywrócenie wymaganego poziomu usług w wyznaczonym terminie</w:t>
      </w:r>
      <w:r w:rsidR="009A2E1A">
        <w:t>,</w:t>
      </w:r>
      <w:r w:rsidRPr="002952B0">
        <w:t xml:space="preserve"> będzie uprawniało Zamawiającego do rozwiązania </w:t>
      </w:r>
      <w:r w:rsidRPr="00C14145">
        <w:rPr>
          <w:i/>
        </w:rPr>
        <w:t>Umowy</w:t>
      </w:r>
      <w:r>
        <w:rPr>
          <w:i/>
        </w:rPr>
        <w:t xml:space="preserve"> zgodnie z zasadami w niej opisanymi</w:t>
      </w:r>
      <w:r w:rsidR="008936A7">
        <w:rPr>
          <w:iCs/>
        </w:rPr>
        <w:t xml:space="preserve"> albo do przekazania części zleceń nowemu podmiotowi</w:t>
      </w:r>
      <w:r>
        <w:rPr>
          <w:i/>
        </w:rPr>
        <w:t>.</w:t>
      </w:r>
      <w:r w:rsidRPr="002952B0">
        <w:t xml:space="preserve"> W takim przypadku Wykonawca nie będzie uprawniony do żądania od Zamawiającego zapłaty odszkodowania, o którym mowa w </w:t>
      </w:r>
      <w:r w:rsidRPr="00C14145">
        <w:rPr>
          <w:i/>
        </w:rPr>
        <w:t>Umow</w:t>
      </w:r>
      <w:r>
        <w:rPr>
          <w:i/>
        </w:rPr>
        <w:t>ie</w:t>
      </w:r>
      <w:r w:rsidRPr="002952B0">
        <w:t xml:space="preserve">. </w:t>
      </w:r>
    </w:p>
    <w:p w:rsidR="00075EB8" w:rsidRDefault="00075EB8" w:rsidP="003E5DE1">
      <w:pPr>
        <w:suppressAutoHyphens/>
        <w:spacing w:line="240" w:lineRule="auto"/>
        <w:ind w:left="708"/>
        <w:jc w:val="both"/>
      </w:pPr>
      <w:r w:rsidRPr="002952B0">
        <w:t>W przypadku stwierdzenia</w:t>
      </w:r>
      <w:r w:rsidR="00021677">
        <w:t xml:space="preserve"> </w:t>
      </w:r>
      <w:r w:rsidRPr="002952B0">
        <w:t xml:space="preserve">w </w:t>
      </w:r>
      <w:r>
        <w:rPr>
          <w:i/>
          <w:iCs/>
        </w:rPr>
        <w:t>Raportach</w:t>
      </w:r>
      <w:r w:rsidRPr="002952B0">
        <w:rPr>
          <w:i/>
          <w:iCs/>
        </w:rPr>
        <w:t xml:space="preserve"> Jakościowych</w:t>
      </w:r>
      <w:r>
        <w:rPr>
          <w:i/>
          <w:iCs/>
        </w:rPr>
        <w:t xml:space="preserve"> (RJ)</w:t>
      </w:r>
      <w:r w:rsidR="00021677">
        <w:rPr>
          <w:i/>
          <w:iCs/>
        </w:rPr>
        <w:t xml:space="preserve"> </w:t>
      </w:r>
      <w:r w:rsidR="00021677">
        <w:t xml:space="preserve">dla </w:t>
      </w:r>
      <w:r w:rsidR="00021677" w:rsidRPr="00021677">
        <w:t>wymian legalizacyjnych oraz wymian masowych liczników AMI</w:t>
      </w:r>
      <w:r w:rsidRPr="002952B0">
        <w:rPr>
          <w:iCs/>
        </w:rPr>
        <w:t xml:space="preserve">, </w:t>
      </w:r>
      <w:r w:rsidRPr="002952B0">
        <w:t xml:space="preserve">obniżenia w okresie </w:t>
      </w:r>
      <w:r>
        <w:t>rozliczeniowy</w:t>
      </w:r>
      <w:r w:rsidR="00021677">
        <w:t>m</w:t>
      </w:r>
      <w:r>
        <w:t xml:space="preserve"> </w:t>
      </w:r>
      <w:r w:rsidRPr="002952B0">
        <w:t xml:space="preserve">średniego poziomu świadczenia przez Wykonawcę całości lub części usług objętych </w:t>
      </w:r>
      <w:r w:rsidRPr="00C14145">
        <w:rPr>
          <w:i/>
        </w:rPr>
        <w:t>Umową</w:t>
      </w:r>
      <w:r w:rsidRPr="002952B0">
        <w:t xml:space="preserve"> o wartość przekraczającą maksymalne odchylenie zdefiniowane odrębnie dla jakiegokolwiek </w:t>
      </w:r>
      <w:r w:rsidRPr="002952B0">
        <w:rPr>
          <w:i/>
        </w:rPr>
        <w:t xml:space="preserve">Miernika </w:t>
      </w:r>
      <w:r w:rsidRPr="009A2E1A">
        <w:rPr>
          <w:i/>
        </w:rPr>
        <w:t>Jakościowego,</w:t>
      </w:r>
      <w:r>
        <w:rPr>
          <w:i/>
        </w:rPr>
        <w:t xml:space="preserve"> Z</w:t>
      </w:r>
      <w:r w:rsidRPr="009A2E1A">
        <w:rPr>
          <w:iCs/>
        </w:rPr>
        <w:t xml:space="preserve">amawiający wezwie </w:t>
      </w:r>
      <w:r w:rsidRPr="009A2E1A">
        <w:t xml:space="preserve">pisemnie Wykonawcę do przywrócenia poziomu świadczonych usług zgodnie ze zdefiniowanymi </w:t>
      </w:r>
      <w:r w:rsidRPr="009A2E1A">
        <w:rPr>
          <w:i/>
          <w:iCs/>
        </w:rPr>
        <w:t>Miernikami Jakościowymi</w:t>
      </w:r>
      <w:r w:rsidRPr="009A2E1A">
        <w:rPr>
          <w:iCs/>
        </w:rPr>
        <w:t xml:space="preserve"> w odpowiednio wyznaczonym terminie, nie krótszym jednak niż </w:t>
      </w:r>
      <w:r w:rsidR="00021677">
        <w:rPr>
          <w:iCs/>
        </w:rPr>
        <w:t>1</w:t>
      </w:r>
      <w:r w:rsidRPr="009A2E1A">
        <w:rPr>
          <w:iCs/>
        </w:rPr>
        <w:t xml:space="preserve"> okres rozliczeniow</w:t>
      </w:r>
      <w:r w:rsidR="00021677">
        <w:rPr>
          <w:iCs/>
        </w:rPr>
        <w:t>y</w:t>
      </w:r>
      <w:r w:rsidRPr="009A2E1A">
        <w:rPr>
          <w:iCs/>
        </w:rPr>
        <w:t xml:space="preserve">. </w:t>
      </w:r>
      <w:r w:rsidRPr="009A2E1A">
        <w:t>Nie</w:t>
      </w:r>
      <w:r>
        <w:t xml:space="preserve"> przywrócenie wymaganego poziomu usług w wyznaczonym terminie,</w:t>
      </w:r>
      <w:r w:rsidRPr="002952B0">
        <w:t xml:space="preserve"> będzie uprawniało Zamawiającego do rozwiązania </w:t>
      </w:r>
      <w:r w:rsidRPr="00C14145">
        <w:rPr>
          <w:i/>
        </w:rPr>
        <w:t>Umowy</w:t>
      </w:r>
      <w:r>
        <w:rPr>
          <w:i/>
        </w:rPr>
        <w:t xml:space="preserve"> zgodnie z zasadami w niej opisanymi</w:t>
      </w:r>
      <w:r>
        <w:rPr>
          <w:iCs/>
        </w:rPr>
        <w:t xml:space="preserve"> albo do przekazania części zleceń nowemu podmiotowi</w:t>
      </w:r>
      <w:r>
        <w:rPr>
          <w:i/>
        </w:rPr>
        <w:t>.</w:t>
      </w:r>
      <w:r w:rsidRPr="002952B0">
        <w:t xml:space="preserve"> W takim przypadku Wykonawca nie będzie uprawniony do żądania od Zamawiającego zapłaty odszkodowania, o którym mowa w </w:t>
      </w:r>
      <w:r w:rsidRPr="00C14145">
        <w:rPr>
          <w:i/>
        </w:rPr>
        <w:t>Umow</w:t>
      </w:r>
      <w:r>
        <w:rPr>
          <w:i/>
        </w:rPr>
        <w:t>ie</w:t>
      </w:r>
      <w:r w:rsidRPr="002952B0">
        <w:t xml:space="preserve">. </w:t>
      </w:r>
    </w:p>
    <w:p w:rsidR="00F04435" w:rsidRDefault="00F04435"/>
    <w:sectPr w:rsidR="00F04435" w:rsidSect="000B5A5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A" w:rsidRDefault="00F6058A" w:rsidP="00101C61">
      <w:pPr>
        <w:spacing w:after="0" w:line="240" w:lineRule="auto"/>
      </w:pPr>
      <w:r>
        <w:separator/>
      </w:r>
    </w:p>
  </w:endnote>
  <w:endnote w:type="continuationSeparator" w:id="0">
    <w:p w:rsidR="00F6058A" w:rsidRDefault="00F6058A" w:rsidP="0010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04610"/>
      <w:docPartObj>
        <w:docPartGallery w:val="Page Numbers (Bottom of Page)"/>
        <w:docPartUnique/>
      </w:docPartObj>
    </w:sdtPr>
    <w:sdtEndPr/>
    <w:sdtContent>
      <w:sdt>
        <w:sdtPr>
          <w:id w:val="1151634182"/>
          <w:docPartObj>
            <w:docPartGallery w:val="Page Numbers (Top of Page)"/>
            <w:docPartUnique/>
          </w:docPartObj>
        </w:sdtPr>
        <w:sdtEndPr/>
        <w:sdtContent>
          <w:p w:rsidR="00D02A45" w:rsidRDefault="00D02A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6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6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A45" w:rsidRDefault="00D02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5338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2A45" w:rsidRDefault="00D02A45">
            <w:pPr>
              <w:pStyle w:val="Stopka"/>
              <w:jc w:val="center"/>
            </w:pPr>
            <w:r w:rsidRPr="00D02A45">
              <w:rPr>
                <w:sz w:val="18"/>
                <w:szCs w:val="18"/>
              </w:rPr>
              <w:t xml:space="preserve">Strona </w:t>
            </w:r>
            <w:r w:rsidRPr="00D02A45">
              <w:rPr>
                <w:b/>
                <w:bCs/>
                <w:sz w:val="18"/>
                <w:szCs w:val="18"/>
              </w:rPr>
              <w:fldChar w:fldCharType="begin"/>
            </w:r>
            <w:r w:rsidRPr="00D02A45">
              <w:rPr>
                <w:b/>
                <w:bCs/>
                <w:sz w:val="18"/>
                <w:szCs w:val="18"/>
              </w:rPr>
              <w:instrText>PAGE</w:instrText>
            </w:r>
            <w:r w:rsidRPr="00D02A45">
              <w:rPr>
                <w:b/>
                <w:bCs/>
                <w:sz w:val="18"/>
                <w:szCs w:val="18"/>
              </w:rPr>
              <w:fldChar w:fldCharType="separate"/>
            </w:r>
            <w:r w:rsidR="00EA4CF0">
              <w:rPr>
                <w:b/>
                <w:bCs/>
                <w:noProof/>
                <w:sz w:val="18"/>
                <w:szCs w:val="18"/>
              </w:rPr>
              <w:t>1</w:t>
            </w:r>
            <w:r w:rsidRPr="00D02A45">
              <w:rPr>
                <w:b/>
                <w:bCs/>
                <w:sz w:val="18"/>
                <w:szCs w:val="18"/>
              </w:rPr>
              <w:fldChar w:fldCharType="end"/>
            </w:r>
            <w:r w:rsidRPr="00D02A45">
              <w:rPr>
                <w:sz w:val="18"/>
                <w:szCs w:val="18"/>
              </w:rPr>
              <w:t xml:space="preserve"> z </w:t>
            </w:r>
            <w:r w:rsidRPr="00D02A45">
              <w:rPr>
                <w:b/>
                <w:bCs/>
                <w:sz w:val="18"/>
                <w:szCs w:val="18"/>
              </w:rPr>
              <w:fldChar w:fldCharType="begin"/>
            </w:r>
            <w:r w:rsidRPr="00D02A45">
              <w:rPr>
                <w:b/>
                <w:bCs/>
                <w:sz w:val="18"/>
                <w:szCs w:val="18"/>
              </w:rPr>
              <w:instrText>NUMPAGES</w:instrText>
            </w:r>
            <w:r w:rsidRPr="00D02A45">
              <w:rPr>
                <w:b/>
                <w:bCs/>
                <w:sz w:val="18"/>
                <w:szCs w:val="18"/>
              </w:rPr>
              <w:fldChar w:fldCharType="separate"/>
            </w:r>
            <w:r w:rsidR="00EA4CF0">
              <w:rPr>
                <w:b/>
                <w:bCs/>
                <w:noProof/>
                <w:sz w:val="18"/>
                <w:szCs w:val="18"/>
              </w:rPr>
              <w:t>4</w:t>
            </w:r>
            <w:r w:rsidRPr="00D02A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02A45" w:rsidRDefault="00D02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A" w:rsidRDefault="00F6058A" w:rsidP="00101C61">
      <w:pPr>
        <w:spacing w:after="0" w:line="240" w:lineRule="auto"/>
      </w:pPr>
      <w:r>
        <w:separator/>
      </w:r>
    </w:p>
  </w:footnote>
  <w:footnote w:type="continuationSeparator" w:id="0">
    <w:p w:rsidR="00F6058A" w:rsidRDefault="00F6058A" w:rsidP="0010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45" w:rsidRPr="00101C61" w:rsidRDefault="00D02A45" w:rsidP="00D02A45">
    <w:pPr>
      <w:pStyle w:val="Nagwek"/>
      <w:jc w:val="right"/>
      <w:rPr>
        <w:rFonts w:cs="Arial"/>
        <w:caps/>
        <w:noProof/>
        <w:sz w:val="18"/>
        <w:szCs w:val="18"/>
        <w:lang w:eastAsia="pl-PL"/>
      </w:rPr>
    </w:pPr>
    <w:r w:rsidRPr="00101C61">
      <w:rPr>
        <w:rFonts w:cs="Arial"/>
        <w:caps/>
        <w:noProof/>
        <w:sz w:val="18"/>
        <w:szCs w:val="18"/>
        <w:lang w:eastAsia="pl-PL"/>
      </w:rPr>
      <w:t xml:space="preserve">wykonywanie usług technicznej obsługi odbiorców na terenie Oddziału </w:t>
    </w:r>
    <w:r w:rsidRPr="00101C61">
      <w:rPr>
        <w:rFonts w:cs="Arial"/>
        <w:caps/>
        <w:noProof/>
        <w:sz w:val="18"/>
        <w:szCs w:val="18"/>
        <w:highlight w:val="green"/>
        <w:lang w:eastAsia="pl-PL"/>
      </w:rPr>
      <w:t>_______________</w:t>
    </w:r>
  </w:p>
  <w:p w:rsidR="00D02A45" w:rsidRPr="00101C61" w:rsidRDefault="00D02A45" w:rsidP="00D02A45">
    <w:pPr>
      <w:pStyle w:val="Nagwek"/>
      <w:jc w:val="right"/>
      <w:rPr>
        <w:rFonts w:cs="Arial"/>
        <w:caps/>
        <w:noProof/>
        <w:sz w:val="18"/>
        <w:szCs w:val="18"/>
        <w:highlight w:val="green"/>
        <w:lang w:eastAsia="pl-PL"/>
      </w:rPr>
    </w:pPr>
    <w:r w:rsidRPr="00101C61">
      <w:rPr>
        <w:rFonts w:cs="Arial"/>
        <w:caps/>
        <w:noProof/>
        <w:sz w:val="18"/>
        <w:szCs w:val="18"/>
        <w:lang w:eastAsia="pl-PL"/>
      </w:rPr>
      <w:t xml:space="preserve">Postępowanie numer: </w:t>
    </w:r>
    <w:r w:rsidRPr="00101C61">
      <w:rPr>
        <w:rFonts w:cs="Arial"/>
        <w:caps/>
        <w:noProof/>
        <w:sz w:val="18"/>
        <w:szCs w:val="18"/>
        <w:highlight w:val="green"/>
        <w:lang w:eastAsia="pl-PL"/>
      </w:rPr>
      <w:t>_______________</w:t>
    </w:r>
  </w:p>
  <w:p w:rsidR="00D02A45" w:rsidRPr="00101C61" w:rsidRDefault="00D02A45" w:rsidP="00D02A45">
    <w:pPr>
      <w:pStyle w:val="Nagwek"/>
      <w:jc w:val="right"/>
      <w:rPr>
        <w:sz w:val="18"/>
        <w:szCs w:val="18"/>
      </w:rPr>
    </w:pPr>
    <w:r w:rsidRPr="00101C61">
      <w:rPr>
        <w:sz w:val="18"/>
        <w:szCs w:val="18"/>
      </w:rPr>
      <w:t xml:space="preserve">UMOWA NR </w:t>
    </w:r>
    <w:r w:rsidRPr="00101C61">
      <w:rPr>
        <w:sz w:val="18"/>
        <w:szCs w:val="18"/>
        <w:highlight w:val="green"/>
      </w:rPr>
      <w:t>_______________</w:t>
    </w:r>
  </w:p>
  <w:p w:rsidR="00D02A45" w:rsidRDefault="00D02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CA3"/>
    <w:multiLevelType w:val="hybridMultilevel"/>
    <w:tmpl w:val="91AE2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72620"/>
    <w:multiLevelType w:val="multilevel"/>
    <w:tmpl w:val="3188A0C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569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D85AC4"/>
    <w:multiLevelType w:val="hybridMultilevel"/>
    <w:tmpl w:val="C42C4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49"/>
    <w:rsid w:val="00015F89"/>
    <w:rsid w:val="00021677"/>
    <w:rsid w:val="00075EB8"/>
    <w:rsid w:val="000B5121"/>
    <w:rsid w:val="000B5A5E"/>
    <w:rsid w:val="00101C61"/>
    <w:rsid w:val="00105654"/>
    <w:rsid w:val="002041B7"/>
    <w:rsid w:val="00206FDF"/>
    <w:rsid w:val="002456CD"/>
    <w:rsid w:val="003A4C30"/>
    <w:rsid w:val="003D48CE"/>
    <w:rsid w:val="003E5DE1"/>
    <w:rsid w:val="003E7C07"/>
    <w:rsid w:val="0040744C"/>
    <w:rsid w:val="00414581"/>
    <w:rsid w:val="00460C78"/>
    <w:rsid w:val="005019FC"/>
    <w:rsid w:val="00530757"/>
    <w:rsid w:val="005444F8"/>
    <w:rsid w:val="00546C2C"/>
    <w:rsid w:val="005C11B4"/>
    <w:rsid w:val="00643A15"/>
    <w:rsid w:val="00691D72"/>
    <w:rsid w:val="00742DCF"/>
    <w:rsid w:val="00797E0D"/>
    <w:rsid w:val="0080596F"/>
    <w:rsid w:val="00861B10"/>
    <w:rsid w:val="008936A7"/>
    <w:rsid w:val="008E3A72"/>
    <w:rsid w:val="00991B49"/>
    <w:rsid w:val="009A2E1A"/>
    <w:rsid w:val="009C163C"/>
    <w:rsid w:val="00A4649D"/>
    <w:rsid w:val="00A91709"/>
    <w:rsid w:val="00AE338A"/>
    <w:rsid w:val="00B858D1"/>
    <w:rsid w:val="00BA3327"/>
    <w:rsid w:val="00BB5042"/>
    <w:rsid w:val="00BC7553"/>
    <w:rsid w:val="00D02A45"/>
    <w:rsid w:val="00D1131D"/>
    <w:rsid w:val="00D472D0"/>
    <w:rsid w:val="00D5247A"/>
    <w:rsid w:val="00D8639D"/>
    <w:rsid w:val="00EA10DC"/>
    <w:rsid w:val="00EA4CF0"/>
    <w:rsid w:val="00EC5B38"/>
    <w:rsid w:val="00EF21CA"/>
    <w:rsid w:val="00F04435"/>
    <w:rsid w:val="00F516B6"/>
    <w:rsid w:val="00F55AA0"/>
    <w:rsid w:val="00F6058A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CB5"/>
  <w15:chartTrackingRefBased/>
  <w15:docId w15:val="{9D4791E1-9F5F-4AA9-8C4C-19AE8E0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53"/>
    <w:pPr>
      <w:spacing w:after="200" w:line="276" w:lineRule="auto"/>
    </w:pPr>
    <w:rPr>
      <w:rFonts w:ascii="Arial Narrow" w:eastAsia="Times New Roman" w:hAnsi="Arial Narrow" w:cs="Times New Roman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9"/>
    <w:qFormat/>
    <w:rsid w:val="00BC7553"/>
    <w:pPr>
      <w:numPr>
        <w:numId w:val="1"/>
      </w:numPr>
      <w:spacing w:before="72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553"/>
    <w:pPr>
      <w:numPr>
        <w:ilvl w:val="1"/>
        <w:numId w:val="1"/>
      </w:numPr>
      <w:spacing w:before="360" w:after="0"/>
      <w:outlineLvl w:val="1"/>
    </w:pPr>
    <w:rPr>
      <w:b/>
      <w:bCs/>
      <w:sz w:val="24"/>
      <w:szCs w:val="26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9"/>
    <w:qFormat/>
    <w:rsid w:val="00BC7553"/>
    <w:pPr>
      <w:numPr>
        <w:ilvl w:val="2"/>
        <w:numId w:val="1"/>
      </w:numPr>
      <w:spacing w:before="200" w:after="0" w:line="271" w:lineRule="auto"/>
      <w:jc w:val="both"/>
      <w:outlineLvl w:val="2"/>
    </w:pPr>
    <w:rPr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7553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C7553"/>
    <w:pPr>
      <w:numPr>
        <w:ilvl w:val="5"/>
        <w:numId w:val="1"/>
      </w:num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C7553"/>
    <w:pPr>
      <w:numPr>
        <w:ilvl w:val="6"/>
        <w:numId w:val="1"/>
      </w:num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C7553"/>
    <w:pPr>
      <w:numPr>
        <w:ilvl w:val="7"/>
        <w:numId w:val="1"/>
      </w:num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C7553"/>
    <w:pPr>
      <w:numPr>
        <w:ilvl w:val="8"/>
        <w:numId w:val="1"/>
      </w:num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rsid w:val="00BC7553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C7553"/>
    <w:rPr>
      <w:rFonts w:ascii="Arial Narrow" w:eastAsia="Times New Roman" w:hAnsi="Arial Narrow" w:cs="Times New Roman"/>
      <w:b/>
      <w:bCs/>
      <w:sz w:val="24"/>
      <w:szCs w:val="26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uiPriority w:val="99"/>
    <w:rsid w:val="00BC7553"/>
    <w:rPr>
      <w:rFonts w:ascii="Arial Narrow" w:eastAsia="Times New Roman" w:hAnsi="Arial Narrow" w:cs="Times New Roman"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C7553"/>
    <w:rPr>
      <w:rFonts w:ascii="Arial Narrow" w:eastAsia="Times New Roman" w:hAnsi="Arial Narrow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C7553"/>
    <w:rPr>
      <w:rFonts w:ascii="Arial Narrow" w:eastAsia="Times New Roman" w:hAnsi="Arial Narrow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C7553"/>
    <w:rPr>
      <w:rFonts w:ascii="Arial Narrow" w:eastAsia="Times New Roman" w:hAnsi="Arial Narrow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C7553"/>
    <w:rPr>
      <w:rFonts w:ascii="Arial Narrow" w:eastAsia="Times New Roman" w:hAnsi="Arial Narrow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C7553"/>
    <w:rPr>
      <w:rFonts w:ascii="Arial Narrow" w:eastAsia="Times New Roman" w:hAnsi="Arial Narrow" w:cs="Times New Roman"/>
      <w:i/>
      <w:iC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C755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BC7553"/>
    <w:rPr>
      <w:rFonts w:ascii="Arial Narrow" w:eastAsia="Times New Roman" w:hAnsi="Arial Narrow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7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7553"/>
    <w:rPr>
      <w:rFonts w:ascii="Arial Narrow" w:eastAsia="Times New Roman" w:hAnsi="Arial Narro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5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4C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06FD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6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61"/>
    <w:rPr>
      <w:rFonts w:ascii="Arial Narrow" w:eastAsia="Times New Roman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10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61"/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Tomasz</dc:creator>
  <cp:keywords/>
  <dc:description/>
  <cp:lastModifiedBy>Szok Agnieszka (01000629)</cp:lastModifiedBy>
  <cp:revision>4</cp:revision>
  <dcterms:created xsi:type="dcterms:W3CDTF">2020-12-22T13:03:00Z</dcterms:created>
  <dcterms:modified xsi:type="dcterms:W3CDTF">2020-12-22T13:05:00Z</dcterms:modified>
</cp:coreProperties>
</file>