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F085" w14:textId="77777777" w:rsidR="006D34F4" w:rsidRDefault="006D34F4" w:rsidP="006D34F4">
      <w:pPr>
        <w:jc w:val="center"/>
        <w:rPr>
          <w:b/>
        </w:rPr>
      </w:pPr>
      <w:bookmarkStart w:id="0" w:name="_GoBack"/>
      <w:bookmarkEnd w:id="0"/>
    </w:p>
    <w:p w14:paraId="653C0185" w14:textId="267E9ADE" w:rsidR="00B10D93" w:rsidRDefault="003020D3" w:rsidP="006D3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marca</w:t>
      </w:r>
      <w:r w:rsidR="006A707A">
        <w:rPr>
          <w:b/>
          <w:sz w:val="24"/>
          <w:szCs w:val="24"/>
        </w:rPr>
        <w:t xml:space="preserve"> </w:t>
      </w:r>
      <w:r w:rsidR="006D34F4" w:rsidRPr="006A707A">
        <w:rPr>
          <w:b/>
          <w:sz w:val="24"/>
          <w:szCs w:val="24"/>
        </w:rPr>
        <w:t>- Światowy Dzień Otyłości</w:t>
      </w:r>
    </w:p>
    <w:p w14:paraId="6835297C" w14:textId="49E7BEC4" w:rsidR="00614C01" w:rsidRDefault="00614C01" w:rsidP="00167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1,5 godziny </w:t>
      </w:r>
      <w:r w:rsidR="00D21836">
        <w:rPr>
          <w:b/>
          <w:sz w:val="24"/>
          <w:szCs w:val="24"/>
        </w:rPr>
        <w:t xml:space="preserve">więcej dziennie przed ekranem, </w:t>
      </w:r>
      <w:r>
        <w:rPr>
          <w:b/>
          <w:sz w:val="24"/>
          <w:szCs w:val="24"/>
        </w:rPr>
        <w:t>1,8 kg więcej na wadze –</w:t>
      </w:r>
    </w:p>
    <w:p w14:paraId="5197A08C" w14:textId="7CCE1C26" w:rsidR="00CB48B0" w:rsidRPr="006A707A" w:rsidRDefault="00614C01" w:rsidP="00167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bilans roku dwóch pandemii w Polsce</w:t>
      </w:r>
    </w:p>
    <w:p w14:paraId="0EE5B7A5" w14:textId="4DDCC061" w:rsidR="00C21AFE" w:rsidRPr="00FF5450" w:rsidRDefault="003D2D32" w:rsidP="00C21AFE">
      <w:pPr>
        <w:jc w:val="both"/>
        <w:rPr>
          <w:b/>
        </w:rPr>
      </w:pPr>
      <w:r>
        <w:rPr>
          <w:b/>
        </w:rPr>
        <w:t xml:space="preserve">Około 53% kobiet i 68% </w:t>
      </w:r>
      <w:r w:rsidRPr="00B10D93">
        <w:rPr>
          <w:b/>
        </w:rPr>
        <w:t xml:space="preserve">mężczyzn ma </w:t>
      </w:r>
      <w:r>
        <w:rPr>
          <w:b/>
        </w:rPr>
        <w:t>nadmierną masę ciała</w:t>
      </w:r>
      <w:r w:rsidR="00836FDD">
        <w:rPr>
          <w:b/>
        </w:rPr>
        <w:t>,</w:t>
      </w:r>
      <w:r>
        <w:rPr>
          <w:b/>
        </w:rPr>
        <w:t xml:space="preserve"> a 25%</w:t>
      </w:r>
      <w:r w:rsidR="003A128A">
        <w:rPr>
          <w:b/>
        </w:rPr>
        <w:t xml:space="preserve"> Polaków</w:t>
      </w:r>
      <w:r>
        <w:rPr>
          <w:b/>
        </w:rPr>
        <w:t xml:space="preserve"> choruje na otyłość</w:t>
      </w:r>
      <w:r w:rsidR="003A128A">
        <w:rPr>
          <w:b/>
        </w:rPr>
        <w:t>. O </w:t>
      </w:r>
      <w:r w:rsidR="00B10D93" w:rsidRPr="00B10D93">
        <w:rPr>
          <w:b/>
        </w:rPr>
        <w:t>pandemii otyłości mówiło się od dawna, ale pandem</w:t>
      </w:r>
      <w:r w:rsidR="00B10D93">
        <w:rPr>
          <w:b/>
        </w:rPr>
        <w:t>ia koronawirusa, z którą mierzymy się od roku</w:t>
      </w:r>
      <w:r w:rsidR="00FF5450">
        <w:rPr>
          <w:b/>
        </w:rPr>
        <w:t>,</w:t>
      </w:r>
      <w:r w:rsidR="00B10D93">
        <w:rPr>
          <w:b/>
        </w:rPr>
        <w:t xml:space="preserve"> dodatkowo obnażyła z</w:t>
      </w:r>
      <w:r>
        <w:rPr>
          <w:b/>
        </w:rPr>
        <w:t xml:space="preserve">agrożenia związane z otyłością. </w:t>
      </w:r>
      <w:r w:rsidR="0016700E">
        <w:rPr>
          <w:b/>
        </w:rPr>
        <w:t>4 marca jest w tym roku wyjątkowo symboliczną datą, ponieważ dokładnie rok temu zdiagnozowano w naszym kraju pierwszy przypadek</w:t>
      </w:r>
      <w:r w:rsidR="00741CC7">
        <w:rPr>
          <w:b/>
        </w:rPr>
        <w:t xml:space="preserve"> zakażenia </w:t>
      </w:r>
      <w:r w:rsidR="0016700E">
        <w:rPr>
          <w:b/>
        </w:rPr>
        <w:t xml:space="preserve"> </w:t>
      </w:r>
      <w:bookmarkStart w:id="1" w:name="_Hlk65074478"/>
      <w:r w:rsidR="0016700E">
        <w:rPr>
          <w:b/>
        </w:rPr>
        <w:t xml:space="preserve">SARS-CoV-2, </w:t>
      </w:r>
      <w:bookmarkEnd w:id="1"/>
      <w:r w:rsidR="0016700E">
        <w:rPr>
          <w:b/>
        </w:rPr>
        <w:t>a zarazem j</w:t>
      </w:r>
      <w:r w:rsidR="00614C01">
        <w:rPr>
          <w:b/>
        </w:rPr>
        <w:t>est to Światowy Dzień Otyłości –</w:t>
      </w:r>
      <w:r>
        <w:rPr>
          <w:b/>
        </w:rPr>
        <w:t xml:space="preserve"> </w:t>
      </w:r>
      <w:r w:rsidR="00614C01">
        <w:rPr>
          <w:b/>
        </w:rPr>
        <w:t xml:space="preserve">okazja do podsumowania roku dwóch pandemii. </w:t>
      </w:r>
      <w:r w:rsidR="0016700E">
        <w:rPr>
          <w:b/>
        </w:rPr>
        <w:t xml:space="preserve">W </w:t>
      </w:r>
      <w:r w:rsidR="009C0CC3">
        <w:rPr>
          <w:b/>
        </w:rPr>
        <w:t xml:space="preserve">minionym </w:t>
      </w:r>
      <w:r w:rsidR="0016700E">
        <w:rPr>
          <w:b/>
        </w:rPr>
        <w:t>roku średnio o 1,</w:t>
      </w:r>
      <w:r w:rsidR="0016700E" w:rsidRPr="001F45C7">
        <w:rPr>
          <w:b/>
        </w:rPr>
        <w:t xml:space="preserve">5 godziny </w:t>
      </w:r>
      <w:r w:rsidR="0016700E">
        <w:rPr>
          <w:b/>
        </w:rPr>
        <w:t>więcej</w:t>
      </w:r>
      <w:r w:rsidR="00614C01">
        <w:rPr>
          <w:b/>
        </w:rPr>
        <w:t xml:space="preserve"> dziennie</w:t>
      </w:r>
      <w:r w:rsidR="0016700E">
        <w:rPr>
          <w:b/>
        </w:rPr>
        <w:t xml:space="preserve"> </w:t>
      </w:r>
      <w:r w:rsidRPr="001F45C7">
        <w:rPr>
          <w:b/>
        </w:rPr>
        <w:t>spędz</w:t>
      </w:r>
      <w:r>
        <w:rPr>
          <w:b/>
        </w:rPr>
        <w:t xml:space="preserve">iliśmy </w:t>
      </w:r>
      <w:r w:rsidR="0016700E" w:rsidRPr="001F45C7">
        <w:rPr>
          <w:b/>
        </w:rPr>
        <w:t>przed ekranem komputera lub TV</w:t>
      </w:r>
      <w:r w:rsidR="0016700E">
        <w:rPr>
          <w:b/>
        </w:rPr>
        <w:t xml:space="preserve">, a </w:t>
      </w:r>
      <w:r w:rsidR="0016700E" w:rsidRPr="001F45C7">
        <w:rPr>
          <w:b/>
        </w:rPr>
        <w:t xml:space="preserve">średni przyrost masy ciała w całej populacji wyniósł </w:t>
      </w:r>
      <w:r w:rsidR="0016700E">
        <w:rPr>
          <w:b/>
        </w:rPr>
        <w:t>niemal 2 kg</w:t>
      </w:r>
      <w:r w:rsidR="0016700E">
        <w:rPr>
          <w:rStyle w:val="FootnoteReference"/>
          <w:b/>
        </w:rPr>
        <w:footnoteReference w:id="1"/>
      </w:r>
      <w:r w:rsidR="0016700E">
        <w:rPr>
          <w:b/>
        </w:rPr>
        <w:t xml:space="preserve">. </w:t>
      </w:r>
    </w:p>
    <w:p w14:paraId="507EFC98" w14:textId="5EBF139E" w:rsidR="00244BA8" w:rsidRDefault="003D2D32" w:rsidP="003D2D32">
      <w:pPr>
        <w:pStyle w:val="BodyText"/>
        <w:jc w:val="center"/>
        <w:rPr>
          <w:b/>
        </w:rPr>
      </w:pPr>
      <w:r>
        <w:rPr>
          <w:b/>
        </w:rPr>
        <w:t>Otyłość – problem dużej wagi</w:t>
      </w:r>
    </w:p>
    <w:p w14:paraId="388B1832" w14:textId="662AC0EB" w:rsidR="00244BA8" w:rsidRDefault="00244BA8" w:rsidP="00244BA8">
      <w:pPr>
        <w:pStyle w:val="BodyText"/>
        <w:jc w:val="both"/>
      </w:pPr>
      <w:r w:rsidRPr="00AF4858">
        <w:t xml:space="preserve">Otyłość jest chorobą </w:t>
      </w:r>
      <w:r w:rsidR="00E7028A" w:rsidRPr="00AF4858">
        <w:t xml:space="preserve">przewlekłą </w:t>
      </w:r>
      <w:r w:rsidRPr="00AF4858">
        <w:t xml:space="preserve">o złożonej etiologii, </w:t>
      </w:r>
      <w:r w:rsidR="00E9349B" w:rsidRPr="00AF4858">
        <w:t>bez tendencji do samo ustępowania, z tendencją do nawrotów</w:t>
      </w:r>
      <w:r w:rsidR="00E9349B">
        <w:t xml:space="preserve">, </w:t>
      </w:r>
      <w:r>
        <w:t xml:space="preserve">a współczesna medycyna nie zna w pełni przyczyn jej rozwoju. </w:t>
      </w:r>
      <w:r w:rsidR="003D2D32">
        <w:t>Niewątpliwie na ryzyko rozwoju choroby otyłościowej istotnie wpływa nasz styl życia, a</w:t>
      </w:r>
      <w:r>
        <w:t xml:space="preserve">le wśród przyczyn otyłości należy przede </w:t>
      </w:r>
      <w:r w:rsidRPr="00AF4858">
        <w:t xml:space="preserve">wszystkim </w:t>
      </w:r>
      <w:r w:rsidR="00E9349B" w:rsidRPr="00AF4858">
        <w:t>zwrócić uwagę na</w:t>
      </w:r>
      <w:r w:rsidRPr="00AF4858">
        <w:t xml:space="preserve"> te czynniki</w:t>
      </w:r>
      <w:r>
        <w:t>, które predysp</w:t>
      </w:r>
      <w:r w:rsidR="00614C01">
        <w:t>onują do nadmiernej masy ciała</w:t>
      </w:r>
      <w:r>
        <w:t xml:space="preserve">, </w:t>
      </w:r>
      <w:r w:rsidR="00AF4858">
        <w:t>a </w:t>
      </w:r>
      <w:r w:rsidR="00614C01">
        <w:t>zarazem</w:t>
      </w:r>
      <w:r>
        <w:t xml:space="preserve"> w żaden sposób nie są zależne od pacjenta. Należą do </w:t>
      </w:r>
      <w:r w:rsidRPr="00AF4858">
        <w:t xml:space="preserve">nich </w:t>
      </w:r>
      <w:r w:rsidR="00E9349B" w:rsidRPr="00AF4858">
        <w:t xml:space="preserve">m.in. </w:t>
      </w:r>
      <w:r>
        <w:t xml:space="preserve">czynniki </w:t>
      </w:r>
      <w:r w:rsidR="00AF4858">
        <w:t>genetyczne i </w:t>
      </w:r>
      <w:r>
        <w:t>epige</w:t>
      </w:r>
      <w:r w:rsidR="00E9349B">
        <w:t>netyczne</w:t>
      </w:r>
      <w:r>
        <w:t>, płodowe, hormonalne, a także psychologiczne.</w:t>
      </w:r>
    </w:p>
    <w:p w14:paraId="682260F4" w14:textId="5A8E46E9" w:rsidR="00C13557" w:rsidRDefault="003D2D32" w:rsidP="00D36720">
      <w:pPr>
        <w:jc w:val="both"/>
      </w:pPr>
      <w:r>
        <w:lastRenderedPageBreak/>
        <w:t xml:space="preserve">Choroba otyłościowa </w:t>
      </w:r>
      <w:r w:rsidR="00C13557">
        <w:t>często uważana jest za powikłanie innych chorób, podczas gdy tak naprawdę</w:t>
      </w:r>
      <w:r w:rsidR="009C0CC3">
        <w:t xml:space="preserve"> to ona</w:t>
      </w:r>
      <w:r w:rsidR="00C13557">
        <w:t xml:space="preserve"> jest przyczyną ponad 200 powikłań i chorób. Wśród nich m.in. nadciśnienia tętn</w:t>
      </w:r>
      <w:r w:rsidR="00E9349B">
        <w:t>iczego, cukrzycy</w:t>
      </w:r>
      <w:r w:rsidR="00D21836">
        <w:t>,</w:t>
      </w:r>
      <w:r w:rsidR="00E9349B">
        <w:t xml:space="preserve"> </w:t>
      </w:r>
      <w:r w:rsidR="00E7028A">
        <w:t>miażdżycy</w:t>
      </w:r>
      <w:r w:rsidR="00E9349B">
        <w:t xml:space="preserve"> </w:t>
      </w:r>
      <w:r w:rsidR="00E9349B" w:rsidRPr="00AF4858">
        <w:t>czy chorób nowotworowych</w:t>
      </w:r>
      <w:r w:rsidR="00E7028A" w:rsidRPr="00AF4858">
        <w:t xml:space="preserve">. </w:t>
      </w:r>
    </w:p>
    <w:p w14:paraId="44B9A9D2" w14:textId="374C8DE8" w:rsidR="00203B42" w:rsidRDefault="00D36720" w:rsidP="00C21AFE">
      <w:pPr>
        <w:jc w:val="both"/>
        <w:rPr>
          <w:b/>
        </w:rPr>
      </w:pPr>
      <w:r w:rsidRPr="00A8409C">
        <w:rPr>
          <w:i/>
        </w:rPr>
        <w:t>N</w:t>
      </w:r>
      <w:r w:rsidR="006D34F4">
        <w:rPr>
          <w:i/>
        </w:rPr>
        <w:t>ajwiększym wyzwaniem w rozumieniu i leczeniu otyłości jest w moim mniemaniu fakt, że n</w:t>
      </w:r>
      <w:r w:rsidRPr="00A8409C">
        <w:rPr>
          <w:i/>
        </w:rPr>
        <w:t xml:space="preserve">iestety nadal </w:t>
      </w:r>
      <w:r>
        <w:rPr>
          <w:i/>
        </w:rPr>
        <w:t xml:space="preserve">duża </w:t>
      </w:r>
      <w:r w:rsidRPr="00A8409C">
        <w:rPr>
          <w:i/>
        </w:rPr>
        <w:t xml:space="preserve">część </w:t>
      </w:r>
      <w:r>
        <w:rPr>
          <w:i/>
        </w:rPr>
        <w:t xml:space="preserve">Polaków </w:t>
      </w:r>
      <w:r w:rsidRPr="00A8409C">
        <w:rPr>
          <w:i/>
        </w:rPr>
        <w:t xml:space="preserve">nie postrzega otyłości jako choroby przewlekłej, </w:t>
      </w:r>
      <w:r w:rsidR="00614C01">
        <w:rPr>
          <w:i/>
        </w:rPr>
        <w:t>co potwierdzają najnowsze wyniki badania opinii zrealizowane</w:t>
      </w:r>
      <w:r w:rsidR="00117CED">
        <w:rPr>
          <w:i/>
        </w:rPr>
        <w:t>go</w:t>
      </w:r>
      <w:r w:rsidR="003D2D32">
        <w:rPr>
          <w:i/>
        </w:rPr>
        <w:t xml:space="preserve"> z końcem lutego br. Wynika z nich, </w:t>
      </w:r>
      <w:r w:rsidR="00614C01">
        <w:rPr>
          <w:i/>
        </w:rPr>
        <w:t>że tylko 13% Polaków definiuje otyłość jako chorobę. Dużo pracy przed nami, by edukować, że otyłość nie jest</w:t>
      </w:r>
      <w:r w:rsidRPr="00A8409C">
        <w:rPr>
          <w:i/>
        </w:rPr>
        <w:t xml:space="preserve"> w</w:t>
      </w:r>
      <w:r w:rsidR="00614C01">
        <w:rPr>
          <w:i/>
        </w:rPr>
        <w:t>ybo</w:t>
      </w:r>
      <w:r>
        <w:rPr>
          <w:i/>
        </w:rPr>
        <w:t>r</w:t>
      </w:r>
      <w:r w:rsidR="00614C01">
        <w:rPr>
          <w:i/>
        </w:rPr>
        <w:t>em</w:t>
      </w:r>
      <w:r w:rsidR="008862EE">
        <w:rPr>
          <w:i/>
        </w:rPr>
        <w:t xml:space="preserve"> pacjenta</w:t>
      </w:r>
      <w:r>
        <w:rPr>
          <w:i/>
        </w:rPr>
        <w:t>, efekt</w:t>
      </w:r>
      <w:r w:rsidR="00614C01">
        <w:rPr>
          <w:i/>
        </w:rPr>
        <w:t>em</w:t>
      </w:r>
      <w:r>
        <w:rPr>
          <w:i/>
        </w:rPr>
        <w:t xml:space="preserve"> słabości charakteru czy lenistwa.</w:t>
      </w:r>
      <w:r w:rsidRPr="00A8409C">
        <w:rPr>
          <w:i/>
        </w:rPr>
        <w:t xml:space="preserve"> Niemal codziennie w swojej pracy muszę wyjaśniać pacjentom, że otyłości nie należy odchudzać – otyłość należy leczyć, ponieważ realnie zagraża zdrowiu.</w:t>
      </w:r>
      <w:r>
        <w:rPr>
          <w:i/>
        </w:rPr>
        <w:t xml:space="preserve"> </w:t>
      </w:r>
      <w:r w:rsidR="006D34F4">
        <w:rPr>
          <w:i/>
        </w:rPr>
        <w:t xml:space="preserve">Jak podają amerykańskie badania pacjenci z otyłością potrafią latami mierzyć się z chorobą zanim ktoś ją u nich zdiagnozuje </w:t>
      </w:r>
      <w:r w:rsidR="00E7028A">
        <w:t xml:space="preserve">- </w:t>
      </w:r>
      <w:r w:rsidR="00E7028A" w:rsidRPr="006D34F4">
        <w:rPr>
          <w:b/>
        </w:rPr>
        <w:t>komentuje prof. Paweł Bogdański, Kierownik Katedry Leczenia Otyłości, Zaburzeń Metabolicznych i Dietetyki Klinicznej Uniwersytetu Medycznego w Poznaniu</w:t>
      </w:r>
      <w:r w:rsidR="00203B42">
        <w:rPr>
          <w:b/>
        </w:rPr>
        <w:t>.</w:t>
      </w:r>
    </w:p>
    <w:p w14:paraId="3581277F" w14:textId="3EF56A0B" w:rsidR="00203B42" w:rsidRDefault="00203B42" w:rsidP="00D06674">
      <w:pPr>
        <w:jc w:val="center"/>
        <w:rPr>
          <w:b/>
        </w:rPr>
      </w:pPr>
      <w:r>
        <w:rPr>
          <w:b/>
        </w:rPr>
        <w:t>COVID-19 a otyłość</w:t>
      </w:r>
    </w:p>
    <w:p w14:paraId="59892079" w14:textId="54FDC712" w:rsidR="00C21AFE" w:rsidRPr="00203B42" w:rsidRDefault="00203B42" w:rsidP="00203B42">
      <w:pPr>
        <w:jc w:val="both"/>
        <w:rPr>
          <w:b/>
        </w:rPr>
      </w:pPr>
      <w:r w:rsidRPr="00D06674">
        <w:t xml:space="preserve">Jednym z czynników predysponujących do cięższego przebiegu zakażenia COVID-19 jest </w:t>
      </w:r>
      <w:r w:rsidR="00484E59">
        <w:t>choroba otyłościowa</w:t>
      </w:r>
      <w:r w:rsidR="00D06674">
        <w:t>.</w:t>
      </w:r>
      <w:r w:rsidR="004B41F5">
        <w:t xml:space="preserve"> To wła</w:t>
      </w:r>
      <w:r w:rsidR="006A707A">
        <w:t>śnie ona bardzo często pojawia</w:t>
      </w:r>
      <w:r w:rsidR="004B41F5">
        <w:t xml:space="preserve"> się jako choroba współistniejąc</w:t>
      </w:r>
      <w:r w:rsidR="006A707A">
        <w:t>a pogarszająca stan pacjentów z </w:t>
      </w:r>
      <w:r w:rsidR="00741CC7">
        <w:t xml:space="preserve">infekcją </w:t>
      </w:r>
      <w:r w:rsidR="003D2D32">
        <w:rPr>
          <w:b/>
        </w:rPr>
        <w:t>SARS-CoV-2</w:t>
      </w:r>
      <w:r w:rsidR="004B41F5">
        <w:t>.</w:t>
      </w:r>
      <w:r w:rsidR="00D06674">
        <w:rPr>
          <w:b/>
        </w:rPr>
        <w:t xml:space="preserve"> </w:t>
      </w:r>
      <w:r w:rsidR="00C21AFE">
        <w:t xml:space="preserve">Jak wskazują prace naukowe, ryzyko śmierci z powodu zakażenia koronawirusem u osoby </w:t>
      </w:r>
      <w:r w:rsidR="00484E59">
        <w:t>chorującej na otyłość</w:t>
      </w:r>
      <w:r w:rsidR="00C21AFE">
        <w:t xml:space="preserve"> </w:t>
      </w:r>
      <w:r w:rsidR="00C21AFE" w:rsidRPr="00AF4858">
        <w:t xml:space="preserve">jest </w:t>
      </w:r>
      <w:r w:rsidR="00315DD5" w:rsidRPr="00AF4858">
        <w:t>większe</w:t>
      </w:r>
      <w:r w:rsidR="00C21AFE" w:rsidRPr="00AF4858">
        <w:t xml:space="preserve"> niż </w:t>
      </w:r>
      <w:r w:rsidR="00C21AFE">
        <w:t>u osoby z </w:t>
      </w:r>
      <w:r w:rsidR="00234288">
        <w:t xml:space="preserve">prawidłową </w:t>
      </w:r>
      <w:r w:rsidR="00C21AFE">
        <w:t>masą ciała</w:t>
      </w:r>
      <w:r w:rsidR="00C21AFE">
        <w:rPr>
          <w:rStyle w:val="FootnoteReference"/>
        </w:rPr>
        <w:footnoteReference w:id="2"/>
      </w:r>
      <w:r w:rsidR="00C21AFE">
        <w:t xml:space="preserve">. </w:t>
      </w:r>
      <w:r w:rsidR="006A707A">
        <w:t xml:space="preserve"> Dlaczego tak się dzieje?</w:t>
      </w:r>
    </w:p>
    <w:p w14:paraId="0304687B" w14:textId="4643E658" w:rsidR="006A707A" w:rsidRPr="0016700E" w:rsidRDefault="00315DD5" w:rsidP="00C21AFE">
      <w:pPr>
        <w:jc w:val="both"/>
        <w:rPr>
          <w:b/>
        </w:rPr>
      </w:pPr>
      <w:r>
        <w:rPr>
          <w:i/>
        </w:rPr>
        <w:t>Po pierwsze c</w:t>
      </w:r>
      <w:r w:rsidR="006A707A">
        <w:rPr>
          <w:i/>
        </w:rPr>
        <w:t xml:space="preserve">horoba </w:t>
      </w:r>
      <w:r w:rsidR="006A707A" w:rsidRPr="00AF4858">
        <w:rPr>
          <w:i/>
        </w:rPr>
        <w:t xml:space="preserve">otyłościowa </w:t>
      </w:r>
      <w:r w:rsidRPr="00AF4858">
        <w:rPr>
          <w:i/>
        </w:rPr>
        <w:t xml:space="preserve">sprzyja </w:t>
      </w:r>
      <w:r w:rsidR="003D2D32" w:rsidRPr="00AF4858">
        <w:rPr>
          <w:i/>
        </w:rPr>
        <w:t>zakaż</w:t>
      </w:r>
      <w:r w:rsidRPr="00AF4858">
        <w:rPr>
          <w:i/>
        </w:rPr>
        <w:t xml:space="preserve">eniu </w:t>
      </w:r>
      <w:r w:rsidR="003D2D32" w:rsidRPr="00AF4858">
        <w:rPr>
          <w:i/>
        </w:rPr>
        <w:t>COVID-19.  Po drugie,</w:t>
      </w:r>
      <w:r w:rsidR="00DA2EF7" w:rsidRPr="00AF4858">
        <w:rPr>
          <w:i/>
        </w:rPr>
        <w:t xml:space="preserve"> </w:t>
      </w:r>
      <w:r w:rsidRPr="00AF4858">
        <w:rPr>
          <w:i/>
        </w:rPr>
        <w:t xml:space="preserve">zakażony pacjent z </w:t>
      </w:r>
      <w:r w:rsidR="00117CED" w:rsidRPr="00AF4858">
        <w:rPr>
          <w:i/>
        </w:rPr>
        <w:t xml:space="preserve">chorobą </w:t>
      </w:r>
      <w:r w:rsidR="00DA2EF7" w:rsidRPr="00AF4858">
        <w:rPr>
          <w:i/>
        </w:rPr>
        <w:t>otyłości</w:t>
      </w:r>
      <w:r w:rsidR="003D2D32" w:rsidRPr="00AF4858">
        <w:rPr>
          <w:i/>
        </w:rPr>
        <w:t>ową</w:t>
      </w:r>
      <w:r w:rsidR="00AF4858">
        <w:rPr>
          <w:i/>
        </w:rPr>
        <w:t xml:space="preserve"> </w:t>
      </w:r>
      <w:r>
        <w:rPr>
          <w:i/>
        </w:rPr>
        <w:t>ma</w:t>
      </w:r>
      <w:r w:rsidR="00DA2EF7">
        <w:rPr>
          <w:i/>
        </w:rPr>
        <w:t xml:space="preserve"> dużo większe ryzyko </w:t>
      </w:r>
      <w:r w:rsidR="00190570" w:rsidRPr="00AF4858">
        <w:rPr>
          <w:i/>
        </w:rPr>
        <w:t xml:space="preserve">konieczności </w:t>
      </w:r>
      <w:r w:rsidR="00DA2EF7" w:rsidRPr="00AF4858">
        <w:rPr>
          <w:i/>
        </w:rPr>
        <w:t>hospitalizacji, ale i</w:t>
      </w:r>
      <w:r w:rsidRPr="00AF4858">
        <w:rPr>
          <w:i/>
        </w:rPr>
        <w:t xml:space="preserve"> pobytu</w:t>
      </w:r>
      <w:r w:rsidR="00DA2EF7" w:rsidRPr="00AF4858">
        <w:rPr>
          <w:i/>
        </w:rPr>
        <w:t xml:space="preserve"> na </w:t>
      </w:r>
      <w:r w:rsidR="00190570" w:rsidRPr="00AF4858">
        <w:rPr>
          <w:i/>
        </w:rPr>
        <w:t>Oddziale Intensywnej Opieki Medycznej</w:t>
      </w:r>
      <w:r w:rsidR="00DA2EF7" w:rsidRPr="00AF4858">
        <w:rPr>
          <w:i/>
        </w:rPr>
        <w:t>.</w:t>
      </w:r>
      <w:r w:rsidR="00DA2EF7">
        <w:rPr>
          <w:i/>
        </w:rPr>
        <w:t xml:space="preserve"> </w:t>
      </w:r>
      <w:r w:rsidR="00B12A37">
        <w:rPr>
          <w:i/>
        </w:rPr>
        <w:t>Związane</w:t>
      </w:r>
      <w:r w:rsidR="006A707A">
        <w:rPr>
          <w:i/>
        </w:rPr>
        <w:t xml:space="preserve"> jest </w:t>
      </w:r>
      <w:r w:rsidR="00B12A37">
        <w:rPr>
          <w:i/>
        </w:rPr>
        <w:t xml:space="preserve">to </w:t>
      </w:r>
      <w:r w:rsidR="00AA3F2C">
        <w:rPr>
          <w:i/>
        </w:rPr>
        <w:t>m.</w:t>
      </w:r>
      <w:r w:rsidRPr="00AF4858">
        <w:rPr>
          <w:i/>
        </w:rPr>
        <w:t xml:space="preserve">in. </w:t>
      </w:r>
      <w:r w:rsidR="00C21AFE" w:rsidRPr="003A399D">
        <w:rPr>
          <w:i/>
        </w:rPr>
        <w:t>ze zwięk</w:t>
      </w:r>
      <w:r w:rsidR="00AF4858">
        <w:rPr>
          <w:i/>
        </w:rPr>
        <w:t>szonym</w:t>
      </w:r>
      <w:r w:rsidR="00190570" w:rsidRPr="00190570">
        <w:rPr>
          <w:i/>
          <w:color w:val="FF0000"/>
        </w:rPr>
        <w:t xml:space="preserve"> </w:t>
      </w:r>
      <w:r w:rsidR="00C21AFE">
        <w:rPr>
          <w:i/>
        </w:rPr>
        <w:t xml:space="preserve">oporem dróg oddechowych i małą objętością płuc, </w:t>
      </w:r>
      <w:r w:rsidR="00C21AFE" w:rsidRPr="003A399D">
        <w:rPr>
          <w:i/>
        </w:rPr>
        <w:t>zmniejszoną siłą mięśni</w:t>
      </w:r>
      <w:r w:rsidR="00190570">
        <w:rPr>
          <w:i/>
        </w:rPr>
        <w:t xml:space="preserve">, </w:t>
      </w:r>
      <w:r w:rsidR="00190570" w:rsidRPr="00AF4858">
        <w:rPr>
          <w:i/>
        </w:rPr>
        <w:t>a także towarzyszącym</w:t>
      </w:r>
      <w:r w:rsidRPr="00AF4858">
        <w:rPr>
          <w:i/>
        </w:rPr>
        <w:t xml:space="preserve">i otyłości zaburzeniami </w:t>
      </w:r>
      <w:r w:rsidR="00190570" w:rsidRPr="00AF4858">
        <w:rPr>
          <w:i/>
        </w:rPr>
        <w:t xml:space="preserve">układu immunologicznego, nasilonym procesem zapalnym, zwiększoną </w:t>
      </w:r>
      <w:r w:rsidR="00190570" w:rsidRPr="00AF4858">
        <w:rPr>
          <w:i/>
        </w:rPr>
        <w:lastRenderedPageBreak/>
        <w:t>produkcją w tkance tłuszczowej licznych adipocytokin</w:t>
      </w:r>
      <w:r w:rsidR="00C21AFE" w:rsidRPr="00AF4858">
        <w:rPr>
          <w:i/>
        </w:rPr>
        <w:t xml:space="preserve">. </w:t>
      </w:r>
      <w:r w:rsidR="00C21AFE">
        <w:rPr>
          <w:i/>
        </w:rPr>
        <w:t>Często</w:t>
      </w:r>
      <w:r w:rsidR="00C21AFE" w:rsidRPr="003A399D">
        <w:rPr>
          <w:i/>
        </w:rPr>
        <w:t xml:space="preserve"> </w:t>
      </w:r>
      <w:r w:rsidR="00117CED">
        <w:rPr>
          <w:i/>
        </w:rPr>
        <w:t>otyłości</w:t>
      </w:r>
      <w:r w:rsidR="00C21AFE" w:rsidRPr="003A399D">
        <w:rPr>
          <w:i/>
        </w:rPr>
        <w:t xml:space="preserve"> </w:t>
      </w:r>
      <w:r w:rsidR="003D2D32">
        <w:rPr>
          <w:i/>
        </w:rPr>
        <w:t>towarzyszą</w:t>
      </w:r>
      <w:r w:rsidR="00C21AFE" w:rsidRPr="003A399D">
        <w:rPr>
          <w:i/>
        </w:rPr>
        <w:t xml:space="preserve"> również choroby ws</w:t>
      </w:r>
      <w:r w:rsidR="00C21AFE">
        <w:rPr>
          <w:i/>
        </w:rPr>
        <w:t>półistniejące</w:t>
      </w:r>
      <w:r w:rsidR="006A707A">
        <w:rPr>
          <w:i/>
        </w:rPr>
        <w:t>, takie jak cukrzyca, nadciśnienie tętnicze i wiele innych</w:t>
      </w:r>
      <w:r w:rsidR="00C21AFE" w:rsidRPr="003A399D">
        <w:rPr>
          <w:i/>
        </w:rPr>
        <w:t>.</w:t>
      </w:r>
      <w:r w:rsidR="006A707A">
        <w:rPr>
          <w:i/>
        </w:rPr>
        <w:t xml:space="preserve"> Taka sytuacja </w:t>
      </w:r>
      <w:r w:rsidR="00B12A37">
        <w:rPr>
          <w:i/>
        </w:rPr>
        <w:t>generuje do</w:t>
      </w:r>
      <w:r w:rsidR="003D2D32">
        <w:rPr>
          <w:i/>
        </w:rPr>
        <w:t>datkowe obciążenia dla pacjenta</w:t>
      </w:r>
      <w:r w:rsidR="00B12A37">
        <w:rPr>
          <w:i/>
        </w:rPr>
        <w:t xml:space="preserve"> zdecydowanie pogarsza</w:t>
      </w:r>
      <w:r w:rsidR="003D2D32">
        <w:rPr>
          <w:i/>
        </w:rPr>
        <w:t>jąc</w:t>
      </w:r>
      <w:r w:rsidR="00B12A37">
        <w:rPr>
          <w:i/>
        </w:rPr>
        <w:t xml:space="preserve"> jego rokowania </w:t>
      </w:r>
      <w:r w:rsidR="006A707A">
        <w:rPr>
          <w:i/>
        </w:rPr>
        <w:t xml:space="preserve">– </w:t>
      </w:r>
      <w:r w:rsidR="006A707A" w:rsidRPr="006A707A">
        <w:rPr>
          <w:b/>
        </w:rPr>
        <w:t>wyjaśnia</w:t>
      </w:r>
      <w:r w:rsidR="006A707A" w:rsidRPr="006D34F4">
        <w:rPr>
          <w:b/>
        </w:rPr>
        <w:t xml:space="preserve"> prof. Paweł Bogdański</w:t>
      </w:r>
      <w:r w:rsidR="006A707A">
        <w:rPr>
          <w:b/>
        </w:rPr>
        <w:t>.</w:t>
      </w:r>
    </w:p>
    <w:p w14:paraId="211E4B1F" w14:textId="00D1B247" w:rsidR="00FC505B" w:rsidRPr="00FC505B" w:rsidRDefault="00FC505B" w:rsidP="00FC505B">
      <w:pPr>
        <w:jc w:val="center"/>
        <w:rPr>
          <w:b/>
        </w:rPr>
      </w:pPr>
      <w:r w:rsidRPr="00FC505B">
        <w:rPr>
          <w:b/>
        </w:rPr>
        <w:t xml:space="preserve">Obostrzenia wynikające z jednej pandemii </w:t>
      </w:r>
      <w:r w:rsidR="008862EE">
        <w:rPr>
          <w:b/>
        </w:rPr>
        <w:t>„</w:t>
      </w:r>
      <w:r w:rsidRPr="00FC505B">
        <w:rPr>
          <w:b/>
        </w:rPr>
        <w:t>podkręcają</w:t>
      </w:r>
      <w:r w:rsidR="008862EE">
        <w:rPr>
          <w:b/>
        </w:rPr>
        <w:t>”</w:t>
      </w:r>
      <w:r w:rsidRPr="00FC505B">
        <w:rPr>
          <w:b/>
        </w:rPr>
        <w:t xml:space="preserve"> drugą</w:t>
      </w:r>
    </w:p>
    <w:p w14:paraId="68677BD7" w14:textId="38D8985C" w:rsidR="00C21AFE" w:rsidRDefault="00072D73" w:rsidP="00C21AFE">
      <w:pPr>
        <w:jc w:val="both"/>
      </w:pPr>
      <w:r>
        <w:t xml:space="preserve">Narodowa kwarantanna oraz obostrzenia, </w:t>
      </w:r>
      <w:r w:rsidR="009C0CC3">
        <w:t xml:space="preserve">w tym </w:t>
      </w:r>
      <w:r>
        <w:t xml:space="preserve">zdalny tryb pracy i edukacji wpłynęły na </w:t>
      </w:r>
      <w:r w:rsidR="00234288">
        <w:t xml:space="preserve">masę ciała </w:t>
      </w:r>
      <w:r>
        <w:t xml:space="preserve">Polaków. Z badania zrealizowanego w ramach kampanii „Porozmawiajmy szczerze o otyłości” wynika, </w:t>
      </w:r>
      <w:r w:rsidRPr="001F45C7">
        <w:rPr>
          <w:b/>
        </w:rPr>
        <w:t xml:space="preserve">że </w:t>
      </w:r>
      <w:r w:rsidR="001F45C7" w:rsidRPr="001F45C7">
        <w:rPr>
          <w:b/>
        </w:rPr>
        <w:t>średni przyrost masy ciała w całej populacji wyniósł 1,8 kg. Ist</w:t>
      </w:r>
      <w:r w:rsidR="00AF4858">
        <w:rPr>
          <w:b/>
        </w:rPr>
        <w:t>otnie wyższy wynik odnotowano w </w:t>
      </w:r>
      <w:r w:rsidR="001F45C7" w:rsidRPr="001F45C7">
        <w:rPr>
          <w:b/>
        </w:rPr>
        <w:t xml:space="preserve">grupie osób </w:t>
      </w:r>
      <w:r w:rsidR="00234288">
        <w:rPr>
          <w:b/>
        </w:rPr>
        <w:t>już chorujących na otyłość</w:t>
      </w:r>
      <w:r w:rsidR="001F45C7" w:rsidRPr="001F45C7">
        <w:rPr>
          <w:b/>
        </w:rPr>
        <w:t xml:space="preserve"> - 3,2 kg oraz osób z nadwagą - 1,98 kg</w:t>
      </w:r>
      <w:r w:rsidR="00DE2556">
        <w:rPr>
          <w:rStyle w:val="FootnoteReference"/>
          <w:b/>
        </w:rPr>
        <w:footnoteReference w:id="3"/>
      </w:r>
      <w:r w:rsidR="001F45C7">
        <w:t xml:space="preserve">. </w:t>
      </w:r>
    </w:p>
    <w:p w14:paraId="74069088" w14:textId="3ECB0734" w:rsidR="00072D73" w:rsidRDefault="00072D73" w:rsidP="00C21AFE">
      <w:pPr>
        <w:jc w:val="both"/>
      </w:pPr>
      <w:r>
        <w:t xml:space="preserve">Co jeszcze </w:t>
      </w:r>
      <w:r w:rsidR="009C0CC3">
        <w:t xml:space="preserve">się </w:t>
      </w:r>
      <w:r>
        <w:t xml:space="preserve">zmieniło? </w:t>
      </w:r>
      <w:r w:rsidR="0016700E" w:rsidRPr="0016700E">
        <w:t>Średnio o pół</w:t>
      </w:r>
      <w:r w:rsidR="0016700E">
        <w:t xml:space="preserve"> godziny tygodniowo więcej niż przed pandemią COVID-19</w:t>
      </w:r>
      <w:r w:rsidR="0016700E" w:rsidRPr="0016700E">
        <w:t xml:space="preserve"> poświęcamy na aktywność fizyczną w domu. Odbywa się to jednak kosztem aktywności na świeżym powietrzu, na którą </w:t>
      </w:r>
      <w:r w:rsidR="005D51A6">
        <w:t>Polacy przeznaczają średnio o 1,</w:t>
      </w:r>
      <w:r w:rsidR="0016700E" w:rsidRPr="0016700E">
        <w:t>2 go</w:t>
      </w:r>
      <w:r w:rsidR="00DE2556">
        <w:t xml:space="preserve">dziny mniej niż przed pandemią. Ostatecznie więc </w:t>
      </w:r>
      <w:r w:rsidR="0016700E" w:rsidRPr="0016700E">
        <w:t>bilans aktywności fizycznej jest ujemny. Ten niekorzystny wyniki pogłębia dodatkowo fakt,</w:t>
      </w:r>
      <w:r w:rsidR="0016700E" w:rsidRPr="005D51A6">
        <w:t xml:space="preserve"> że</w:t>
      </w:r>
      <w:r w:rsidR="003D2D32">
        <w:rPr>
          <w:b/>
        </w:rPr>
        <w:t xml:space="preserve"> o </w:t>
      </w:r>
      <w:r w:rsidR="00DE2556" w:rsidRPr="008862EE">
        <w:rPr>
          <w:b/>
        </w:rPr>
        <w:t>ponad godzinę więcej Polacy spędzili przed ekranem</w:t>
      </w:r>
      <w:r w:rsidR="008862EE">
        <w:t xml:space="preserve"> telewizora/komputera/telefonu</w:t>
      </w:r>
      <w:r w:rsidR="00DE2556">
        <w:rPr>
          <w:rStyle w:val="FootnoteReference"/>
        </w:rPr>
        <w:footnoteReference w:id="4"/>
      </w:r>
      <w:r w:rsidR="00DE2556">
        <w:t>.</w:t>
      </w:r>
    </w:p>
    <w:p w14:paraId="5438069E" w14:textId="0C7588EE" w:rsidR="0089565C" w:rsidRDefault="0089565C" w:rsidP="0089565C">
      <w:pPr>
        <w:pStyle w:val="CommentText"/>
        <w:jc w:val="center"/>
        <w:rPr>
          <w:b/>
          <w:sz w:val="22"/>
          <w:szCs w:val="22"/>
        </w:rPr>
      </w:pPr>
      <w:r w:rsidRPr="0089565C">
        <w:rPr>
          <w:b/>
          <w:sz w:val="22"/>
          <w:szCs w:val="22"/>
        </w:rPr>
        <w:t>Otyłość? To się leczy!</w:t>
      </w:r>
    </w:p>
    <w:p w14:paraId="1412BD79" w14:textId="7398B368" w:rsidR="008862EE" w:rsidRPr="008862EE" w:rsidRDefault="008862EE" w:rsidP="008862EE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Polacy, zapytani o znajomość opcji terapeutycznych w leczeniu otyłości wskazali w większości </w:t>
      </w:r>
      <w:r w:rsidRPr="008862EE">
        <w:rPr>
          <w:sz w:val="22"/>
          <w:szCs w:val="22"/>
        </w:rPr>
        <w:t xml:space="preserve">aktywność </w:t>
      </w:r>
      <w:r>
        <w:rPr>
          <w:sz w:val="22"/>
          <w:szCs w:val="22"/>
        </w:rPr>
        <w:t>fizyczną oraz dietę (86%</w:t>
      </w:r>
      <w:r w:rsidRPr="008862EE">
        <w:rPr>
          <w:sz w:val="22"/>
          <w:szCs w:val="22"/>
        </w:rPr>
        <w:t xml:space="preserve">). </w:t>
      </w:r>
      <w:r w:rsidR="003D2D32">
        <w:rPr>
          <w:sz w:val="22"/>
          <w:szCs w:val="22"/>
        </w:rPr>
        <w:t>Z kolei n</w:t>
      </w:r>
      <w:r>
        <w:rPr>
          <w:sz w:val="22"/>
          <w:szCs w:val="22"/>
        </w:rPr>
        <w:t>a farmakoterapię, tj. leki bez recepty wskazało 38%, a na leki na receptę 36%</w:t>
      </w:r>
      <w:r w:rsidR="00EC595C">
        <w:rPr>
          <w:rStyle w:val="FootnoteReference"/>
          <w:sz w:val="22"/>
          <w:szCs w:val="22"/>
        </w:rPr>
        <w:footnoteReference w:id="5"/>
      </w:r>
      <w:r w:rsidRPr="008862EE">
        <w:rPr>
          <w:sz w:val="22"/>
          <w:szCs w:val="22"/>
        </w:rPr>
        <w:t>.</w:t>
      </w:r>
    </w:p>
    <w:p w14:paraId="547FF7E6" w14:textId="7FC6B73B" w:rsidR="00C21AFE" w:rsidRDefault="00EC595C" w:rsidP="00C21AFE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 tym, czy</w:t>
      </w:r>
      <w:r w:rsidR="00CB48B0">
        <w:rPr>
          <w:sz w:val="22"/>
          <w:szCs w:val="22"/>
        </w:rPr>
        <w:t xml:space="preserve"> należy wdrożyć leczenie farmakologiczne w chorobie otyłościowej decyduje lekarz. </w:t>
      </w:r>
      <w:r w:rsidR="00C21AFE" w:rsidRPr="00F46E9A">
        <w:rPr>
          <w:sz w:val="22"/>
          <w:szCs w:val="22"/>
        </w:rPr>
        <w:t xml:space="preserve">Obecnie </w:t>
      </w:r>
      <w:r w:rsidR="00C21AFE" w:rsidRPr="00AF4858">
        <w:rPr>
          <w:sz w:val="22"/>
          <w:szCs w:val="22"/>
        </w:rPr>
        <w:t>dostępne są w Polsce trzy leki ułatwiające redukcję masy ciała:</w:t>
      </w:r>
      <w:r w:rsidR="00234288" w:rsidRPr="00AF4858">
        <w:rPr>
          <w:sz w:val="22"/>
          <w:szCs w:val="22"/>
        </w:rPr>
        <w:t xml:space="preserve"> liraglutyd – lek z grupy analogów GLP-1, który powoduje zmniejszenie masy ciała, kontroluje łaknienie, zwiększając uczucie sytości</w:t>
      </w:r>
      <w:r w:rsidR="00690BDF" w:rsidRPr="00AF4858">
        <w:rPr>
          <w:sz w:val="22"/>
          <w:szCs w:val="22"/>
        </w:rPr>
        <w:t xml:space="preserve"> i zmniejszając uczucie głodu</w:t>
      </w:r>
      <w:r w:rsidR="00234288" w:rsidRPr="00AF4858">
        <w:rPr>
          <w:sz w:val="22"/>
          <w:szCs w:val="22"/>
        </w:rPr>
        <w:t xml:space="preserve">, </w:t>
      </w:r>
      <w:r w:rsidR="00690BDF" w:rsidRPr="00AF4858">
        <w:rPr>
          <w:sz w:val="22"/>
          <w:szCs w:val="22"/>
        </w:rPr>
        <w:t xml:space="preserve">co ważne </w:t>
      </w:r>
      <w:r w:rsidR="00234288" w:rsidRPr="00AF4858">
        <w:rPr>
          <w:sz w:val="22"/>
          <w:szCs w:val="22"/>
        </w:rPr>
        <w:t xml:space="preserve">zmniejszając równocześnie ryzyko </w:t>
      </w:r>
      <w:r w:rsidR="00690BDF" w:rsidRPr="00AF4858">
        <w:rPr>
          <w:sz w:val="22"/>
          <w:szCs w:val="22"/>
        </w:rPr>
        <w:t xml:space="preserve">rozwoju </w:t>
      </w:r>
      <w:r w:rsidR="00234288" w:rsidRPr="00AF4858">
        <w:rPr>
          <w:sz w:val="22"/>
          <w:szCs w:val="22"/>
        </w:rPr>
        <w:t>powikłań np. cukrzyc</w:t>
      </w:r>
      <w:r w:rsidR="00741CC7" w:rsidRPr="00AF4858">
        <w:rPr>
          <w:sz w:val="22"/>
          <w:szCs w:val="22"/>
        </w:rPr>
        <w:t>y</w:t>
      </w:r>
      <w:r w:rsidR="00D21836">
        <w:rPr>
          <w:sz w:val="22"/>
          <w:szCs w:val="22"/>
        </w:rPr>
        <w:t>;</w:t>
      </w:r>
      <w:r w:rsidR="00234288" w:rsidRPr="00AF4858">
        <w:rPr>
          <w:sz w:val="22"/>
          <w:szCs w:val="22"/>
        </w:rPr>
        <w:t xml:space="preserve"> połączenie chlorowodorku bupropionu i naltreksonu – zwiększa uczucie sytości i zmniejsza odczucie przyjemności związane</w:t>
      </w:r>
      <w:r w:rsidR="00D21836">
        <w:rPr>
          <w:sz w:val="22"/>
          <w:szCs w:val="22"/>
        </w:rPr>
        <w:t>j</w:t>
      </w:r>
      <w:r w:rsidR="00234288" w:rsidRPr="00AF4858">
        <w:rPr>
          <w:sz w:val="22"/>
          <w:szCs w:val="22"/>
        </w:rPr>
        <w:t xml:space="preserve"> ze spożywaniem pokarmów poprzez działania na ośrodkowy układ nerwowy</w:t>
      </w:r>
      <w:r w:rsidR="00741CC7" w:rsidRPr="00AF4858">
        <w:rPr>
          <w:sz w:val="22"/>
          <w:szCs w:val="22"/>
        </w:rPr>
        <w:t xml:space="preserve"> oraz </w:t>
      </w:r>
      <w:r w:rsidR="00234288" w:rsidRPr="00AF4858">
        <w:rPr>
          <w:sz w:val="22"/>
          <w:szCs w:val="22"/>
        </w:rPr>
        <w:t xml:space="preserve"> </w:t>
      </w:r>
      <w:r w:rsidR="00C21AFE" w:rsidRPr="00AF4858">
        <w:rPr>
          <w:sz w:val="22"/>
          <w:szCs w:val="22"/>
        </w:rPr>
        <w:t>inhibitor lipaz – lek hamujący wchłanianie tłuszczu z przewodu pokarmowego.</w:t>
      </w:r>
    </w:p>
    <w:p w14:paraId="2484ED0B" w14:textId="77777777" w:rsidR="0034396F" w:rsidRPr="0034396F" w:rsidRDefault="0034396F" w:rsidP="0034396F">
      <w:pPr>
        <w:spacing w:line="240" w:lineRule="auto"/>
        <w:rPr>
          <w:u w:val="single"/>
        </w:rPr>
      </w:pPr>
    </w:p>
    <w:sectPr w:rsidR="0034396F" w:rsidRPr="0034396F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CD18" w16cex:dateUtc="2021-02-23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7A9265" w16cid:durableId="23E0EE6F"/>
  <w16cid:commentId w16cid:paraId="37ABAB47" w16cid:durableId="23E0F480"/>
  <w16cid:commentId w16cid:paraId="4F23AED8" w16cid:durableId="23E0F8AC"/>
  <w16cid:commentId w16cid:paraId="5EA9C17E" w16cid:durableId="23E104C5"/>
  <w16cid:commentId w16cid:paraId="7C8771FF" w16cid:durableId="23E0FEE2"/>
  <w16cid:commentId w16cid:paraId="474293AA" w16cid:durableId="23E0D7DD"/>
  <w16cid:commentId w16cid:paraId="03A97D65" w16cid:durableId="23E0D7DE"/>
  <w16cid:commentId w16cid:paraId="443CD4AF" w16cid:durableId="23E0D7DF"/>
  <w16cid:commentId w16cid:paraId="58D450B7" w16cid:durableId="23E10022"/>
  <w16cid:commentId w16cid:paraId="79FBB712" w16cid:durableId="23E104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A3FB" w14:textId="77777777" w:rsidR="00110D39" w:rsidRDefault="00110D39">
      <w:pPr>
        <w:spacing w:after="0" w:line="240" w:lineRule="auto"/>
      </w:pPr>
      <w:r>
        <w:separator/>
      </w:r>
    </w:p>
  </w:endnote>
  <w:endnote w:type="continuationSeparator" w:id="0">
    <w:p w14:paraId="5D33019F" w14:textId="77777777" w:rsidR="00110D39" w:rsidRDefault="0011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8330" w14:textId="77777777" w:rsidR="00110D39" w:rsidRDefault="00110D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BBE4D8" w14:textId="77777777" w:rsidR="00110D39" w:rsidRDefault="00110D39">
      <w:pPr>
        <w:spacing w:after="0" w:line="240" w:lineRule="auto"/>
      </w:pPr>
      <w:r>
        <w:continuationSeparator/>
      </w:r>
    </w:p>
  </w:footnote>
  <w:footnote w:id="1">
    <w:p w14:paraId="43B996B7" w14:textId="77777777" w:rsidR="0016700E" w:rsidRPr="003D2D32" w:rsidRDefault="0016700E" w:rsidP="0016700E">
      <w:pPr>
        <w:pStyle w:val="FootnoteText"/>
        <w:jc w:val="both"/>
        <w:rPr>
          <w:sz w:val="18"/>
          <w:szCs w:val="18"/>
        </w:rPr>
      </w:pPr>
      <w:r w:rsidRPr="003D2D32">
        <w:rPr>
          <w:rStyle w:val="FootnoteReference"/>
          <w:sz w:val="18"/>
          <w:szCs w:val="18"/>
        </w:rPr>
        <w:footnoteRef/>
      </w:r>
      <w:r w:rsidRPr="003D2D32">
        <w:rPr>
          <w:sz w:val="18"/>
          <w:szCs w:val="18"/>
        </w:rPr>
        <w:t xml:space="preserve"> Badanie opinii zrealizowane w ramach kampanii „Porozmawiajmy szczerze o otyłości” w dn. 17-21.02.2021 przez agencję badawczą SW Research na grupie 1070 Polaków.</w:t>
      </w:r>
    </w:p>
  </w:footnote>
  <w:footnote w:id="2">
    <w:p w14:paraId="4C5602BA" w14:textId="7D58C890" w:rsidR="0008666B" w:rsidRPr="00B514C1" w:rsidRDefault="0008666B" w:rsidP="00DE2556">
      <w:pPr>
        <w:pStyle w:val="FootnoteText"/>
        <w:jc w:val="both"/>
        <w:rPr>
          <w:lang w:val="en-US"/>
        </w:rPr>
      </w:pPr>
      <w:r w:rsidRPr="003D2D32">
        <w:rPr>
          <w:rStyle w:val="FootnoteReference"/>
          <w:sz w:val="18"/>
          <w:szCs w:val="18"/>
        </w:rPr>
        <w:footnoteRef/>
      </w:r>
      <w:r w:rsidRPr="003D2D32">
        <w:rPr>
          <w:sz w:val="18"/>
          <w:szCs w:val="18"/>
          <w:lang w:val="en-US"/>
        </w:rPr>
        <w:t xml:space="preserve"> Mohamed Nakeshbandi, Rohan Maini, Pia Daniel, et al.: The impact of obesi</w:t>
      </w:r>
      <w:r w:rsidR="00DE2556" w:rsidRPr="003D2D32">
        <w:rPr>
          <w:sz w:val="18"/>
          <w:szCs w:val="18"/>
          <w:lang w:val="en-US"/>
        </w:rPr>
        <w:t>ty on COVID-19 complications: a </w:t>
      </w:r>
      <w:r w:rsidRPr="003D2D32">
        <w:rPr>
          <w:sz w:val="18"/>
          <w:szCs w:val="18"/>
          <w:lang w:val="en-US"/>
        </w:rPr>
        <w:t>retrospective cohort study, International Journal of Obesity, (44);1832–1837(2020).</w:t>
      </w:r>
    </w:p>
  </w:footnote>
  <w:footnote w:id="3">
    <w:p w14:paraId="3EB3B7E0" w14:textId="585A9FAB" w:rsidR="00DE2556" w:rsidRDefault="00DE2556" w:rsidP="00DE255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E2556">
        <w:t>Badanie opinii zrealizowane w ramach kampanii „Porozmawiajmy szczerze o otyłości” w dn. 17-21.02.2021 przez agencję badawczą SW Research na grupie 1070 Polaków.</w:t>
      </w:r>
    </w:p>
  </w:footnote>
  <w:footnote w:id="4">
    <w:p w14:paraId="6A6E25CB" w14:textId="60D61F12" w:rsidR="00DE2556" w:rsidRDefault="00DE2556">
      <w:pPr>
        <w:pStyle w:val="FootnoteText"/>
      </w:pPr>
      <w:r>
        <w:rPr>
          <w:rStyle w:val="FootnoteReference"/>
        </w:rPr>
        <w:footnoteRef/>
      </w:r>
      <w:r>
        <w:t xml:space="preserve"> i.w.</w:t>
      </w:r>
    </w:p>
  </w:footnote>
  <w:footnote w:id="5">
    <w:p w14:paraId="13802B6F" w14:textId="51A5FCCA" w:rsidR="00EC595C" w:rsidRDefault="00EC595C">
      <w:pPr>
        <w:pStyle w:val="FootnoteText"/>
      </w:pPr>
      <w:r>
        <w:rPr>
          <w:rStyle w:val="FootnoteReference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BB7F" w14:textId="0F326EEF" w:rsidR="0008666B" w:rsidRPr="004E2365" w:rsidRDefault="0008666B" w:rsidP="004E2365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93579F" wp14:editId="550B6E1A">
          <wp:simplePos x="0" y="0"/>
          <wp:positionH relativeFrom="column">
            <wp:posOffset>4402455</wp:posOffset>
          </wp:positionH>
          <wp:positionV relativeFrom="paragraph">
            <wp:posOffset>-176530</wp:posOffset>
          </wp:positionV>
          <wp:extent cx="904240" cy="564515"/>
          <wp:effectExtent l="0" t="0" r="0" b="6985"/>
          <wp:wrapTight wrapText="bothSides">
            <wp:wrapPolygon edited="0">
              <wp:start x="0" y="0"/>
              <wp:lineTo x="0" y="21138"/>
              <wp:lineTo x="20933" y="21138"/>
              <wp:lineTo x="209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7BA807" wp14:editId="3ECF9139">
          <wp:simplePos x="0" y="0"/>
          <wp:positionH relativeFrom="column">
            <wp:posOffset>5335905</wp:posOffset>
          </wp:positionH>
          <wp:positionV relativeFrom="paragraph">
            <wp:posOffset>-220980</wp:posOffset>
          </wp:positionV>
          <wp:extent cx="1040765" cy="711200"/>
          <wp:effectExtent l="0" t="0" r="6985" b="0"/>
          <wp:wrapTight wrapText="bothSides">
            <wp:wrapPolygon edited="0">
              <wp:start x="0" y="0"/>
              <wp:lineTo x="0" y="20829"/>
              <wp:lineTo x="21350" y="20829"/>
              <wp:lineTo x="21350" y="0"/>
              <wp:lineTo x="0" y="0"/>
            </wp:wrapPolygon>
          </wp:wrapTight>
          <wp:docPr id="1" name="Picture 1" descr="Znalezione obrazy dla zapytania: porozmawiajmy szczerze o otyłoś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porozmawiajmy szczerze o otyłośc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23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49C"/>
    <w:multiLevelType w:val="hybridMultilevel"/>
    <w:tmpl w:val="F2C06E36"/>
    <w:lvl w:ilvl="0" w:tplc="6506F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EB9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F5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80B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0C5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24F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E36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E12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D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B82"/>
    <w:multiLevelType w:val="multilevel"/>
    <w:tmpl w:val="758E37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82E52D1"/>
    <w:multiLevelType w:val="hybridMultilevel"/>
    <w:tmpl w:val="C9008D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7D341E"/>
    <w:multiLevelType w:val="hybridMultilevel"/>
    <w:tmpl w:val="34BC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4D3"/>
    <w:multiLevelType w:val="hybridMultilevel"/>
    <w:tmpl w:val="156AE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72828"/>
    <w:multiLevelType w:val="hybridMultilevel"/>
    <w:tmpl w:val="A72A6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AC271E"/>
    <w:multiLevelType w:val="hybridMultilevel"/>
    <w:tmpl w:val="99A4A974"/>
    <w:lvl w:ilvl="0" w:tplc="B624F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9B1CF2"/>
    <w:multiLevelType w:val="hybridMultilevel"/>
    <w:tmpl w:val="27F064E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534D7746"/>
    <w:multiLevelType w:val="hybridMultilevel"/>
    <w:tmpl w:val="01B48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346F6"/>
    <w:multiLevelType w:val="hybridMultilevel"/>
    <w:tmpl w:val="99A4A974"/>
    <w:lvl w:ilvl="0" w:tplc="B624F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6455B8"/>
    <w:multiLevelType w:val="multilevel"/>
    <w:tmpl w:val="609222F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70FA7DC8"/>
    <w:multiLevelType w:val="hybridMultilevel"/>
    <w:tmpl w:val="7206E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834E1E"/>
    <w:multiLevelType w:val="hybridMultilevel"/>
    <w:tmpl w:val="2BCC8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1A"/>
    <w:rsid w:val="000035B2"/>
    <w:rsid w:val="000055E7"/>
    <w:rsid w:val="00013E5B"/>
    <w:rsid w:val="000147BC"/>
    <w:rsid w:val="000213B8"/>
    <w:rsid w:val="0002751A"/>
    <w:rsid w:val="000677E8"/>
    <w:rsid w:val="00072D73"/>
    <w:rsid w:val="0008666B"/>
    <w:rsid w:val="00110D39"/>
    <w:rsid w:val="00117CED"/>
    <w:rsid w:val="0015478F"/>
    <w:rsid w:val="0016700E"/>
    <w:rsid w:val="00190570"/>
    <w:rsid w:val="001A4191"/>
    <w:rsid w:val="001A59AD"/>
    <w:rsid w:val="001F45C7"/>
    <w:rsid w:val="00203B42"/>
    <w:rsid w:val="00203D6D"/>
    <w:rsid w:val="00234288"/>
    <w:rsid w:val="00244BA8"/>
    <w:rsid w:val="002C48B8"/>
    <w:rsid w:val="002D3785"/>
    <w:rsid w:val="003020D3"/>
    <w:rsid w:val="00315DD5"/>
    <w:rsid w:val="0033596F"/>
    <w:rsid w:val="0034396F"/>
    <w:rsid w:val="003A128A"/>
    <w:rsid w:val="003D2D32"/>
    <w:rsid w:val="00432E32"/>
    <w:rsid w:val="00484E59"/>
    <w:rsid w:val="00496892"/>
    <w:rsid w:val="004B3B28"/>
    <w:rsid w:val="004B41F5"/>
    <w:rsid w:val="004D17E6"/>
    <w:rsid w:val="004D4380"/>
    <w:rsid w:val="004E2365"/>
    <w:rsid w:val="00502FD7"/>
    <w:rsid w:val="00507477"/>
    <w:rsid w:val="00533F51"/>
    <w:rsid w:val="00562BAD"/>
    <w:rsid w:val="005646CB"/>
    <w:rsid w:val="005D13EE"/>
    <w:rsid w:val="005D25EE"/>
    <w:rsid w:val="005D51A6"/>
    <w:rsid w:val="00614C01"/>
    <w:rsid w:val="00634D4D"/>
    <w:rsid w:val="0066733D"/>
    <w:rsid w:val="00690BDF"/>
    <w:rsid w:val="00694AA0"/>
    <w:rsid w:val="006A3F0D"/>
    <w:rsid w:val="006A707A"/>
    <w:rsid w:val="006D34F4"/>
    <w:rsid w:val="006D5462"/>
    <w:rsid w:val="006D7596"/>
    <w:rsid w:val="006E6EFA"/>
    <w:rsid w:val="00715908"/>
    <w:rsid w:val="00741CC7"/>
    <w:rsid w:val="00771093"/>
    <w:rsid w:val="00783534"/>
    <w:rsid w:val="008045C1"/>
    <w:rsid w:val="00804BDE"/>
    <w:rsid w:val="00824EC8"/>
    <w:rsid w:val="0082731D"/>
    <w:rsid w:val="00836FDD"/>
    <w:rsid w:val="008862EE"/>
    <w:rsid w:val="0089565C"/>
    <w:rsid w:val="00895FD5"/>
    <w:rsid w:val="008A6ACF"/>
    <w:rsid w:val="008A74C2"/>
    <w:rsid w:val="00967691"/>
    <w:rsid w:val="00976AA6"/>
    <w:rsid w:val="00990AA9"/>
    <w:rsid w:val="009C0CC3"/>
    <w:rsid w:val="00A9583C"/>
    <w:rsid w:val="00AA3F2C"/>
    <w:rsid w:val="00AB6A1C"/>
    <w:rsid w:val="00AF4858"/>
    <w:rsid w:val="00B10D93"/>
    <w:rsid w:val="00B12A37"/>
    <w:rsid w:val="00B55C2E"/>
    <w:rsid w:val="00B95D55"/>
    <w:rsid w:val="00BC1278"/>
    <w:rsid w:val="00BE198F"/>
    <w:rsid w:val="00C04490"/>
    <w:rsid w:val="00C13557"/>
    <w:rsid w:val="00C21AFE"/>
    <w:rsid w:val="00C37D77"/>
    <w:rsid w:val="00CB48B0"/>
    <w:rsid w:val="00CC539A"/>
    <w:rsid w:val="00CD6E90"/>
    <w:rsid w:val="00CF3391"/>
    <w:rsid w:val="00D011AE"/>
    <w:rsid w:val="00D03514"/>
    <w:rsid w:val="00D06674"/>
    <w:rsid w:val="00D21836"/>
    <w:rsid w:val="00D27E25"/>
    <w:rsid w:val="00D36720"/>
    <w:rsid w:val="00D44E37"/>
    <w:rsid w:val="00DA2EF7"/>
    <w:rsid w:val="00DE2556"/>
    <w:rsid w:val="00E7028A"/>
    <w:rsid w:val="00E7484F"/>
    <w:rsid w:val="00E812C9"/>
    <w:rsid w:val="00E9349B"/>
    <w:rsid w:val="00EC595C"/>
    <w:rsid w:val="00F36B94"/>
    <w:rsid w:val="00FC505B"/>
    <w:rsid w:val="00FC67A6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8A8"/>
  <w15:docId w15:val="{D725F0AB-BA31-45A6-9E63-F5D8323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278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65"/>
  </w:style>
  <w:style w:type="paragraph" w:styleId="Footer">
    <w:name w:val="footer"/>
    <w:basedOn w:val="Normal"/>
    <w:link w:val="FooterChar"/>
    <w:uiPriority w:val="99"/>
    <w:unhideWhenUsed/>
    <w:rsid w:val="004E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65"/>
  </w:style>
  <w:style w:type="character" w:customStyle="1" w:styleId="Heading1Char">
    <w:name w:val="Heading 1 Char"/>
    <w:basedOn w:val="DefaultParagraphFont"/>
    <w:link w:val="Heading1"/>
    <w:uiPriority w:val="9"/>
    <w:rsid w:val="00BC12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nhideWhenUsed/>
    <w:rsid w:val="00BC12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127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278"/>
    <w:rPr>
      <w:rFonts w:asciiTheme="minorHAnsi" w:eastAsiaTheme="minorHAnsi" w:hAnsiTheme="minorHAnsi" w:cstheme="minorBidi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C1278"/>
    <w:pPr>
      <w:suppressAutoHyphens w:val="0"/>
      <w:autoSpaceDN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C1278"/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A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A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AFE"/>
    <w:rPr>
      <w:vertAlign w:val="superscript"/>
    </w:rPr>
  </w:style>
  <w:style w:type="paragraph" w:styleId="BodyText">
    <w:name w:val="Body Text"/>
    <w:basedOn w:val="Normal"/>
    <w:link w:val="BodyTextChar"/>
    <w:rsid w:val="00244BA8"/>
    <w:pPr>
      <w:spacing w:after="120" w:line="256" w:lineRule="auto"/>
    </w:pPr>
  </w:style>
  <w:style w:type="character" w:customStyle="1" w:styleId="BodyTextChar">
    <w:name w:val="Body Text Char"/>
    <w:basedOn w:val="DefaultParagraphFont"/>
    <w:link w:val="BodyText"/>
    <w:rsid w:val="00244BA8"/>
  </w:style>
  <w:style w:type="paragraph" w:styleId="EndnoteText">
    <w:name w:val="endnote text"/>
    <w:basedOn w:val="Normal"/>
    <w:link w:val="EndnoteTextChar"/>
    <w:uiPriority w:val="99"/>
    <w:semiHidden/>
    <w:unhideWhenUsed/>
    <w:rsid w:val="00C135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5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355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4F4"/>
    <w:pPr>
      <w:suppressAutoHyphens/>
      <w:autoSpaceDN w:val="0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4F4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6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2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6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9422-90D2-4AFB-A13E-00A9C950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Przyjalkowska</dc:creator>
  <dc:description/>
  <cp:lastModifiedBy>Weronika Rudecka</cp:lastModifiedBy>
  <cp:revision>2</cp:revision>
  <dcterms:created xsi:type="dcterms:W3CDTF">2021-03-02T12:13:00Z</dcterms:created>
  <dcterms:modified xsi:type="dcterms:W3CDTF">2021-03-02T12:13:00Z</dcterms:modified>
</cp:coreProperties>
</file>