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C6205" w14:textId="52A3180E" w:rsidR="00BE07E4" w:rsidRDefault="00471DA8">
      <w:pPr>
        <w:rPr>
          <w:b/>
          <w:color w:val="000000"/>
          <w:sz w:val="24"/>
          <w:szCs w:val="24"/>
        </w:rPr>
      </w:pPr>
      <w:r>
        <w:rPr>
          <w:rFonts w:ascii="Arial" w:hAnsi="Arial" w:cs="Arial"/>
          <w:noProof/>
          <w:sz w:val="20"/>
          <w:szCs w:val="20"/>
        </w:rPr>
        <w:drawing>
          <wp:anchor distT="0" distB="0" distL="114300" distR="114300" simplePos="0" relativeHeight="251661312" behindDoc="0" locked="0" layoutInCell="1" allowOverlap="1" wp14:anchorId="55DEA89A" wp14:editId="310F8437">
            <wp:simplePos x="0" y="0"/>
            <wp:positionH relativeFrom="margin">
              <wp:posOffset>5227320</wp:posOffset>
            </wp:positionH>
            <wp:positionV relativeFrom="paragraph">
              <wp:posOffset>-861695</wp:posOffset>
            </wp:positionV>
            <wp:extent cx="1371719" cy="518205"/>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1371719" cy="518205"/>
                    </a:xfrm>
                    <a:prstGeom prst="rect">
                      <a:avLst/>
                    </a:prstGeom>
                  </pic:spPr>
                </pic:pic>
              </a:graphicData>
            </a:graphic>
          </wp:anchor>
        </w:drawing>
      </w:r>
      <w:r>
        <w:rPr>
          <w:rFonts w:ascii="Arial" w:hAnsi="Arial" w:cs="Arial"/>
          <w:noProof/>
          <w:sz w:val="20"/>
          <w:szCs w:val="20"/>
        </w:rPr>
        <w:drawing>
          <wp:anchor distT="0" distB="0" distL="114300" distR="114300" simplePos="0" relativeHeight="251660288" behindDoc="0" locked="0" layoutInCell="1" allowOverlap="1" wp14:anchorId="2A719DA2" wp14:editId="7FDFA4B3">
            <wp:simplePos x="0" y="0"/>
            <wp:positionH relativeFrom="column">
              <wp:posOffset>-884555</wp:posOffset>
            </wp:positionH>
            <wp:positionV relativeFrom="paragraph">
              <wp:posOffset>-899795</wp:posOffset>
            </wp:positionV>
            <wp:extent cx="2263140" cy="532856"/>
            <wp:effectExtent l="0" t="0" r="381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140" cy="532856"/>
                    </a:xfrm>
                    <a:prstGeom prst="rect">
                      <a:avLst/>
                    </a:prstGeom>
                    <a:noFill/>
                    <a:ln>
                      <a:noFill/>
                    </a:ln>
                  </pic:spPr>
                </pic:pic>
              </a:graphicData>
            </a:graphic>
          </wp:anchor>
        </w:drawing>
      </w:r>
    </w:p>
    <w:p w14:paraId="67577368" w14:textId="3344F647" w:rsidR="007B6F7E" w:rsidRPr="00A0045E" w:rsidRDefault="00096BEF">
      <w:pPr>
        <w:rPr>
          <w:color w:val="000000"/>
          <w:sz w:val="24"/>
          <w:szCs w:val="24"/>
        </w:rPr>
      </w:pPr>
      <w:r w:rsidRPr="00A0045E">
        <w:rPr>
          <w:b/>
          <w:color w:val="000000"/>
          <w:sz w:val="24"/>
          <w:szCs w:val="24"/>
        </w:rPr>
        <w:t>Obniżenie wynagrodzenia w czasie pandemii – co z dalszą spłatą zadłużeń?</w:t>
      </w:r>
    </w:p>
    <w:p w14:paraId="20F34F33" w14:textId="77777777" w:rsidR="007B6F7E" w:rsidRDefault="007B6F7E">
      <w:pPr>
        <w:rPr>
          <w:color w:val="000000"/>
        </w:rPr>
      </w:pPr>
    </w:p>
    <w:p w14:paraId="31321904" w14:textId="57CBBDA8" w:rsidR="007B6F7E" w:rsidRDefault="00096BEF" w:rsidP="005A0EEC">
      <w:pPr>
        <w:pBdr>
          <w:top w:val="nil"/>
          <w:left w:val="nil"/>
          <w:bottom w:val="nil"/>
          <w:right w:val="nil"/>
          <w:between w:val="nil"/>
        </w:pBdr>
        <w:rPr>
          <w:b/>
          <w:color w:val="000000"/>
        </w:rPr>
      </w:pPr>
      <w:r>
        <w:rPr>
          <w:b/>
          <w:color w:val="000000"/>
        </w:rPr>
        <w:t>Zapisy Tarczy antykryzysowej pozwalają</w:t>
      </w:r>
      <w:r w:rsidR="00662BDC">
        <w:rPr>
          <w:b/>
          <w:color w:val="000000"/>
        </w:rPr>
        <w:t xml:space="preserve"> pracodawcom</w:t>
      </w:r>
      <w:r>
        <w:rPr>
          <w:b/>
          <w:color w:val="000000"/>
        </w:rPr>
        <w:t xml:space="preserve"> </w:t>
      </w:r>
      <w:r w:rsidR="00352587">
        <w:rPr>
          <w:b/>
          <w:color w:val="000000"/>
        </w:rPr>
        <w:t xml:space="preserve">– w określonych warunkach - </w:t>
      </w:r>
      <w:r>
        <w:rPr>
          <w:b/>
          <w:color w:val="000000"/>
        </w:rPr>
        <w:t>na obniżenie pensji pracownikom nawet do poziomu minimalnego wynagrodzenia.</w:t>
      </w:r>
      <w:r w:rsidR="005A0EEC">
        <w:rPr>
          <w:b/>
          <w:color w:val="000000"/>
        </w:rPr>
        <w:t xml:space="preserve"> </w:t>
      </w:r>
      <w:r w:rsidR="00352587">
        <w:rPr>
          <w:b/>
          <w:color w:val="000000"/>
        </w:rPr>
        <w:t>1/4</w:t>
      </w:r>
      <w:r>
        <w:rPr>
          <w:b/>
          <w:color w:val="000000"/>
        </w:rPr>
        <w:t xml:space="preserve"> pracowników przyznaje, że w 2020 r. ich wypłaty zostały czasowo obniżone, natomiast dla 17% była to zmiana na stałe</w:t>
      </w:r>
      <w:r>
        <w:rPr>
          <w:b/>
          <w:color w:val="000000"/>
          <w:vertAlign w:val="superscript"/>
        </w:rPr>
        <w:footnoteReference w:id="1"/>
      </w:r>
      <w:r>
        <w:rPr>
          <w:b/>
          <w:color w:val="000000"/>
        </w:rPr>
        <w:t>.</w:t>
      </w:r>
      <w:r w:rsidR="005A0EEC">
        <w:rPr>
          <w:b/>
          <w:color w:val="000000"/>
        </w:rPr>
        <w:t xml:space="preserve"> </w:t>
      </w:r>
      <w:r>
        <w:rPr>
          <w:b/>
          <w:color w:val="000000"/>
        </w:rPr>
        <w:t xml:space="preserve">To problem zwłaszcza dla tych osób, które oprócz standardowych, comiesięcznych opłat, mają także zobowiązania wobec </w:t>
      </w:r>
      <w:r>
        <w:rPr>
          <w:b/>
        </w:rPr>
        <w:t>wierzycieli.</w:t>
      </w:r>
    </w:p>
    <w:p w14:paraId="69F67ED9" w14:textId="77777777" w:rsidR="007B6F7E" w:rsidRDefault="007B6F7E">
      <w:pPr>
        <w:rPr>
          <w:color w:val="000000"/>
        </w:rPr>
      </w:pPr>
    </w:p>
    <w:p w14:paraId="306D4737" w14:textId="1339DFCC" w:rsidR="007B6F7E" w:rsidRDefault="00096BEF">
      <w:pPr>
        <w:rPr>
          <w:color w:val="000000"/>
        </w:rPr>
      </w:pPr>
      <w:r>
        <w:rPr>
          <w:color w:val="000000"/>
        </w:rPr>
        <w:t>Wiele firm znalazło się przez pandemię w trudnej sytuacji finansowej. Mimo to, pracodawcy starają się utrzymywać miejsca pracy i wypłacać pracownikom pensje. Nie zawsze jest to możliwe w pełnym zakresie. Co mogą zrobić osoby, których wynagrodzenie zostało obniżone i nie są w stanie spłacać zobowiązań wobec firm windykacyjnych na dotychczasowych warunkach?</w:t>
      </w:r>
    </w:p>
    <w:p w14:paraId="6B51D089" w14:textId="77777777" w:rsidR="007B6F7E" w:rsidRDefault="007B6F7E">
      <w:pPr>
        <w:rPr>
          <w:color w:val="000000"/>
        </w:rPr>
      </w:pPr>
    </w:p>
    <w:p w14:paraId="3CBA0384" w14:textId="430CBC70" w:rsidR="007B6F7E" w:rsidRDefault="00096BEF">
      <w:pPr>
        <w:rPr>
          <w:b/>
          <w:color w:val="000000"/>
        </w:rPr>
      </w:pPr>
      <w:r>
        <w:rPr>
          <w:b/>
          <w:color w:val="000000"/>
        </w:rPr>
        <w:t>W czasie pandemii wynagrodzenie niższe nawet o połowę</w:t>
      </w:r>
    </w:p>
    <w:p w14:paraId="4725C096" w14:textId="1A26375C" w:rsidR="00A0045E" w:rsidRDefault="00A0045E">
      <w:pPr>
        <w:rPr>
          <w:b/>
          <w:color w:val="000000"/>
        </w:rPr>
      </w:pPr>
    </w:p>
    <w:p w14:paraId="0201DEFE" w14:textId="77777777" w:rsidR="00662BDC" w:rsidRDefault="005A0EEC">
      <w:pPr>
        <w:rPr>
          <w:color w:val="000000"/>
        </w:rPr>
      </w:pPr>
      <w:r>
        <w:rPr>
          <w:color w:val="000000"/>
        </w:rPr>
        <w:t xml:space="preserve">W związku z wprowadzeniem już pierwszego </w:t>
      </w:r>
      <w:proofErr w:type="spellStart"/>
      <w:r>
        <w:rPr>
          <w:color w:val="000000"/>
        </w:rPr>
        <w:t>lockdownu</w:t>
      </w:r>
      <w:proofErr w:type="spellEnd"/>
      <w:r>
        <w:rPr>
          <w:color w:val="000000"/>
        </w:rPr>
        <w:t xml:space="preserve"> i problemami z wypłacalnością wielu firm, rząd </w:t>
      </w:r>
      <w:r w:rsidR="00096BEF">
        <w:rPr>
          <w:color w:val="000000"/>
        </w:rPr>
        <w:t>w</w:t>
      </w:r>
      <w:r>
        <w:rPr>
          <w:color w:val="000000"/>
        </w:rPr>
        <w:t xml:space="preserve"> tzw.</w:t>
      </w:r>
      <w:r w:rsidR="00096BEF">
        <w:rPr>
          <w:color w:val="000000"/>
        </w:rPr>
        <w:t xml:space="preserve"> Tarczy antykryzysowej</w:t>
      </w:r>
      <w:r>
        <w:rPr>
          <w:color w:val="000000"/>
        </w:rPr>
        <w:t xml:space="preserve"> umieścił </w:t>
      </w:r>
      <w:r w:rsidR="00096BEF">
        <w:rPr>
          <w:color w:val="000000"/>
        </w:rPr>
        <w:t>zapisy przewidujące możliwość obniżenia pracownikom pensji o nie więcej niż 50% w związku z przestojem ekonomicznym firmy. Wynagrodzenie po obniżce nie może być jednak niższe niż ustawowa pensja minimalna. Pracodawcy mogą także skorzystać z innego rozwiązania, pozwalającego na dodatkowe oszczędności w firmie, czyli zmniejszenia wymiaru czasu pracy maksymalnie o 20%, nie więcej jednak niż do połowy etatu.</w:t>
      </w:r>
      <w:r w:rsidR="00344894">
        <w:rPr>
          <w:color w:val="000000"/>
        </w:rPr>
        <w:t xml:space="preserve"> </w:t>
      </w:r>
    </w:p>
    <w:p w14:paraId="1BD2BD76" w14:textId="0797861D" w:rsidR="00662BDC" w:rsidRDefault="00662BDC">
      <w:pPr>
        <w:rPr>
          <w:color w:val="000000"/>
        </w:rPr>
      </w:pPr>
    </w:p>
    <w:p w14:paraId="0E5A07F9" w14:textId="1CD46927" w:rsidR="007B6F7E" w:rsidRDefault="00096BEF">
      <w:r>
        <w:rPr>
          <w:color w:val="000000"/>
        </w:rPr>
        <w:t>Jak wynika z badania</w:t>
      </w:r>
      <w:r w:rsidR="00344894">
        <w:rPr>
          <w:color w:val="000000"/>
        </w:rPr>
        <w:t xml:space="preserve"> </w:t>
      </w:r>
      <w:proofErr w:type="spellStart"/>
      <w:r w:rsidR="00511A41">
        <w:rPr>
          <w:color w:val="000000"/>
        </w:rPr>
        <w:t>Randstad</w:t>
      </w:r>
      <w:proofErr w:type="spellEnd"/>
      <w:r w:rsidR="00511A41">
        <w:rPr>
          <w:color w:val="000000"/>
        </w:rPr>
        <w:t xml:space="preserve"> </w:t>
      </w:r>
      <w:r>
        <w:rPr>
          <w:color w:val="000000"/>
        </w:rPr>
        <w:t xml:space="preserve">„Monitor rynku pracy”, część przedsiębiorców skorzystała z </w:t>
      </w:r>
      <w:r w:rsidR="00344894">
        <w:rPr>
          <w:color w:val="000000"/>
        </w:rPr>
        <w:t>tych możliwości</w:t>
      </w:r>
      <w:r>
        <w:rPr>
          <w:color w:val="000000"/>
        </w:rPr>
        <w:t xml:space="preserve">. 26% pracowników przyznało, że w 2020 r. ich wynagrodzenie u obecnego pracodawcy uległo na jakiś czas zmniejszeniu z powodu pandemii. Natomiast dla 17% jest to obniżka na stałe. Według </w:t>
      </w:r>
      <w:r>
        <w:t xml:space="preserve">raportu </w:t>
      </w:r>
      <w:proofErr w:type="spellStart"/>
      <w:r>
        <w:t>Intrum</w:t>
      </w:r>
      <w:proofErr w:type="spellEnd"/>
      <w:r>
        <w:t>,</w:t>
      </w:r>
      <w:r w:rsidR="005A0EEC">
        <w:t xml:space="preserve"> </w:t>
      </w:r>
      <w:proofErr w:type="spellStart"/>
      <w:r>
        <w:rPr>
          <w:i/>
        </w:rPr>
        <w:t>European</w:t>
      </w:r>
      <w:proofErr w:type="spellEnd"/>
      <w:r>
        <w:rPr>
          <w:i/>
        </w:rPr>
        <w:t xml:space="preserve"> Consumer </w:t>
      </w:r>
      <w:proofErr w:type="spellStart"/>
      <w:r>
        <w:rPr>
          <w:i/>
        </w:rPr>
        <w:t>Payment</w:t>
      </w:r>
      <w:proofErr w:type="spellEnd"/>
      <w:r>
        <w:rPr>
          <w:i/>
        </w:rPr>
        <w:t xml:space="preserve"> Report 2020</w:t>
      </w:r>
      <w:r>
        <w:t>, pandemia obniżyła dochody 45% konsumentów.</w:t>
      </w:r>
    </w:p>
    <w:p w14:paraId="2EF087E4" w14:textId="77777777" w:rsidR="007B6F7E" w:rsidRDefault="007B6F7E">
      <w:pPr>
        <w:rPr>
          <w:color w:val="000000"/>
        </w:rPr>
      </w:pPr>
    </w:p>
    <w:p w14:paraId="5C9A04A7" w14:textId="77777777" w:rsidR="007B6F7E" w:rsidRDefault="00096BEF">
      <w:pPr>
        <w:rPr>
          <w:b/>
          <w:color w:val="000000"/>
        </w:rPr>
      </w:pPr>
      <w:r>
        <w:rPr>
          <w:b/>
          <w:color w:val="000000"/>
        </w:rPr>
        <w:t>Gdy niższa pensja nie pozwala na spłatę zadłużeń, negocjuj nowe warunki</w:t>
      </w:r>
    </w:p>
    <w:p w14:paraId="1BB157CE" w14:textId="77777777" w:rsidR="00A0045E" w:rsidRDefault="00A0045E">
      <w:pPr>
        <w:rPr>
          <w:b/>
          <w:color w:val="000000"/>
        </w:rPr>
      </w:pPr>
    </w:p>
    <w:p w14:paraId="7D824B34" w14:textId="6F7B3689" w:rsidR="007B6F7E" w:rsidRDefault="00404027">
      <w:pPr>
        <w:rPr>
          <w:color w:val="000000"/>
        </w:rPr>
      </w:pPr>
      <w:r>
        <w:rPr>
          <w:color w:val="000000"/>
        </w:rPr>
        <w:t xml:space="preserve">Może się tak zdarzyć, że obniżono nam pensję, gdy już posiadamy zadłużenie, które jest w obsłudze firmy windykacyjnej. </w:t>
      </w:r>
      <w:r w:rsidR="00096BEF">
        <w:rPr>
          <w:color w:val="000000"/>
        </w:rPr>
        <w:t xml:space="preserve">Średnia wartość pojedynczej wierzytelności obsługiwanej przez firmy windykacyjne zrzeszone w Związku Przedsiębiorstw Finansowych wynosi 7 240 zł. Przy znacznym obniżeniu wynagrodzenia, systematyczna spłata rat takiego zadłużenia może być bardzo trudna. </w:t>
      </w:r>
      <w:r w:rsidR="005A0EEC">
        <w:rPr>
          <w:color w:val="000000"/>
        </w:rPr>
        <w:t xml:space="preserve">Po informacji o zmianie dotychczasowych warunków zatrudnienia, warto więc przeanalizować domowy budżet i - w razie zdiagnozowania możliwych trudności ze spłatą zobowiązań - skontaktować się z firmą windykacyjną, przedstawić sytuację i ustalić nowy harmonogram spłat i wysokość raty. </w:t>
      </w:r>
    </w:p>
    <w:p w14:paraId="0A8C1423" w14:textId="77777777" w:rsidR="007B6F7E" w:rsidRDefault="007B6F7E">
      <w:pPr>
        <w:rPr>
          <w:color w:val="000000"/>
        </w:rPr>
      </w:pPr>
    </w:p>
    <w:p w14:paraId="3AED3B23" w14:textId="14BC6218" w:rsidR="007B6F7E" w:rsidRDefault="00096BEF">
      <w:r>
        <w:t>–</w:t>
      </w:r>
      <w:r>
        <w:rPr>
          <w:color w:val="000000"/>
        </w:rPr>
        <w:t xml:space="preserve"> </w:t>
      </w:r>
      <w:r>
        <w:rPr>
          <w:i/>
          <w:color w:val="000000"/>
        </w:rPr>
        <w:t xml:space="preserve">Pamiętajmy, że w firmach windykacyjnych pracują osoby, które na co dzień mają do czynienia </w:t>
      </w:r>
      <w:r>
        <w:rPr>
          <w:i/>
          <w:color w:val="000000"/>
        </w:rPr>
        <w:br/>
        <w:t xml:space="preserve">z wieloma tego typu sytuacjami i wiedzą, że takie przejściowe problemy się zdarzają, zwłaszcza w trakcie pandemii. Nie unikajmy z nimi kontaktu. </w:t>
      </w:r>
      <w:r w:rsidR="005A0EEC">
        <w:rPr>
          <w:i/>
          <w:color w:val="000000"/>
        </w:rPr>
        <w:t>W</w:t>
      </w:r>
      <w:r>
        <w:rPr>
          <w:i/>
          <w:color w:val="000000"/>
        </w:rPr>
        <w:t xml:space="preserve"> relacjach z firmą windykacyjną najważniejsza jest </w:t>
      </w:r>
      <w:r>
        <w:rPr>
          <w:i/>
        </w:rPr>
        <w:t>chęć</w:t>
      </w:r>
      <w:r>
        <w:rPr>
          <w:i/>
          <w:color w:val="000000"/>
        </w:rPr>
        <w:t xml:space="preserve"> współpracy. Przekazanie ekspertowi informacji o obniżeniu przez pracodawcę wynagrodzeni</w:t>
      </w:r>
      <w:r w:rsidR="007E5B6B">
        <w:rPr>
          <w:i/>
          <w:color w:val="000000"/>
        </w:rPr>
        <w:t>a pomoże w</w:t>
      </w:r>
      <w:r>
        <w:rPr>
          <w:i/>
          <w:color w:val="000000"/>
        </w:rPr>
        <w:t xml:space="preserve"> ustaleni</w:t>
      </w:r>
      <w:r w:rsidR="007E5B6B">
        <w:rPr>
          <w:i/>
          <w:color w:val="000000"/>
        </w:rPr>
        <w:t>u</w:t>
      </w:r>
      <w:r>
        <w:rPr>
          <w:i/>
          <w:color w:val="000000"/>
        </w:rPr>
        <w:t xml:space="preserve"> </w:t>
      </w:r>
      <w:r>
        <w:rPr>
          <w:i/>
        </w:rPr>
        <w:t>nowej</w:t>
      </w:r>
      <w:r>
        <w:rPr>
          <w:i/>
          <w:color w:val="000000"/>
        </w:rPr>
        <w:t xml:space="preserve"> wysokości rat, które osoba zadłużona będzie w stanie realizować nawet przy niższej pensji</w:t>
      </w:r>
      <w:r>
        <w:rPr>
          <w:color w:val="000000"/>
        </w:rPr>
        <w:t xml:space="preserve"> </w:t>
      </w:r>
      <w:r>
        <w:t xml:space="preserve"> </w:t>
      </w:r>
      <w:r>
        <w:rPr>
          <w:color w:val="000000"/>
        </w:rPr>
        <w:t xml:space="preserve">– </w:t>
      </w:r>
      <w:r w:rsidR="00662BDC">
        <w:rPr>
          <w:color w:val="000000"/>
        </w:rPr>
        <w:t xml:space="preserve">mówi </w:t>
      </w:r>
      <w:r w:rsidR="00662BDC">
        <w:t xml:space="preserve">Marcin </w:t>
      </w:r>
      <w:proofErr w:type="spellStart"/>
      <w:r w:rsidR="00662BDC">
        <w:t>Czugan</w:t>
      </w:r>
      <w:proofErr w:type="spellEnd"/>
      <w:r w:rsidR="00662BDC">
        <w:t xml:space="preserve">, Prezes Zarządu Związku Przedsiębiorstw Finansowych, organizacji </w:t>
      </w:r>
      <w:r w:rsidR="00662BDC">
        <w:t>realizującej</w:t>
      </w:r>
      <w:r w:rsidR="00662BDC">
        <w:t xml:space="preserve"> kampanię Windykacja - jasna sprawa!</w:t>
      </w:r>
    </w:p>
    <w:p w14:paraId="7E7DE2F9" w14:textId="3E797334" w:rsidR="00BE07E4" w:rsidRDefault="00BE07E4"/>
    <w:p w14:paraId="54455866" w14:textId="035D17FA" w:rsidR="00BE07E4" w:rsidRDefault="00BE07E4"/>
    <w:p w14:paraId="256D79E9" w14:textId="73EA99F0" w:rsidR="00BE07E4" w:rsidRDefault="00BE07E4"/>
    <w:p w14:paraId="7C26774F" w14:textId="4491A220" w:rsidR="00471DA8" w:rsidRDefault="00471DA8" w:rsidP="00BE07E4">
      <w:pPr>
        <w:rPr>
          <w:rFonts w:ascii="Arial" w:hAnsi="Arial" w:cs="Arial"/>
          <w:sz w:val="20"/>
          <w:szCs w:val="20"/>
        </w:rPr>
      </w:pPr>
    </w:p>
    <w:p w14:paraId="48D74165" w14:textId="2283FA65" w:rsidR="00471DA8" w:rsidRDefault="00471DA8" w:rsidP="00BE07E4">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705040B1" wp14:editId="220316EF">
                <wp:simplePos x="0" y="0"/>
                <wp:positionH relativeFrom="column">
                  <wp:posOffset>-635</wp:posOffset>
                </wp:positionH>
                <wp:positionV relativeFrom="paragraph">
                  <wp:posOffset>22225</wp:posOffset>
                </wp:positionV>
                <wp:extent cx="1645920" cy="7620"/>
                <wp:effectExtent l="0" t="0" r="30480" b="30480"/>
                <wp:wrapNone/>
                <wp:docPr id="1" name="Łącznik prosty 1"/>
                <wp:cNvGraphicFramePr/>
                <a:graphic xmlns:a="http://schemas.openxmlformats.org/drawingml/2006/main">
                  <a:graphicData uri="http://schemas.microsoft.com/office/word/2010/wordprocessingShape">
                    <wps:wsp>
                      <wps:cNvCnPr/>
                      <wps:spPr>
                        <a:xfrm flipV="1">
                          <a:off x="0" y="0"/>
                          <a:ext cx="1645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5804E"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1.75pt" to="129.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" strokecolor="#4472c4 [3204]" strokeweight=".5pt">
                <v:stroke joinstyle="miter"/>
              </v:line>
            </w:pict>
          </mc:Fallback>
        </mc:AlternateContent>
      </w:r>
    </w:p>
    <w:p w14:paraId="29C8EF00" w14:textId="6ABBFC9F" w:rsidR="00BE07E4" w:rsidRDefault="00BE07E4" w:rsidP="00BE07E4">
      <w:pPr>
        <w:rPr>
          <w:rFonts w:ascii="Arial" w:hAnsi="Arial" w:cs="Arial"/>
          <w:sz w:val="20"/>
          <w:szCs w:val="20"/>
        </w:rPr>
      </w:pPr>
      <w:r>
        <w:rPr>
          <w:rFonts w:ascii="Arial" w:hAnsi="Arial" w:cs="Arial"/>
          <w:sz w:val="20"/>
          <w:szCs w:val="20"/>
        </w:rPr>
        <w:t xml:space="preserve">Windykacja? Jasna Sprawa! (WJS) to projekt edukacyjny zapoczątkowany przez Związek Przedsiębiorstw Finansowych oraz firmy członkowskie, które działają na rynku obrotu wierzytelnościami. Kampania ma na celu edukowanie konsumentów na temat zaciągania zobowiązań, regulowania zadłużenia oraz praw konsumenckich związanych z windykacją należności. </w:t>
      </w:r>
    </w:p>
    <w:p w14:paraId="1C8598E9" w14:textId="77777777" w:rsidR="00BE07E4" w:rsidRDefault="00BE07E4" w:rsidP="00BE07E4">
      <w:pPr>
        <w:rPr>
          <w:rFonts w:ascii="Arial" w:hAnsi="Arial" w:cs="Arial"/>
          <w:sz w:val="20"/>
          <w:szCs w:val="20"/>
        </w:rPr>
      </w:pPr>
    </w:p>
    <w:p w14:paraId="4C47E82D" w14:textId="77777777" w:rsidR="00BE07E4" w:rsidRDefault="00BE07E4" w:rsidP="00BE07E4">
      <w:r>
        <w:rPr>
          <w:rFonts w:ascii="Arial" w:hAnsi="Arial" w:cs="Arial"/>
          <w:sz w:val="20"/>
          <w:szCs w:val="20"/>
        </w:rPr>
        <w:t xml:space="preserve">Strona kampanii: </w:t>
      </w:r>
      <w:hyperlink r:id="rId10" w:history="1">
        <w:r>
          <w:rPr>
            <w:rStyle w:val="Hipercze"/>
            <w:rFonts w:ascii="Arial" w:hAnsi="Arial" w:cs="Arial"/>
            <w:sz w:val="20"/>
            <w:szCs w:val="20"/>
          </w:rPr>
          <w:t>www.wjs.zpf.pl</w:t>
        </w:r>
      </w:hyperlink>
    </w:p>
    <w:p w14:paraId="0A20722B" w14:textId="77777777" w:rsidR="00BE07E4" w:rsidRDefault="00BE07E4">
      <w:pPr>
        <w:rPr>
          <w:color w:val="000000"/>
        </w:rPr>
      </w:pPr>
    </w:p>
    <w:sectPr w:rsidR="00BE07E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3B4A" w14:textId="77777777" w:rsidR="00914DEF" w:rsidRDefault="00914DEF">
      <w:r>
        <w:separator/>
      </w:r>
    </w:p>
  </w:endnote>
  <w:endnote w:type="continuationSeparator" w:id="0">
    <w:p w14:paraId="2CEFDE7F" w14:textId="77777777" w:rsidR="00914DEF" w:rsidRDefault="0091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3EC4" w14:textId="77777777" w:rsidR="00914DEF" w:rsidRDefault="00914DEF">
      <w:r>
        <w:separator/>
      </w:r>
    </w:p>
  </w:footnote>
  <w:footnote w:type="continuationSeparator" w:id="0">
    <w:p w14:paraId="5772A5BB" w14:textId="77777777" w:rsidR="00914DEF" w:rsidRDefault="00914DEF">
      <w:r>
        <w:continuationSeparator/>
      </w:r>
    </w:p>
  </w:footnote>
  <w:footnote w:id="1">
    <w:p w14:paraId="01B3FA58" w14:textId="77777777" w:rsidR="007B6F7E" w:rsidRDefault="00096BE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Instytut badawczy </w:t>
      </w:r>
      <w:proofErr w:type="spellStart"/>
      <w:r>
        <w:rPr>
          <w:color w:val="000000"/>
          <w:sz w:val="20"/>
          <w:szCs w:val="20"/>
        </w:rPr>
        <w:t>Randstad</w:t>
      </w:r>
      <w:proofErr w:type="spellEnd"/>
      <w:r>
        <w:rPr>
          <w:color w:val="000000"/>
          <w:sz w:val="20"/>
          <w:szCs w:val="20"/>
        </w:rPr>
        <w:t xml:space="preserve"> „Monitor rynku 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F0777"/>
    <w:multiLevelType w:val="multilevel"/>
    <w:tmpl w:val="30C0B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7E"/>
    <w:rsid w:val="00044AEF"/>
    <w:rsid w:val="00096BEF"/>
    <w:rsid w:val="00344894"/>
    <w:rsid w:val="00352587"/>
    <w:rsid w:val="00363F2E"/>
    <w:rsid w:val="00404027"/>
    <w:rsid w:val="00471DA8"/>
    <w:rsid w:val="004C7AB3"/>
    <w:rsid w:val="00511A41"/>
    <w:rsid w:val="005A0EEC"/>
    <w:rsid w:val="00662BDC"/>
    <w:rsid w:val="006B5CCF"/>
    <w:rsid w:val="007453A2"/>
    <w:rsid w:val="007B6F7E"/>
    <w:rsid w:val="007E5B6B"/>
    <w:rsid w:val="00914DEF"/>
    <w:rsid w:val="00A0045E"/>
    <w:rsid w:val="00B3145F"/>
    <w:rsid w:val="00B51D30"/>
    <w:rsid w:val="00B755CE"/>
    <w:rsid w:val="00BE07E4"/>
    <w:rsid w:val="00C52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4B8D6"/>
  <w15:docId w15:val="{F08EC8FF-3DC9-4BBD-B388-58C6AB05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8BF"/>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0078BF"/>
    <w:pPr>
      <w:ind w:left="720"/>
    </w:pPr>
  </w:style>
  <w:style w:type="paragraph" w:styleId="Tekstprzypisudolnego">
    <w:name w:val="footnote text"/>
    <w:basedOn w:val="Normalny"/>
    <w:link w:val="TekstprzypisudolnegoZnak"/>
    <w:uiPriority w:val="99"/>
    <w:semiHidden/>
    <w:unhideWhenUsed/>
    <w:rsid w:val="002E0FBE"/>
    <w:rPr>
      <w:sz w:val="20"/>
      <w:szCs w:val="20"/>
    </w:rPr>
  </w:style>
  <w:style w:type="character" w:customStyle="1" w:styleId="TekstprzypisudolnegoZnak">
    <w:name w:val="Tekst przypisu dolnego Znak"/>
    <w:basedOn w:val="Domylnaczcionkaakapitu"/>
    <w:link w:val="Tekstprzypisudolnego"/>
    <w:uiPriority w:val="99"/>
    <w:semiHidden/>
    <w:rsid w:val="002E0FBE"/>
    <w:rPr>
      <w:rFonts w:ascii="Calibri" w:hAnsi="Calibri" w:cs="Calibri"/>
      <w:sz w:val="20"/>
      <w:szCs w:val="20"/>
    </w:rPr>
  </w:style>
  <w:style w:type="character" w:styleId="Odwoanieprzypisudolnego">
    <w:name w:val="footnote reference"/>
    <w:basedOn w:val="Domylnaczcionkaakapitu"/>
    <w:uiPriority w:val="99"/>
    <w:semiHidden/>
    <w:unhideWhenUsed/>
    <w:rsid w:val="002E0FB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7E5B6B"/>
    <w:rPr>
      <w:sz w:val="16"/>
      <w:szCs w:val="16"/>
    </w:rPr>
  </w:style>
  <w:style w:type="paragraph" w:styleId="Tekstkomentarza">
    <w:name w:val="annotation text"/>
    <w:basedOn w:val="Normalny"/>
    <w:link w:val="TekstkomentarzaZnak"/>
    <w:uiPriority w:val="99"/>
    <w:semiHidden/>
    <w:unhideWhenUsed/>
    <w:rsid w:val="007E5B6B"/>
    <w:rPr>
      <w:sz w:val="20"/>
      <w:szCs w:val="20"/>
    </w:rPr>
  </w:style>
  <w:style w:type="character" w:customStyle="1" w:styleId="TekstkomentarzaZnak">
    <w:name w:val="Tekst komentarza Znak"/>
    <w:basedOn w:val="Domylnaczcionkaakapitu"/>
    <w:link w:val="Tekstkomentarza"/>
    <w:uiPriority w:val="99"/>
    <w:semiHidden/>
    <w:rsid w:val="007E5B6B"/>
    <w:rPr>
      <w:sz w:val="20"/>
      <w:szCs w:val="20"/>
    </w:rPr>
  </w:style>
  <w:style w:type="paragraph" w:styleId="Tematkomentarza">
    <w:name w:val="annotation subject"/>
    <w:basedOn w:val="Tekstkomentarza"/>
    <w:next w:val="Tekstkomentarza"/>
    <w:link w:val="TematkomentarzaZnak"/>
    <w:uiPriority w:val="99"/>
    <w:semiHidden/>
    <w:unhideWhenUsed/>
    <w:rsid w:val="007E5B6B"/>
    <w:rPr>
      <w:b/>
      <w:bCs/>
    </w:rPr>
  </w:style>
  <w:style w:type="character" w:customStyle="1" w:styleId="TematkomentarzaZnak">
    <w:name w:val="Temat komentarza Znak"/>
    <w:basedOn w:val="TekstkomentarzaZnak"/>
    <w:link w:val="Tematkomentarza"/>
    <w:uiPriority w:val="99"/>
    <w:semiHidden/>
    <w:rsid w:val="007E5B6B"/>
    <w:rPr>
      <w:b/>
      <w:bCs/>
      <w:sz w:val="20"/>
      <w:szCs w:val="20"/>
    </w:rPr>
  </w:style>
  <w:style w:type="paragraph" w:styleId="Tekstdymka">
    <w:name w:val="Balloon Text"/>
    <w:basedOn w:val="Normalny"/>
    <w:link w:val="TekstdymkaZnak"/>
    <w:uiPriority w:val="99"/>
    <w:semiHidden/>
    <w:unhideWhenUsed/>
    <w:rsid w:val="007E5B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B6B"/>
    <w:rPr>
      <w:rFonts w:ascii="Segoe UI" w:hAnsi="Segoe UI" w:cs="Segoe UI"/>
      <w:sz w:val="18"/>
      <w:szCs w:val="18"/>
    </w:rPr>
  </w:style>
  <w:style w:type="character" w:styleId="Hipercze">
    <w:name w:val="Hyperlink"/>
    <w:basedOn w:val="Domylnaczcionkaakapitu"/>
    <w:uiPriority w:val="99"/>
    <w:semiHidden/>
    <w:unhideWhenUsed/>
    <w:rsid w:val="00BE07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5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js.zpf.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vwhW6GjnS/n9gp3zA9fyNxw91A==">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3105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Chodacka</dc:creator>
  <cp:lastModifiedBy>Kinga Chodacka</cp:lastModifiedBy>
  <cp:revision>3</cp:revision>
  <dcterms:created xsi:type="dcterms:W3CDTF">2021-04-09T08:27:00Z</dcterms:created>
  <dcterms:modified xsi:type="dcterms:W3CDTF">2021-04-09T08:34:00Z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Cc">
    <vt:lpwstr>481270</vt:lpwstr>
  </property>
  <property fmtid="{D5CDD505-2E9C-101B-9397-08002B2CF9AE}" pid="3" name="BDCClassifiedBy">
    <vt:lpwstr>UxC4dwLulzfINJ8nQH+xvX5LNGipWa4BRSZhPgxsCvmw+dK3ds0dQtS8XZL2xJTa2qNWWIsu2M4CTgWfgmtfL5FhsEs/yMdw7AWLlLTldek=</vt:lpwstr>
  </property>
  <property fmtid="{D5CDD505-2E9C-101B-9397-08002B2CF9AE}" pid="4" name="BDCClassificationDate">
    <vt:lpwstr>2021-03-24T14:09:23.0837811+01:00</vt:lpwstr>
  </property>
  <property fmtid="{D5CDD505-2E9C-101B-9397-08002B2CF9AE}" pid="5" name="BDCClassifiedBySID">
    <vt:lpwstr>UxC4dwLulzfINJ8nQH+xvX5LNGipWa4BRSZhPgxsCvlJF8e30ejyorCJlwp6d1rXZ++yyYhOJ5gqhIDiDf9VUMKXtBCBvd17Wc/MJ3CwSOswhVet+KZc6A31rszit71t</vt:lpwstr>
  </property>
  <property fmtid="{D5CDD505-2E9C-101B-9397-08002B2CF9AE}" pid="6" name="BDCGRNItemId">
    <vt:lpwstr>GRN-99f938b3-d4b1-4dbd-8b4a-5c0ca8199596</vt:lpwstr>
  </property>
  <property fmtid="{D5CDD505-2E9C-101B-9397-08002B2CF9AE}" pid="7" name="BDCHash">
    <vt:lpwstr>pYnGAVnEFiXLSG1CPYVIEonP7Z9lL5oAmFoSjeGPi2c=</vt:lpwstr>
  </property>
  <property fmtid="{D5CDD505-2E9C-101B-9397-08002B2CF9AE}" pid="8" name="BDCRefresh">
    <vt:lpwstr>False</vt:lpwstr>
  </property>
</Properties>
</file>