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76852" w14:textId="77777777" w:rsidR="008D4592" w:rsidRPr="00ED3203" w:rsidRDefault="008D4592" w:rsidP="008D4592">
      <w:pPr>
        <w:spacing w:line="276" w:lineRule="auto"/>
        <w:rPr>
          <w:rFonts w:ascii="Arial" w:hAnsi="Arial" w:cs="Arial"/>
          <w:sz w:val="20"/>
          <w:szCs w:val="22"/>
        </w:rPr>
      </w:pPr>
      <w:r w:rsidRPr="00ED3203">
        <w:rPr>
          <w:rFonts w:ascii="Arial" w:hAnsi="Arial" w:cs="Arial"/>
          <w:sz w:val="20"/>
          <w:szCs w:val="22"/>
        </w:rPr>
        <w:t>Informacja prasowa</w:t>
      </w:r>
    </w:p>
    <w:p w14:paraId="07E9E6E9" w14:textId="77777777" w:rsidR="008D4592" w:rsidRPr="00ED3203" w:rsidRDefault="008D4592" w:rsidP="008D4592">
      <w:pPr>
        <w:spacing w:after="120" w:line="276" w:lineRule="auto"/>
        <w:rPr>
          <w:rFonts w:ascii="Arial" w:hAnsi="Arial" w:cs="Arial"/>
          <w:sz w:val="20"/>
          <w:szCs w:val="22"/>
        </w:rPr>
      </w:pPr>
      <w:r w:rsidRPr="00ED3203">
        <w:rPr>
          <w:rFonts w:ascii="Arial" w:hAnsi="Arial" w:cs="Arial"/>
          <w:sz w:val="20"/>
          <w:szCs w:val="22"/>
        </w:rPr>
        <w:t xml:space="preserve">Wrocław, </w:t>
      </w:r>
      <w:r>
        <w:rPr>
          <w:rFonts w:ascii="Arial" w:hAnsi="Arial" w:cs="Arial"/>
          <w:sz w:val="20"/>
          <w:szCs w:val="22"/>
        </w:rPr>
        <w:t>15 kwietnia 2021</w:t>
      </w:r>
    </w:p>
    <w:p w14:paraId="334C394F" w14:textId="77777777" w:rsidR="008D4592" w:rsidRPr="000B664A" w:rsidRDefault="008D4592" w:rsidP="008D4592">
      <w:pPr>
        <w:spacing w:before="360" w:after="120" w:line="276" w:lineRule="auto"/>
        <w:rPr>
          <w:rFonts w:ascii="Arial" w:hAnsi="Arial" w:cs="Arial"/>
          <w:b/>
          <w:bCs/>
          <w:color w:val="26744D"/>
          <w:sz w:val="32"/>
          <w:szCs w:val="22"/>
        </w:rPr>
      </w:pPr>
      <w:r w:rsidRPr="000B664A">
        <w:rPr>
          <w:rFonts w:ascii="Arial" w:hAnsi="Arial" w:cs="Arial"/>
          <w:b/>
          <w:bCs/>
          <w:color w:val="26744D"/>
          <w:sz w:val="32"/>
          <w:szCs w:val="22"/>
        </w:rPr>
        <w:t>Barometr EFL na II kwartał: najwyższ</w:t>
      </w:r>
      <w:r>
        <w:rPr>
          <w:rFonts w:ascii="Arial" w:hAnsi="Arial" w:cs="Arial"/>
          <w:b/>
          <w:bCs/>
          <w:color w:val="26744D"/>
          <w:sz w:val="32"/>
          <w:szCs w:val="22"/>
        </w:rPr>
        <w:t xml:space="preserve">a wartość głównego indeksu </w:t>
      </w:r>
      <w:r w:rsidRPr="000B664A">
        <w:rPr>
          <w:rFonts w:ascii="Arial" w:hAnsi="Arial" w:cs="Arial"/>
          <w:b/>
          <w:bCs/>
          <w:color w:val="26744D"/>
          <w:sz w:val="32"/>
          <w:szCs w:val="22"/>
        </w:rPr>
        <w:t xml:space="preserve">od początku pandemii </w:t>
      </w:r>
      <w:proofErr w:type="spellStart"/>
      <w:r>
        <w:rPr>
          <w:rFonts w:ascii="Arial" w:hAnsi="Arial" w:cs="Arial"/>
          <w:b/>
          <w:bCs/>
          <w:color w:val="26744D"/>
          <w:sz w:val="32"/>
          <w:szCs w:val="22"/>
        </w:rPr>
        <w:t>koronawirusa</w:t>
      </w:r>
      <w:proofErr w:type="spellEnd"/>
      <w:r>
        <w:rPr>
          <w:rFonts w:ascii="Arial" w:hAnsi="Arial" w:cs="Arial"/>
          <w:b/>
          <w:bCs/>
          <w:color w:val="26744D"/>
          <w:sz w:val="32"/>
          <w:szCs w:val="22"/>
        </w:rPr>
        <w:t xml:space="preserve"> w Polsce</w:t>
      </w:r>
    </w:p>
    <w:p w14:paraId="0E3F5C2D" w14:textId="1A2619EE" w:rsidR="008D4592" w:rsidRPr="000B664A" w:rsidRDefault="008D4592" w:rsidP="008D4592">
      <w:pPr>
        <w:spacing w:after="120" w:line="276" w:lineRule="auto"/>
        <w:jc w:val="both"/>
        <w:rPr>
          <w:rFonts w:ascii="Arial" w:hAnsi="Arial" w:cs="Arial"/>
          <w:b/>
          <w:color w:val="26744D"/>
          <w:sz w:val="20"/>
          <w:szCs w:val="22"/>
        </w:rPr>
      </w:pPr>
      <w:r>
        <w:rPr>
          <w:rFonts w:ascii="Arial" w:hAnsi="Arial" w:cs="Arial"/>
          <w:b/>
          <w:color w:val="26744D"/>
          <w:sz w:val="20"/>
          <w:szCs w:val="22"/>
        </w:rPr>
        <w:t xml:space="preserve">Barometr EFL na II kwartał br. wskazuje na wyraźną poprawę </w:t>
      </w:r>
      <w:r w:rsidRPr="000B664A">
        <w:rPr>
          <w:rFonts w:ascii="Arial" w:hAnsi="Arial" w:cs="Arial"/>
          <w:b/>
          <w:color w:val="26744D"/>
          <w:sz w:val="20"/>
          <w:szCs w:val="22"/>
        </w:rPr>
        <w:t>nastroj</w:t>
      </w:r>
      <w:r>
        <w:rPr>
          <w:rFonts w:ascii="Arial" w:hAnsi="Arial" w:cs="Arial"/>
          <w:b/>
          <w:color w:val="26744D"/>
          <w:sz w:val="20"/>
          <w:szCs w:val="22"/>
        </w:rPr>
        <w:t>ów wśród</w:t>
      </w:r>
      <w:r w:rsidRPr="000B664A">
        <w:rPr>
          <w:rFonts w:ascii="Arial" w:hAnsi="Arial" w:cs="Arial"/>
          <w:b/>
          <w:color w:val="26744D"/>
          <w:sz w:val="20"/>
          <w:szCs w:val="22"/>
        </w:rPr>
        <w:t xml:space="preserve"> przedstawicieli </w:t>
      </w:r>
      <w:r>
        <w:rPr>
          <w:rFonts w:ascii="Arial" w:hAnsi="Arial" w:cs="Arial"/>
          <w:b/>
          <w:color w:val="26744D"/>
          <w:sz w:val="20"/>
          <w:szCs w:val="22"/>
        </w:rPr>
        <w:t>sektora MŚP. Główny indeks wyniósł 52,8 pkt., o 3,5 pkt. więcej niż na początku roku. Wartość powyżej progu OR wynoszącego 50 pkt. oznacza</w:t>
      </w:r>
      <w:r w:rsidRPr="000B664A">
        <w:rPr>
          <w:rFonts w:ascii="Arial" w:hAnsi="Arial" w:cs="Arial"/>
          <w:b/>
          <w:color w:val="26744D"/>
          <w:sz w:val="20"/>
          <w:szCs w:val="22"/>
        </w:rPr>
        <w:t xml:space="preserve">, że w odczuciu </w:t>
      </w:r>
      <w:r>
        <w:rPr>
          <w:rFonts w:ascii="Arial" w:hAnsi="Arial" w:cs="Arial"/>
          <w:b/>
          <w:color w:val="26744D"/>
          <w:sz w:val="20"/>
          <w:szCs w:val="22"/>
        </w:rPr>
        <w:t xml:space="preserve">przedsiębiorców </w:t>
      </w:r>
      <w:r w:rsidRPr="000B664A">
        <w:rPr>
          <w:rFonts w:ascii="Arial" w:hAnsi="Arial" w:cs="Arial"/>
          <w:b/>
          <w:color w:val="26744D"/>
          <w:sz w:val="20"/>
          <w:szCs w:val="22"/>
        </w:rPr>
        <w:t xml:space="preserve">sytuacja w kontekście prowadzenia działalności </w:t>
      </w:r>
      <w:r>
        <w:rPr>
          <w:rFonts w:ascii="Arial" w:hAnsi="Arial" w:cs="Arial"/>
          <w:b/>
          <w:color w:val="26744D"/>
          <w:sz w:val="20"/>
          <w:szCs w:val="22"/>
        </w:rPr>
        <w:t xml:space="preserve">w najbliższych miesiącach </w:t>
      </w:r>
      <w:r w:rsidRPr="000B664A">
        <w:rPr>
          <w:rFonts w:ascii="Arial" w:hAnsi="Arial" w:cs="Arial"/>
          <w:b/>
          <w:color w:val="26744D"/>
          <w:sz w:val="20"/>
          <w:szCs w:val="22"/>
        </w:rPr>
        <w:t xml:space="preserve">ulegnie poprawie. </w:t>
      </w:r>
      <w:r>
        <w:rPr>
          <w:rFonts w:ascii="Arial" w:hAnsi="Arial" w:cs="Arial"/>
          <w:b/>
          <w:color w:val="26744D"/>
          <w:sz w:val="20"/>
          <w:szCs w:val="22"/>
        </w:rPr>
        <w:t xml:space="preserve">Eksperci </w:t>
      </w:r>
      <w:r w:rsidR="00EE713C">
        <w:rPr>
          <w:rFonts w:ascii="Arial" w:hAnsi="Arial" w:cs="Arial"/>
          <w:b/>
          <w:color w:val="26744D"/>
          <w:sz w:val="20"/>
          <w:szCs w:val="22"/>
        </w:rPr>
        <w:t>EFL zwracają uwagę, że</w:t>
      </w:r>
      <w:bookmarkStart w:id="0" w:name="_GoBack"/>
      <w:bookmarkEnd w:id="0"/>
      <w:r>
        <w:rPr>
          <w:rFonts w:ascii="Arial" w:hAnsi="Arial" w:cs="Arial"/>
          <w:b/>
          <w:color w:val="26744D"/>
          <w:sz w:val="20"/>
          <w:szCs w:val="22"/>
        </w:rPr>
        <w:t xml:space="preserve"> </w:t>
      </w:r>
      <w:r w:rsidRPr="000B664A">
        <w:rPr>
          <w:rFonts w:ascii="Arial" w:hAnsi="Arial" w:cs="Arial"/>
          <w:b/>
          <w:bCs/>
          <w:color w:val="26744D"/>
          <w:sz w:val="20"/>
          <w:szCs w:val="22"/>
        </w:rPr>
        <w:t xml:space="preserve">jest to najwyższy wskaźnik nastrojów liczony od wybuchu pandemii </w:t>
      </w:r>
      <w:r w:rsidRPr="000B664A">
        <w:rPr>
          <w:rFonts w:ascii="Arial" w:hAnsi="Arial" w:cs="Arial"/>
          <w:b/>
          <w:color w:val="26744D"/>
          <w:sz w:val="20"/>
          <w:szCs w:val="22"/>
        </w:rPr>
        <w:t xml:space="preserve">COVID-19 w II kw. ubiegłego roku. </w:t>
      </w:r>
      <w:r>
        <w:rPr>
          <w:rFonts w:ascii="Arial" w:hAnsi="Arial" w:cs="Arial"/>
          <w:b/>
          <w:color w:val="26744D"/>
          <w:sz w:val="20"/>
          <w:szCs w:val="22"/>
        </w:rPr>
        <w:t>Ostatnio lepsze nastroje były 2 lata temu – w II kwartale 2019 roku (54,5 pkt.).</w:t>
      </w:r>
    </w:p>
    <w:p w14:paraId="2FBFE0F9" w14:textId="77777777" w:rsidR="008D4592" w:rsidRPr="00F24096" w:rsidRDefault="008D4592" w:rsidP="008D4592">
      <w:pPr>
        <w:spacing w:after="120" w:line="276" w:lineRule="auto"/>
        <w:jc w:val="both"/>
        <w:rPr>
          <w:i/>
          <w:sz w:val="20"/>
          <w:szCs w:val="20"/>
          <w:highlight w:val="yellow"/>
        </w:rPr>
      </w:pPr>
      <w:r>
        <w:rPr>
          <w:i/>
          <w:sz w:val="20"/>
          <w:szCs w:val="20"/>
        </w:rPr>
        <w:t xml:space="preserve">- </w:t>
      </w:r>
      <w:r w:rsidRPr="00A261FF">
        <w:rPr>
          <w:i/>
          <w:sz w:val="20"/>
          <w:szCs w:val="20"/>
        </w:rPr>
        <w:t>W dotychczasowych pomiarach</w:t>
      </w:r>
      <w:r>
        <w:rPr>
          <w:i/>
          <w:sz w:val="20"/>
          <w:szCs w:val="20"/>
        </w:rPr>
        <w:t>, w „normalnym czasie”,</w:t>
      </w:r>
      <w:r w:rsidRPr="00A261FF">
        <w:rPr>
          <w:i/>
          <w:sz w:val="20"/>
          <w:szCs w:val="20"/>
        </w:rPr>
        <w:t xml:space="preserve"> pomiędzy I a II kwartałem nastroje wśród MŚP wyraźnie się poprawiały o </w:t>
      </w:r>
      <w:r>
        <w:rPr>
          <w:i/>
          <w:sz w:val="20"/>
          <w:szCs w:val="20"/>
        </w:rPr>
        <w:t>kilka punktów.</w:t>
      </w:r>
      <w:r w:rsidRPr="00A261FF">
        <w:rPr>
          <w:i/>
          <w:sz w:val="20"/>
          <w:szCs w:val="20"/>
        </w:rPr>
        <w:t xml:space="preserve"> </w:t>
      </w:r>
      <w:r>
        <w:rPr>
          <w:i/>
          <w:sz w:val="20"/>
          <w:szCs w:val="20"/>
        </w:rPr>
        <w:t xml:space="preserve">Bardzo liczyliśmy na podobny obraz również w tym roku i stało się to faktem. Optymizmem napawa także to, że został przekroczony próg ograniczonego rozwoju, który wskazuje, że firmy widzą światełko w tunelu rozwojowym i inwestycyjnym. Ale czy poprawa nastrojów to tylko jednorazowy wynik czy długofalowy proces przekonamy się po dwóch-trzech kolejnych pomiarach </w:t>
      </w:r>
      <w:r w:rsidRPr="004C1E52">
        <w:rPr>
          <w:rFonts w:ascii="Arial" w:hAnsi="Arial" w:cs="Arial"/>
          <w:sz w:val="20"/>
          <w:szCs w:val="22"/>
        </w:rPr>
        <w:t>– mówi</w:t>
      </w:r>
      <w:r>
        <w:rPr>
          <w:rFonts w:ascii="Arial" w:hAnsi="Arial" w:cs="Arial"/>
          <w:i/>
          <w:sz w:val="20"/>
          <w:szCs w:val="22"/>
        </w:rPr>
        <w:t xml:space="preserve"> </w:t>
      </w:r>
      <w:r>
        <w:rPr>
          <w:rFonts w:ascii="Arial" w:hAnsi="Arial" w:cs="Arial"/>
          <w:b/>
          <w:color w:val="26744D"/>
          <w:sz w:val="20"/>
          <w:szCs w:val="22"/>
        </w:rPr>
        <w:t>Radosła</w:t>
      </w:r>
      <w:r w:rsidRPr="004C1E52">
        <w:rPr>
          <w:rFonts w:ascii="Arial" w:hAnsi="Arial" w:cs="Arial"/>
          <w:b/>
          <w:color w:val="26744D"/>
          <w:sz w:val="20"/>
          <w:szCs w:val="22"/>
        </w:rPr>
        <w:t xml:space="preserve">w </w:t>
      </w:r>
      <w:r>
        <w:rPr>
          <w:rFonts w:ascii="Arial" w:hAnsi="Arial" w:cs="Arial"/>
          <w:b/>
          <w:color w:val="26744D"/>
          <w:sz w:val="20"/>
          <w:szCs w:val="22"/>
        </w:rPr>
        <w:t>Woźniak</w:t>
      </w:r>
      <w:r w:rsidRPr="004C1E52">
        <w:rPr>
          <w:rFonts w:ascii="Arial" w:hAnsi="Arial" w:cs="Arial"/>
          <w:b/>
          <w:color w:val="26744D"/>
          <w:sz w:val="20"/>
          <w:szCs w:val="22"/>
        </w:rPr>
        <w:t>, prezes EFL.</w:t>
      </w:r>
      <w:r>
        <w:rPr>
          <w:rFonts w:ascii="Arial" w:hAnsi="Arial" w:cs="Arial"/>
          <w:b/>
          <w:color w:val="26744D"/>
          <w:sz w:val="20"/>
          <w:szCs w:val="22"/>
        </w:rPr>
        <w:t xml:space="preserve"> </w:t>
      </w:r>
    </w:p>
    <w:p w14:paraId="6F2673E4" w14:textId="77777777" w:rsidR="008D4592" w:rsidRPr="00281BB2" w:rsidRDefault="008D4592" w:rsidP="008D4592">
      <w:pPr>
        <w:spacing w:after="120" w:line="276" w:lineRule="auto"/>
        <w:jc w:val="both"/>
        <w:rPr>
          <w:rFonts w:ascii="Arial" w:hAnsi="Arial" w:cs="Arial"/>
          <w:b/>
          <w:color w:val="26744D"/>
          <w:sz w:val="20"/>
          <w:szCs w:val="22"/>
        </w:rPr>
      </w:pPr>
      <w:r>
        <w:rPr>
          <w:rFonts w:ascii="Arial" w:hAnsi="Arial" w:cs="Arial"/>
          <w:b/>
          <w:color w:val="26744D"/>
          <w:sz w:val="20"/>
          <w:szCs w:val="22"/>
        </w:rPr>
        <w:t>Granica przekroczona</w:t>
      </w:r>
    </w:p>
    <w:p w14:paraId="3138DDF3" w14:textId="36CDFFD2" w:rsidR="008D4592" w:rsidRDefault="008D4592" w:rsidP="008D4592">
      <w:pPr>
        <w:spacing w:after="120" w:line="276" w:lineRule="auto"/>
        <w:jc w:val="both"/>
        <w:rPr>
          <w:rFonts w:ascii="Arial" w:hAnsi="Arial" w:cs="Arial"/>
          <w:sz w:val="20"/>
          <w:szCs w:val="20"/>
        </w:rPr>
      </w:pPr>
      <w:r>
        <w:rPr>
          <w:sz w:val="20"/>
          <w:szCs w:val="20"/>
        </w:rPr>
        <w:t>Próg OR to poziom ograniczonego rozwoju firm z sektora MŚP, który wynosi co najmniej 50 pkt. w Barometrze EFL. S</w:t>
      </w:r>
      <w:r w:rsidRPr="00281BB2">
        <w:rPr>
          <w:sz w:val="20"/>
          <w:szCs w:val="20"/>
        </w:rPr>
        <w:t>tanowi algorytm stworzony na podstawie danych zgromadzonych w trakcie badania przedsiębiorców dotycząc</w:t>
      </w:r>
      <w:r>
        <w:rPr>
          <w:sz w:val="20"/>
          <w:szCs w:val="20"/>
        </w:rPr>
        <w:t>ych 4</w:t>
      </w:r>
      <w:r w:rsidRPr="00281BB2">
        <w:rPr>
          <w:sz w:val="20"/>
          <w:szCs w:val="20"/>
        </w:rPr>
        <w:t xml:space="preserve"> sfer:</w:t>
      </w:r>
      <w:r>
        <w:rPr>
          <w:sz w:val="20"/>
          <w:szCs w:val="20"/>
        </w:rPr>
        <w:t xml:space="preserve"> </w:t>
      </w:r>
      <w:r w:rsidRPr="00281BB2">
        <w:rPr>
          <w:sz w:val="20"/>
          <w:szCs w:val="20"/>
        </w:rPr>
        <w:t>poziomu sprzedaży,</w:t>
      </w:r>
      <w:r>
        <w:rPr>
          <w:sz w:val="20"/>
          <w:szCs w:val="20"/>
        </w:rPr>
        <w:t xml:space="preserve"> </w:t>
      </w:r>
      <w:r w:rsidRPr="00281BB2">
        <w:rPr>
          <w:sz w:val="20"/>
          <w:szCs w:val="20"/>
        </w:rPr>
        <w:t>planowanych inwestycji w środki trwałe,</w:t>
      </w:r>
      <w:r>
        <w:rPr>
          <w:sz w:val="20"/>
          <w:szCs w:val="20"/>
        </w:rPr>
        <w:t xml:space="preserve"> płynności finansowej i </w:t>
      </w:r>
      <w:r w:rsidRPr="00281BB2">
        <w:rPr>
          <w:sz w:val="20"/>
          <w:szCs w:val="20"/>
        </w:rPr>
        <w:t>zapotrzebowania na zewnętrzne finansowanie.</w:t>
      </w:r>
      <w:r>
        <w:rPr>
          <w:sz w:val="20"/>
          <w:szCs w:val="20"/>
        </w:rPr>
        <w:t xml:space="preserve"> Przyjmuje </w:t>
      </w:r>
      <w:r w:rsidRPr="00281BB2">
        <w:rPr>
          <w:sz w:val="20"/>
          <w:szCs w:val="20"/>
        </w:rPr>
        <w:t xml:space="preserve">wartości od 0 do 100, przy czym zagregowany wynik powyżej 50 pkt. oznacza, że występują sprzyjające warunki do rozwoju sektora MŚP, natomiast wynik niższy oznacza, że warunki te są niekorzystne. </w:t>
      </w:r>
      <w:r>
        <w:rPr>
          <w:sz w:val="20"/>
          <w:szCs w:val="20"/>
        </w:rPr>
        <w:t>Poziom 52,8</w:t>
      </w:r>
      <w:r w:rsidRPr="00281BB2">
        <w:rPr>
          <w:sz w:val="20"/>
          <w:szCs w:val="20"/>
        </w:rPr>
        <w:t xml:space="preserve"> pkt. </w:t>
      </w:r>
      <w:r w:rsidR="004239FA">
        <w:rPr>
          <w:sz w:val="20"/>
          <w:szCs w:val="20"/>
        </w:rPr>
        <w:t>osiągnięty w II kwartale 2021</w:t>
      </w:r>
      <w:r>
        <w:rPr>
          <w:sz w:val="20"/>
          <w:szCs w:val="20"/>
        </w:rPr>
        <w:t xml:space="preserve"> roku przekroczył próg OR, co </w:t>
      </w:r>
      <w:r>
        <w:rPr>
          <w:rFonts w:ascii="Arial" w:hAnsi="Arial" w:cs="Arial"/>
          <w:sz w:val="20"/>
          <w:szCs w:val="22"/>
        </w:rPr>
        <w:t>o</w:t>
      </w:r>
      <w:r>
        <w:rPr>
          <w:rFonts w:ascii="Arial" w:hAnsi="Arial" w:cs="Arial"/>
          <w:sz w:val="20"/>
          <w:szCs w:val="20"/>
        </w:rPr>
        <w:t>znacza</w:t>
      </w:r>
      <w:r w:rsidRPr="0092694F">
        <w:rPr>
          <w:rFonts w:ascii="Arial" w:hAnsi="Arial" w:cs="Arial"/>
          <w:sz w:val="20"/>
          <w:szCs w:val="20"/>
        </w:rPr>
        <w:t>, że mikro, małe i średnie przedsiębiorstwa widzą</w:t>
      </w:r>
      <w:r>
        <w:rPr>
          <w:rFonts w:ascii="Arial" w:hAnsi="Arial" w:cs="Arial"/>
          <w:sz w:val="20"/>
          <w:szCs w:val="20"/>
        </w:rPr>
        <w:t xml:space="preserve"> </w:t>
      </w:r>
      <w:r w:rsidRPr="0092694F">
        <w:rPr>
          <w:rFonts w:ascii="Arial" w:hAnsi="Arial" w:cs="Arial"/>
          <w:sz w:val="20"/>
          <w:szCs w:val="20"/>
        </w:rPr>
        <w:t>szanse na rozwój w najbliższych miesiącach</w:t>
      </w:r>
      <w:r>
        <w:rPr>
          <w:rFonts w:ascii="Arial" w:hAnsi="Arial" w:cs="Arial"/>
          <w:sz w:val="20"/>
          <w:szCs w:val="20"/>
        </w:rPr>
        <w:t xml:space="preserve">. </w:t>
      </w:r>
    </w:p>
    <w:p w14:paraId="6DA7914F" w14:textId="77777777" w:rsidR="008D4592" w:rsidRDefault="008D4592" w:rsidP="008D4592">
      <w:pPr>
        <w:spacing w:after="120" w:line="276" w:lineRule="auto"/>
        <w:jc w:val="both"/>
        <w:rPr>
          <w:rFonts w:ascii="Arial" w:hAnsi="Arial" w:cs="Arial"/>
          <w:b/>
          <w:color w:val="26744D"/>
          <w:sz w:val="20"/>
          <w:szCs w:val="22"/>
        </w:rPr>
      </w:pPr>
      <w:r>
        <w:rPr>
          <w:rFonts w:ascii="Arial" w:hAnsi="Arial" w:cs="Arial"/>
          <w:b/>
          <w:color w:val="26744D"/>
          <w:sz w:val="20"/>
          <w:szCs w:val="22"/>
        </w:rPr>
        <w:t>Czas na inwestycje?</w:t>
      </w:r>
    </w:p>
    <w:p w14:paraId="507E8254" w14:textId="77777777" w:rsidR="008D4592" w:rsidRDefault="008D4592" w:rsidP="008D4592">
      <w:pPr>
        <w:spacing w:after="120" w:line="276" w:lineRule="auto"/>
        <w:jc w:val="both"/>
        <w:rPr>
          <w:rFonts w:ascii="Arial" w:hAnsi="Arial" w:cs="Arial"/>
          <w:sz w:val="20"/>
          <w:szCs w:val="20"/>
        </w:rPr>
      </w:pPr>
      <w:r w:rsidRPr="00C6741C">
        <w:rPr>
          <w:rFonts w:ascii="Arial" w:hAnsi="Arial" w:cs="Arial"/>
          <w:sz w:val="20"/>
          <w:szCs w:val="20"/>
        </w:rPr>
        <w:t xml:space="preserve">Analizując dane z </w:t>
      </w:r>
      <w:r>
        <w:rPr>
          <w:rFonts w:ascii="Arial" w:hAnsi="Arial" w:cs="Arial"/>
          <w:sz w:val="20"/>
          <w:szCs w:val="20"/>
        </w:rPr>
        <w:t xml:space="preserve">poprzednich </w:t>
      </w:r>
      <w:r w:rsidRPr="00C6741C">
        <w:rPr>
          <w:rFonts w:ascii="Arial" w:hAnsi="Arial" w:cs="Arial"/>
          <w:sz w:val="20"/>
          <w:szCs w:val="20"/>
        </w:rPr>
        <w:t>czterech pomiarów widać, że ostatni rok to stagnacja pod względem inwestycji. Odsetek firm planujących ich wzrost utrzymuje się poniżej 10</w:t>
      </w:r>
      <w:r>
        <w:rPr>
          <w:rFonts w:ascii="Arial" w:hAnsi="Arial" w:cs="Arial"/>
          <w:sz w:val="20"/>
          <w:szCs w:val="20"/>
        </w:rPr>
        <w:t xml:space="preserve"> proc.</w:t>
      </w:r>
      <w:r w:rsidRPr="00C6741C">
        <w:rPr>
          <w:rFonts w:ascii="Arial" w:hAnsi="Arial" w:cs="Arial"/>
          <w:sz w:val="20"/>
          <w:szCs w:val="20"/>
        </w:rPr>
        <w:t>, przy czym równie niski jest odsetek M</w:t>
      </w:r>
      <w:r>
        <w:rPr>
          <w:rFonts w:ascii="Arial" w:hAnsi="Arial" w:cs="Arial"/>
          <w:sz w:val="20"/>
          <w:szCs w:val="20"/>
        </w:rPr>
        <w:t>Ś</w:t>
      </w:r>
      <w:r w:rsidRPr="00C6741C">
        <w:rPr>
          <w:rFonts w:ascii="Arial" w:hAnsi="Arial" w:cs="Arial"/>
          <w:sz w:val="20"/>
          <w:szCs w:val="20"/>
        </w:rPr>
        <w:t>P przewidujących ich spadek.</w:t>
      </w:r>
      <w:r>
        <w:rPr>
          <w:rFonts w:ascii="Arial" w:hAnsi="Arial" w:cs="Arial"/>
          <w:sz w:val="20"/>
          <w:szCs w:val="20"/>
        </w:rPr>
        <w:t xml:space="preserve"> </w:t>
      </w:r>
    </w:p>
    <w:p w14:paraId="205AA975" w14:textId="77777777" w:rsidR="008D4592" w:rsidRDefault="008D4592" w:rsidP="008D4592">
      <w:pPr>
        <w:spacing w:after="120" w:line="276" w:lineRule="auto"/>
        <w:jc w:val="both"/>
        <w:rPr>
          <w:rFonts w:ascii="Arial" w:hAnsi="Arial" w:cs="Arial"/>
          <w:bCs/>
          <w:sz w:val="20"/>
          <w:szCs w:val="20"/>
        </w:rPr>
      </w:pPr>
      <w:r>
        <w:rPr>
          <w:rFonts w:ascii="Arial" w:hAnsi="Arial" w:cs="Arial"/>
          <w:sz w:val="20"/>
          <w:szCs w:val="20"/>
        </w:rPr>
        <w:t xml:space="preserve">W II kwartale br. sytuacja uległa znacznej poprawie. </w:t>
      </w:r>
      <w:r w:rsidRPr="005F1538">
        <w:rPr>
          <w:rFonts w:ascii="Arial" w:hAnsi="Arial" w:cs="Arial"/>
          <w:sz w:val="20"/>
          <w:szCs w:val="20"/>
        </w:rPr>
        <w:t xml:space="preserve">Obserwujemy </w:t>
      </w:r>
      <w:r w:rsidRPr="005F1538">
        <w:rPr>
          <w:rFonts w:ascii="Arial" w:hAnsi="Arial" w:cs="Arial"/>
          <w:bCs/>
          <w:sz w:val="20"/>
          <w:szCs w:val="20"/>
        </w:rPr>
        <w:t xml:space="preserve">skokowy wzrost planowanych inwestycji w MŚP z 5,3 proc. do aż </w:t>
      </w:r>
      <w:r>
        <w:rPr>
          <w:rFonts w:ascii="Arial" w:hAnsi="Arial" w:cs="Arial"/>
          <w:bCs/>
          <w:sz w:val="20"/>
          <w:szCs w:val="20"/>
        </w:rPr>
        <w:t>25</w:t>
      </w:r>
      <w:r w:rsidRPr="005F1538">
        <w:rPr>
          <w:rFonts w:ascii="Arial" w:hAnsi="Arial" w:cs="Arial"/>
          <w:bCs/>
          <w:sz w:val="20"/>
          <w:szCs w:val="20"/>
        </w:rPr>
        <w:t xml:space="preserve"> proc. Z drugiej strony należy zwrócić uwagę, że istotnie zwiększyła się również grupa przedsiębiorstw wieszczących spadek inwestycji – z 8,5 proc. do </w:t>
      </w:r>
      <w:r>
        <w:rPr>
          <w:rFonts w:ascii="Arial" w:hAnsi="Arial" w:cs="Arial"/>
          <w:bCs/>
          <w:sz w:val="20"/>
          <w:szCs w:val="20"/>
        </w:rPr>
        <w:t>18</w:t>
      </w:r>
      <w:r w:rsidRPr="005F1538">
        <w:rPr>
          <w:rFonts w:ascii="Arial" w:hAnsi="Arial" w:cs="Arial"/>
          <w:bCs/>
          <w:sz w:val="20"/>
          <w:szCs w:val="20"/>
        </w:rPr>
        <w:t xml:space="preserve"> proc.</w:t>
      </w:r>
    </w:p>
    <w:p w14:paraId="5123B848" w14:textId="73F69C38" w:rsidR="008D4592" w:rsidRDefault="008D4592" w:rsidP="008D4592">
      <w:pPr>
        <w:spacing w:after="120" w:line="276" w:lineRule="auto"/>
        <w:jc w:val="both"/>
        <w:rPr>
          <w:rFonts w:ascii="Arial" w:hAnsi="Arial" w:cs="Arial"/>
          <w:b/>
          <w:color w:val="26744D"/>
          <w:sz w:val="20"/>
          <w:szCs w:val="22"/>
        </w:rPr>
      </w:pPr>
      <w:r w:rsidRPr="0047278E">
        <w:rPr>
          <w:rFonts w:ascii="Arial" w:hAnsi="Arial" w:cs="Arial"/>
          <w:bCs/>
          <w:i/>
          <w:sz w:val="20"/>
          <w:szCs w:val="20"/>
        </w:rPr>
        <w:t>- Taka polaryzacja opini</w:t>
      </w:r>
      <w:r>
        <w:rPr>
          <w:rFonts w:ascii="Arial" w:hAnsi="Arial" w:cs="Arial"/>
          <w:bCs/>
          <w:i/>
          <w:sz w:val="20"/>
          <w:szCs w:val="20"/>
        </w:rPr>
        <w:t>i</w:t>
      </w:r>
      <w:r w:rsidRPr="0047278E">
        <w:rPr>
          <w:rFonts w:ascii="Arial" w:hAnsi="Arial" w:cs="Arial"/>
          <w:bCs/>
          <w:i/>
          <w:sz w:val="20"/>
          <w:szCs w:val="20"/>
        </w:rPr>
        <w:t xml:space="preserve"> może wskazywać na diametralnie różne sytuacje, w jakich znalazły się poszczególne firmy. Jak wskazuje nasz branżowy indeks, o inwestycjach nie ma mowy w sektorze </w:t>
      </w:r>
      <w:proofErr w:type="spellStart"/>
      <w:r w:rsidRPr="0047278E">
        <w:rPr>
          <w:rFonts w:ascii="Arial" w:hAnsi="Arial" w:cs="Arial"/>
          <w:bCs/>
          <w:i/>
          <w:sz w:val="20"/>
          <w:szCs w:val="20"/>
        </w:rPr>
        <w:t>HoReCa</w:t>
      </w:r>
      <w:proofErr w:type="spellEnd"/>
      <w:r w:rsidRPr="0047278E">
        <w:rPr>
          <w:rFonts w:ascii="Arial" w:hAnsi="Arial" w:cs="Arial"/>
          <w:bCs/>
          <w:i/>
          <w:sz w:val="20"/>
          <w:szCs w:val="20"/>
        </w:rPr>
        <w:t>, który wciąż jest w większości zamknięty. Zdecydowanie bardziej skore do inwestowania są przedsiębiorstwa produkcyjne czy transportowe</w:t>
      </w:r>
      <w:r>
        <w:rPr>
          <w:rFonts w:ascii="Arial" w:hAnsi="Arial" w:cs="Arial"/>
          <w:bCs/>
          <w:i/>
          <w:sz w:val="20"/>
          <w:szCs w:val="20"/>
        </w:rPr>
        <w:t xml:space="preserve">. Taka polaryzacja nastrojów utrzyma się jeszcze kilka-kilkanaście miesięcy, a może nawet, w przypadku </w:t>
      </w:r>
      <w:r w:rsidR="008F5696">
        <w:rPr>
          <w:rFonts w:ascii="Arial" w:hAnsi="Arial" w:cs="Arial"/>
          <w:bCs/>
          <w:i/>
          <w:sz w:val="20"/>
          <w:szCs w:val="20"/>
        </w:rPr>
        <w:t>wybranych</w:t>
      </w:r>
      <w:r>
        <w:rPr>
          <w:rFonts w:ascii="Arial" w:hAnsi="Arial" w:cs="Arial"/>
          <w:bCs/>
          <w:i/>
          <w:sz w:val="20"/>
          <w:szCs w:val="20"/>
        </w:rPr>
        <w:t xml:space="preserve"> branż, 2-3 lata</w:t>
      </w:r>
      <w:r>
        <w:rPr>
          <w:rFonts w:ascii="Arial" w:hAnsi="Arial" w:cs="Arial"/>
          <w:b/>
          <w:bCs/>
          <w:sz w:val="20"/>
          <w:szCs w:val="20"/>
        </w:rPr>
        <w:t xml:space="preserve"> </w:t>
      </w:r>
      <w:r w:rsidRPr="0047278E">
        <w:rPr>
          <w:rFonts w:ascii="Arial" w:hAnsi="Arial" w:cs="Arial"/>
          <w:bCs/>
          <w:sz w:val="20"/>
          <w:szCs w:val="20"/>
        </w:rPr>
        <w:t>– dodaje</w:t>
      </w:r>
      <w:r>
        <w:rPr>
          <w:rFonts w:ascii="Arial" w:hAnsi="Arial" w:cs="Arial"/>
          <w:b/>
          <w:bCs/>
          <w:sz w:val="20"/>
          <w:szCs w:val="20"/>
        </w:rPr>
        <w:t xml:space="preserve"> </w:t>
      </w:r>
      <w:r w:rsidRPr="0047278E">
        <w:rPr>
          <w:rFonts w:ascii="Arial" w:hAnsi="Arial" w:cs="Arial"/>
          <w:b/>
          <w:color w:val="26744D"/>
          <w:sz w:val="20"/>
          <w:szCs w:val="22"/>
        </w:rPr>
        <w:t>prezes EFL.</w:t>
      </w:r>
    </w:p>
    <w:p w14:paraId="626186A2" w14:textId="77777777" w:rsidR="008D4592" w:rsidRPr="00642CEE" w:rsidRDefault="008D4592" w:rsidP="008D4592">
      <w:pPr>
        <w:spacing w:after="120" w:line="276" w:lineRule="auto"/>
        <w:jc w:val="both"/>
        <w:rPr>
          <w:rFonts w:ascii="Arial" w:hAnsi="Arial" w:cs="Arial"/>
          <w:bCs/>
          <w:sz w:val="20"/>
          <w:szCs w:val="20"/>
        </w:rPr>
      </w:pPr>
      <w:r w:rsidRPr="00642CEE">
        <w:rPr>
          <w:rFonts w:ascii="Arial" w:hAnsi="Arial" w:cs="Arial"/>
          <w:bCs/>
          <w:sz w:val="20"/>
          <w:szCs w:val="20"/>
        </w:rPr>
        <w:lastRenderedPageBreak/>
        <w:t xml:space="preserve">Wciąż rośnie odsetek firm przewidujących wzrost zapotrzebowania na finansowanie zewnętrzne. </w:t>
      </w:r>
      <w:r w:rsidRPr="00642CEE">
        <w:rPr>
          <w:rFonts w:ascii="Arial" w:hAnsi="Arial" w:cs="Arial"/>
          <w:sz w:val="20"/>
          <w:szCs w:val="20"/>
        </w:rPr>
        <w:t>W najnowszym pomiarze 1 na 4 firmy przewiduj</w:t>
      </w:r>
      <w:r>
        <w:rPr>
          <w:rFonts w:ascii="Arial" w:hAnsi="Arial" w:cs="Arial"/>
          <w:sz w:val="20"/>
          <w:szCs w:val="20"/>
        </w:rPr>
        <w:t>e</w:t>
      </w:r>
      <w:r w:rsidRPr="00642CEE">
        <w:rPr>
          <w:rFonts w:ascii="Arial" w:hAnsi="Arial" w:cs="Arial"/>
          <w:sz w:val="20"/>
          <w:szCs w:val="20"/>
        </w:rPr>
        <w:t xml:space="preserve"> wzrost zapotrzebowania na finansowanie zewnętrzne (26 proc., w I kwartale było to 22,5 proc.). Dalej m</w:t>
      </w:r>
      <w:r w:rsidRPr="00642CEE">
        <w:rPr>
          <w:rFonts w:ascii="Arial" w:hAnsi="Arial" w:cs="Arial"/>
          <w:bCs/>
          <w:sz w:val="20"/>
          <w:szCs w:val="20"/>
        </w:rPr>
        <w:t>oże to świadczyć o tym, że potrzeby mikro, małych i średnich firm w tym zakresie się zwiększają wraz z perspektywą dalszego trwania restrykcji związanych z pandemią. Jednak w przypadku firm, które myślą o inwestycjach, dodatkowe fundusze najpewniej przyczynią się do realizacji tychże planów inwestycyjnych.</w:t>
      </w:r>
    </w:p>
    <w:p w14:paraId="5276E4F2" w14:textId="77777777" w:rsidR="008D4592" w:rsidRDefault="008D4592" w:rsidP="008D4592">
      <w:pPr>
        <w:spacing w:after="120" w:line="276" w:lineRule="auto"/>
        <w:jc w:val="both"/>
        <w:rPr>
          <w:rFonts w:ascii="Arial" w:hAnsi="Arial" w:cs="Arial"/>
          <w:b/>
          <w:bCs/>
          <w:sz w:val="20"/>
          <w:szCs w:val="20"/>
        </w:rPr>
      </w:pPr>
    </w:p>
    <w:p w14:paraId="3639E790" w14:textId="77777777" w:rsidR="008D4592" w:rsidRDefault="008D4592" w:rsidP="008D4592">
      <w:pPr>
        <w:spacing w:after="120" w:line="276" w:lineRule="auto"/>
        <w:jc w:val="both"/>
        <w:rPr>
          <w:rFonts w:ascii="Arial" w:hAnsi="Arial" w:cs="Arial"/>
          <w:b/>
          <w:bCs/>
          <w:sz w:val="20"/>
          <w:szCs w:val="20"/>
        </w:rPr>
      </w:pPr>
      <w:r>
        <w:rPr>
          <w:rFonts w:ascii="Arial" w:hAnsi="Arial" w:cs="Arial"/>
          <w:sz w:val="20"/>
          <w:szCs w:val="20"/>
        </w:rPr>
        <w:t>W przypadku prognoz dotyczących sprzedaży nie widać znaczących zmian w porównaniu do</w:t>
      </w:r>
      <w:r w:rsidRPr="005F1538">
        <w:rPr>
          <w:rFonts w:ascii="Arial" w:hAnsi="Arial" w:cs="Arial"/>
          <w:sz w:val="20"/>
          <w:szCs w:val="20"/>
        </w:rPr>
        <w:t xml:space="preserve"> </w:t>
      </w:r>
      <w:r w:rsidRPr="00CA76BA">
        <w:rPr>
          <w:rFonts w:ascii="Arial" w:hAnsi="Arial" w:cs="Arial"/>
          <w:sz w:val="20"/>
          <w:szCs w:val="20"/>
        </w:rPr>
        <w:t xml:space="preserve">poprzednich pomiarów. </w:t>
      </w:r>
      <w:r w:rsidRPr="00CA76BA">
        <w:rPr>
          <w:rFonts w:ascii="Arial" w:hAnsi="Arial" w:cs="Arial"/>
          <w:bCs/>
          <w:sz w:val="20"/>
          <w:szCs w:val="20"/>
        </w:rPr>
        <w:t>21 proc. firm liczy na wzrost zamówień (w I kwartale br. i IV kwartale 2020 roku również było to 21 proc.).</w:t>
      </w:r>
      <w:r>
        <w:rPr>
          <w:rFonts w:ascii="Arial" w:hAnsi="Arial" w:cs="Arial"/>
          <w:b/>
          <w:bCs/>
          <w:sz w:val="20"/>
          <w:szCs w:val="20"/>
        </w:rPr>
        <w:t xml:space="preserve"> </w:t>
      </w:r>
      <w:r w:rsidRPr="005F1538">
        <w:rPr>
          <w:rFonts w:ascii="Arial" w:hAnsi="Arial" w:cs="Arial"/>
          <w:b/>
          <w:bCs/>
          <w:sz w:val="20"/>
          <w:szCs w:val="20"/>
        </w:rPr>
        <w:t xml:space="preserve"> </w:t>
      </w:r>
    </w:p>
    <w:p w14:paraId="66755C5F" w14:textId="77777777" w:rsidR="008D4592" w:rsidRPr="00510930" w:rsidRDefault="008D4592" w:rsidP="008D4592">
      <w:pPr>
        <w:spacing w:after="120" w:line="276" w:lineRule="auto"/>
        <w:jc w:val="both"/>
        <w:rPr>
          <w:rFonts w:ascii="Arial" w:hAnsi="Arial" w:cs="Arial"/>
          <w:b/>
          <w:color w:val="26744D"/>
          <w:sz w:val="20"/>
          <w:szCs w:val="22"/>
        </w:rPr>
      </w:pPr>
      <w:r w:rsidRPr="00510930">
        <w:rPr>
          <w:rFonts w:ascii="Arial" w:hAnsi="Arial" w:cs="Arial"/>
          <w:b/>
          <w:color w:val="26744D"/>
          <w:sz w:val="20"/>
          <w:szCs w:val="22"/>
        </w:rPr>
        <w:t>Więcej w portfelach firm</w:t>
      </w:r>
    </w:p>
    <w:p w14:paraId="3F659947" w14:textId="77777777" w:rsidR="008D4592" w:rsidRDefault="008D4592" w:rsidP="008D4592">
      <w:pPr>
        <w:spacing w:after="120" w:line="276" w:lineRule="auto"/>
        <w:jc w:val="both"/>
        <w:rPr>
          <w:rFonts w:ascii="Arial" w:hAnsi="Arial" w:cs="Arial"/>
          <w:sz w:val="20"/>
          <w:szCs w:val="20"/>
        </w:rPr>
      </w:pPr>
      <w:r w:rsidRPr="003F5E6E">
        <w:rPr>
          <w:rFonts w:ascii="Arial" w:hAnsi="Arial" w:cs="Arial"/>
          <w:bCs/>
          <w:sz w:val="20"/>
          <w:szCs w:val="20"/>
        </w:rPr>
        <w:t>Coraz lepsze wyniki obserwujemy w kontekście przewidywanej płynności finansowej. Co piąty przedsiębiorca liczy na jej poprawę</w:t>
      </w:r>
      <w:r>
        <w:rPr>
          <w:rFonts w:ascii="Arial" w:hAnsi="Arial" w:cs="Arial"/>
          <w:bCs/>
          <w:sz w:val="20"/>
          <w:szCs w:val="20"/>
        </w:rPr>
        <w:t>. T</w:t>
      </w:r>
      <w:r w:rsidRPr="003F5E6E">
        <w:rPr>
          <w:rFonts w:ascii="Arial" w:hAnsi="Arial" w:cs="Arial"/>
          <w:bCs/>
          <w:sz w:val="20"/>
          <w:szCs w:val="20"/>
        </w:rPr>
        <w:t>o</w:t>
      </w:r>
      <w:r w:rsidRPr="003F5E6E">
        <w:rPr>
          <w:rFonts w:ascii="Arial" w:hAnsi="Arial" w:cs="Arial"/>
          <w:sz w:val="20"/>
          <w:szCs w:val="20"/>
        </w:rPr>
        <w:t xml:space="preserve"> wzrost względem poprzedniego kwartału o 4,7 punktów procentowych. </w:t>
      </w:r>
    </w:p>
    <w:p w14:paraId="37B620CB" w14:textId="77777777" w:rsidR="008D4592" w:rsidRPr="00415AB4" w:rsidRDefault="008D4592" w:rsidP="008D4592">
      <w:pPr>
        <w:spacing w:after="120" w:line="276" w:lineRule="auto"/>
        <w:jc w:val="both"/>
        <w:rPr>
          <w:rFonts w:ascii="Arial" w:hAnsi="Arial" w:cs="Arial"/>
          <w:sz w:val="20"/>
          <w:szCs w:val="20"/>
        </w:rPr>
      </w:pPr>
      <w:r>
        <w:rPr>
          <w:rFonts w:ascii="Arial" w:hAnsi="Arial" w:cs="Arial"/>
          <w:sz w:val="20"/>
          <w:szCs w:val="20"/>
        </w:rPr>
        <w:t xml:space="preserve">- </w:t>
      </w:r>
      <w:r w:rsidRPr="00415AB4">
        <w:rPr>
          <w:rFonts w:ascii="Arial" w:hAnsi="Arial" w:cs="Arial"/>
          <w:i/>
          <w:sz w:val="20"/>
          <w:szCs w:val="20"/>
        </w:rPr>
        <w:t>To najlepszy wynik od wybuchu pandemii COVID-19 w Polsce. Ten wskaźnik, obok przekroczenia progu OR, może wskazywać, że idzie odwilż. I z taką nadzieją poczekajmy na kolejny pomiar</w:t>
      </w:r>
      <w:r>
        <w:rPr>
          <w:rFonts w:ascii="Arial" w:hAnsi="Arial" w:cs="Arial"/>
          <w:sz w:val="20"/>
          <w:szCs w:val="20"/>
        </w:rPr>
        <w:t xml:space="preserve"> </w:t>
      </w:r>
      <w:r>
        <w:rPr>
          <w:sz w:val="20"/>
          <w:szCs w:val="20"/>
        </w:rPr>
        <w:t xml:space="preserve">– dodaje </w:t>
      </w:r>
      <w:r w:rsidRPr="004C1E52">
        <w:rPr>
          <w:rFonts w:ascii="Arial" w:hAnsi="Arial" w:cs="Arial"/>
          <w:b/>
          <w:color w:val="26744D"/>
          <w:sz w:val="20"/>
          <w:szCs w:val="22"/>
        </w:rPr>
        <w:t>prezes EFL.</w:t>
      </w:r>
    </w:p>
    <w:p w14:paraId="6114EA14" w14:textId="77777777" w:rsidR="008D4592" w:rsidRPr="00ED3203" w:rsidRDefault="008D4592" w:rsidP="008D4592">
      <w:pPr>
        <w:spacing w:after="120" w:line="276" w:lineRule="auto"/>
        <w:jc w:val="both"/>
        <w:rPr>
          <w:rFonts w:ascii="Arial" w:hAnsi="Arial" w:cs="Arial"/>
          <w:b/>
          <w:color w:val="26744D"/>
          <w:sz w:val="20"/>
          <w:szCs w:val="22"/>
        </w:rPr>
      </w:pPr>
      <w:r w:rsidRPr="00ED3203">
        <w:rPr>
          <w:rFonts w:ascii="Arial" w:hAnsi="Arial" w:cs="Arial"/>
          <w:b/>
          <w:color w:val="26744D"/>
          <w:sz w:val="20"/>
          <w:szCs w:val="22"/>
        </w:rPr>
        <w:t>***</w:t>
      </w:r>
    </w:p>
    <w:p w14:paraId="7A64F567" w14:textId="77777777" w:rsidR="008D4592" w:rsidRDefault="008D4592" w:rsidP="008D4592">
      <w:pPr>
        <w:spacing w:after="120" w:line="276" w:lineRule="auto"/>
        <w:jc w:val="both"/>
        <w:rPr>
          <w:sz w:val="18"/>
        </w:rPr>
      </w:pPr>
      <w:r w:rsidRPr="00ED3203">
        <w:rPr>
          <w:b/>
          <w:sz w:val="18"/>
        </w:rPr>
        <w:t>Barometr EFL</w:t>
      </w:r>
      <w:r w:rsidRPr="00ED3203">
        <w:rPr>
          <w:sz w:val="18"/>
        </w:rPr>
        <w:t xml:space="preserve"> jest syntetycznym wskaźnikiem informującym o skłonności firm z sektora MŚP do wzrostu (tj. rozwoju rozumianego, jako stawianie sobie przez przedsiębiorstwa celów związanych ze wzrostem sprzedaży i produkcji, ekspansją na nowe rynki i maksymalizacją zysków, co jest związane z inwestycjami w środki trwałe). Prognozowana na dany kwartał kondycja finansowa firm MŚP daje punkt odniesienia do wnioskowania o zakładanym kierunku zmian, które sprzyjają wzrostowi lub działają hamująco na rozwój firm. Badanie przygotowywane jest przez </w:t>
      </w:r>
      <w:proofErr w:type="spellStart"/>
      <w:r w:rsidRPr="00ED3203">
        <w:rPr>
          <w:sz w:val="18"/>
        </w:rPr>
        <w:t>Ecorys</w:t>
      </w:r>
      <w:proofErr w:type="spellEnd"/>
      <w:r w:rsidRPr="00ED3203">
        <w:rPr>
          <w:sz w:val="18"/>
        </w:rPr>
        <w:t xml:space="preserve"> na zlecenie Europejskiego Funduszu Leasingowego SA., a jego wyniki są publikowane co kwartał. Jego uczestnicy to mikro, małe i średnie firmy terenu całej Polski. W badaniu wzięła udział reprezentatywna grupa 600 mikro, małych i średnich firm. Aktualna edycja badania odbyła się </w:t>
      </w:r>
      <w:r>
        <w:rPr>
          <w:sz w:val="18"/>
        </w:rPr>
        <w:t>od 22 marca do 7 kwietnia 2021 roku.</w:t>
      </w:r>
    </w:p>
    <w:p w14:paraId="0E275F17" w14:textId="77777777" w:rsidR="008D4592" w:rsidRPr="008F5696" w:rsidRDefault="008D4592" w:rsidP="008D4592">
      <w:pPr>
        <w:spacing w:after="120" w:line="276" w:lineRule="auto"/>
        <w:jc w:val="both"/>
        <w:rPr>
          <w:rFonts w:ascii="Arial" w:hAnsi="Arial" w:cs="Arial"/>
          <w:sz w:val="16"/>
          <w:szCs w:val="16"/>
        </w:rPr>
      </w:pPr>
      <w:r w:rsidRPr="008F5696">
        <w:rPr>
          <w:rFonts w:ascii="Arial" w:eastAsia="Times New Roman" w:hAnsi="Arial" w:cs="Arial"/>
          <w:b/>
          <w:iCs/>
          <w:color w:val="0A0A0A"/>
          <w:sz w:val="16"/>
          <w:szCs w:val="16"/>
          <w:shd w:val="clear" w:color="auto" w:fill="FEFEFE"/>
          <w:lang w:eastAsia="pl-PL"/>
        </w:rPr>
        <w:t>OR</w:t>
      </w:r>
      <w:r w:rsidRPr="008F5696">
        <w:rPr>
          <w:rFonts w:ascii="Arial" w:eastAsia="Times New Roman" w:hAnsi="Arial" w:cs="Arial"/>
          <w:iCs/>
          <w:color w:val="0A0A0A"/>
          <w:sz w:val="16"/>
          <w:szCs w:val="16"/>
          <w:shd w:val="clear" w:color="auto" w:fill="FEFEFE"/>
          <w:lang w:eastAsia="pl-PL"/>
        </w:rPr>
        <w:t>, czyli próg ograniczonego rozwoju, to algorytm stworzony na podstawie danych zgromadzonych w trakcie badania przedsiębiorców. Przyjmuje on wartości od 0 do 100, przy czym zagregowany wynik powyżej 50 pkt. oznacza, że występują sprzyjające warunki do rozwoju sektora MŚP, natomiast wynik niższy oznacza, że warunki te są niekorzystne. Zatem poziom 50 pkt. stanowi próg OR, czyli poziom ograniczonego rozwoju.</w:t>
      </w:r>
    </w:p>
    <w:tbl>
      <w:tblPr>
        <w:tblW w:w="9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7BBB0"/>
        <w:tblLook w:val="04A0" w:firstRow="1" w:lastRow="0" w:firstColumn="1" w:lastColumn="0" w:noHBand="0" w:noVBand="1"/>
      </w:tblPr>
      <w:tblGrid>
        <w:gridCol w:w="9155"/>
      </w:tblGrid>
      <w:tr w:rsidR="008F5696" w:rsidRPr="00050F72" w14:paraId="062ECCC0" w14:textId="77777777" w:rsidTr="00C2206B">
        <w:trPr>
          <w:trHeight w:val="267"/>
        </w:trPr>
        <w:tc>
          <w:tcPr>
            <w:tcW w:w="9155" w:type="dxa"/>
            <w:shd w:val="clear" w:color="auto" w:fill="22744F"/>
          </w:tcPr>
          <w:p w14:paraId="00CAFBE9" w14:textId="77777777" w:rsidR="008F5696" w:rsidRPr="00050F72" w:rsidRDefault="008F5696" w:rsidP="00C2206B">
            <w:pPr>
              <w:tabs>
                <w:tab w:val="left" w:pos="4248"/>
                <w:tab w:val="left" w:pos="6684"/>
              </w:tabs>
              <w:outlineLvl w:val="0"/>
              <w:rPr>
                <w:rFonts w:ascii="Arial" w:hAnsi="Arial" w:cs="Arial"/>
                <w:color w:val="FFFFFF"/>
                <w:sz w:val="18"/>
                <w:szCs w:val="18"/>
              </w:rPr>
            </w:pPr>
            <w:r w:rsidRPr="00050F72">
              <w:rPr>
                <w:rFonts w:ascii="Arial" w:hAnsi="Arial" w:cs="Arial"/>
                <w:color w:val="FFFFFF"/>
                <w:sz w:val="18"/>
                <w:szCs w:val="18"/>
              </w:rPr>
              <w:t>Więcej informacji udziela:</w:t>
            </w:r>
            <w:r w:rsidRPr="00050F72">
              <w:rPr>
                <w:rFonts w:ascii="Arial" w:hAnsi="Arial" w:cs="Arial"/>
                <w:color w:val="FFFFFF"/>
                <w:sz w:val="18"/>
                <w:szCs w:val="18"/>
              </w:rPr>
              <w:tab/>
            </w:r>
            <w:r w:rsidRPr="00050F72">
              <w:rPr>
                <w:rFonts w:ascii="Arial" w:hAnsi="Arial" w:cs="Arial"/>
                <w:color w:val="FFFFFF"/>
                <w:sz w:val="18"/>
                <w:szCs w:val="18"/>
              </w:rPr>
              <w:tab/>
            </w:r>
          </w:p>
        </w:tc>
      </w:tr>
      <w:tr w:rsidR="008F5696" w:rsidRPr="00DB0F83" w14:paraId="49E8A360" w14:textId="77777777" w:rsidTr="00C2206B">
        <w:trPr>
          <w:trHeight w:val="981"/>
        </w:trPr>
        <w:tc>
          <w:tcPr>
            <w:tcW w:w="9155" w:type="dxa"/>
            <w:shd w:val="clear" w:color="auto" w:fill="auto"/>
            <w:vAlign w:val="center"/>
          </w:tcPr>
          <w:p w14:paraId="4C719095" w14:textId="77777777" w:rsidR="008F5696" w:rsidRPr="00050F72" w:rsidRDefault="008F5696" w:rsidP="00C2206B">
            <w:pPr>
              <w:outlineLvl w:val="0"/>
              <w:rPr>
                <w:rFonts w:ascii="Arial" w:hAnsi="Arial" w:cs="Arial"/>
                <w:sz w:val="18"/>
                <w:szCs w:val="18"/>
              </w:rPr>
            </w:pPr>
            <w:r w:rsidRPr="00050F72">
              <w:rPr>
                <w:rFonts w:ascii="Arial" w:hAnsi="Arial" w:cs="Arial"/>
                <w:b/>
                <w:sz w:val="18"/>
                <w:szCs w:val="18"/>
              </w:rPr>
              <w:t>Maja Lidke</w:t>
            </w:r>
          </w:p>
          <w:p w14:paraId="3BC47742" w14:textId="77777777" w:rsidR="008F5696" w:rsidRPr="00050F72" w:rsidRDefault="008F5696" w:rsidP="00C2206B">
            <w:pPr>
              <w:outlineLvl w:val="0"/>
              <w:rPr>
                <w:rFonts w:ascii="Arial" w:hAnsi="Arial" w:cs="Arial"/>
                <w:sz w:val="18"/>
                <w:szCs w:val="18"/>
              </w:rPr>
            </w:pPr>
            <w:r w:rsidRPr="00050F72">
              <w:rPr>
                <w:rFonts w:ascii="Arial" w:hAnsi="Arial" w:cs="Arial"/>
                <w:sz w:val="18"/>
                <w:szCs w:val="18"/>
              </w:rPr>
              <w:t>Europejski Fundusz Leasingowy</w:t>
            </w:r>
          </w:p>
          <w:p w14:paraId="7B1FF25E" w14:textId="77777777" w:rsidR="008F5696" w:rsidRPr="00050F72" w:rsidRDefault="008F5696" w:rsidP="00C2206B">
            <w:pPr>
              <w:rPr>
                <w:rFonts w:ascii="Arial" w:hAnsi="Arial" w:cs="Arial"/>
                <w:sz w:val="18"/>
                <w:szCs w:val="18"/>
              </w:rPr>
            </w:pPr>
            <w:r w:rsidRPr="00050F72">
              <w:rPr>
                <w:rFonts w:ascii="Arial" w:hAnsi="Arial" w:cs="Arial"/>
                <w:sz w:val="18"/>
                <w:szCs w:val="18"/>
              </w:rPr>
              <w:t>Tel.: 603 630 166</w:t>
            </w:r>
          </w:p>
          <w:p w14:paraId="13A206B9" w14:textId="77777777" w:rsidR="008F5696" w:rsidRPr="00050F72" w:rsidRDefault="008F5696" w:rsidP="00C2206B">
            <w:pPr>
              <w:outlineLvl w:val="0"/>
              <w:rPr>
                <w:rFonts w:ascii="Arial" w:hAnsi="Arial" w:cs="Arial"/>
                <w:b/>
                <w:sz w:val="18"/>
                <w:szCs w:val="18"/>
                <w:lang w:val="en-GB"/>
              </w:rPr>
            </w:pPr>
            <w:r w:rsidRPr="00050F72">
              <w:rPr>
                <w:rFonts w:ascii="Arial" w:hAnsi="Arial" w:cs="Arial"/>
                <w:sz w:val="18"/>
                <w:szCs w:val="18"/>
                <w:lang w:val="en-GB"/>
              </w:rPr>
              <w:t xml:space="preserve">E-mail: </w:t>
            </w:r>
            <w:hyperlink r:id="rId7" w:history="1">
              <w:r w:rsidRPr="00050F72">
                <w:rPr>
                  <w:rStyle w:val="Hipercze"/>
                  <w:rFonts w:ascii="Arial" w:hAnsi="Arial" w:cs="Arial"/>
                  <w:sz w:val="18"/>
                  <w:szCs w:val="18"/>
                  <w:lang w:val="en-GB"/>
                </w:rPr>
                <w:t>maja.lidke@efl.com.pl</w:t>
              </w:r>
            </w:hyperlink>
          </w:p>
        </w:tc>
      </w:tr>
    </w:tbl>
    <w:p w14:paraId="5F404EED" w14:textId="77777777" w:rsidR="00A05B17" w:rsidRDefault="00A05B17" w:rsidP="00A05B17">
      <w:pPr>
        <w:spacing w:line="360" w:lineRule="auto"/>
        <w:rPr>
          <w:rFonts w:ascii="Tahoma" w:hAnsi="Tahoma" w:cs="Tahoma"/>
          <w:b/>
          <w:color w:val="000000"/>
          <w:sz w:val="23"/>
          <w:szCs w:val="23"/>
          <w:shd w:val="clear" w:color="auto" w:fill="FFFFFF"/>
        </w:rPr>
      </w:pPr>
    </w:p>
    <w:p w14:paraId="07591E8B" w14:textId="00F57312" w:rsidR="00B62F34" w:rsidRPr="00B62F34" w:rsidRDefault="00B62F34" w:rsidP="00B62F34">
      <w:pPr>
        <w:tabs>
          <w:tab w:val="left" w:pos="6960"/>
        </w:tabs>
        <w:rPr>
          <w:rFonts w:ascii="Geomanist" w:hAnsi="Geomanist"/>
        </w:rPr>
      </w:pPr>
      <w:r>
        <w:rPr>
          <w:rFonts w:ascii="Geomanist" w:hAnsi="Geomanist"/>
        </w:rPr>
        <w:tab/>
      </w:r>
    </w:p>
    <w:sectPr w:rsidR="00B62F34" w:rsidRPr="00B62F34" w:rsidSect="00A61696">
      <w:headerReference w:type="default" r:id="rId8"/>
      <w:footerReference w:type="default" r:id="rId9"/>
      <w:pgSz w:w="11906" w:h="16838"/>
      <w:pgMar w:top="851" w:right="964" w:bottom="794" w:left="964"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70FD2" w14:textId="77777777" w:rsidR="00814EC9" w:rsidRDefault="00814EC9" w:rsidP="00A61696">
      <w:r>
        <w:separator/>
      </w:r>
    </w:p>
  </w:endnote>
  <w:endnote w:type="continuationSeparator" w:id="0">
    <w:p w14:paraId="0FAC3ED3" w14:textId="77777777" w:rsidR="00814EC9" w:rsidRDefault="00814EC9" w:rsidP="00A6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manist">
    <w:altName w:val="Corbel"/>
    <w:panose1 w:val="00000000000000000000"/>
    <w:charset w:val="00"/>
    <w:family w:val="modern"/>
    <w:notTrueType/>
    <w:pitch w:val="variable"/>
    <w:sig w:usb0="00000001" w:usb1="1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98143" w14:textId="3850707C" w:rsidR="00A61696" w:rsidRDefault="00EA11E6">
    <w:pPr>
      <w:pStyle w:val="Stopka"/>
    </w:pPr>
    <w:r>
      <w:rPr>
        <w:noProof/>
        <w:lang w:eastAsia="pl-PL"/>
      </w:rPr>
      <w:drawing>
        <wp:anchor distT="0" distB="0" distL="114300" distR="114300" simplePos="0" relativeHeight="251660288" behindDoc="0" locked="0" layoutInCell="1" allowOverlap="1" wp14:anchorId="6C53775D" wp14:editId="19F6B918">
          <wp:simplePos x="0" y="0"/>
          <wp:positionH relativeFrom="page">
            <wp:align>right</wp:align>
          </wp:positionH>
          <wp:positionV relativeFrom="paragraph">
            <wp:posOffset>-937246</wp:posOffset>
          </wp:positionV>
          <wp:extent cx="7553960" cy="1533511"/>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53351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04127" w14:textId="77777777" w:rsidR="00814EC9" w:rsidRDefault="00814EC9" w:rsidP="00A61696">
      <w:r>
        <w:separator/>
      </w:r>
    </w:p>
  </w:footnote>
  <w:footnote w:type="continuationSeparator" w:id="0">
    <w:p w14:paraId="2D0B7E68" w14:textId="77777777" w:rsidR="00814EC9" w:rsidRDefault="00814EC9" w:rsidP="00A61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6C240" w14:textId="7186C354" w:rsidR="00A61696" w:rsidRDefault="00A61696">
    <w:pPr>
      <w:pStyle w:val="Nagwek"/>
    </w:pPr>
    <w:r>
      <w:rPr>
        <w:noProof/>
        <w:lang w:eastAsia="pl-PL"/>
      </w:rPr>
      <w:drawing>
        <wp:anchor distT="0" distB="0" distL="114300" distR="114300" simplePos="0" relativeHeight="251659264" behindDoc="0" locked="0" layoutInCell="1" allowOverlap="1" wp14:anchorId="5A006972" wp14:editId="3A00BDC2">
          <wp:simplePos x="0" y="0"/>
          <wp:positionH relativeFrom="page">
            <wp:align>right</wp:align>
          </wp:positionH>
          <wp:positionV relativeFrom="paragraph">
            <wp:posOffset>-973455</wp:posOffset>
          </wp:positionV>
          <wp:extent cx="7535505" cy="1528549"/>
          <wp:effectExtent l="0" t="0" r="889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7535505" cy="152854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96"/>
    <w:rsid w:val="000747EE"/>
    <w:rsid w:val="0013036F"/>
    <w:rsid w:val="00214119"/>
    <w:rsid w:val="00294A97"/>
    <w:rsid w:val="002E16CA"/>
    <w:rsid w:val="003608BD"/>
    <w:rsid w:val="00397B28"/>
    <w:rsid w:val="004239FA"/>
    <w:rsid w:val="00454EAB"/>
    <w:rsid w:val="004C7F74"/>
    <w:rsid w:val="004D0172"/>
    <w:rsid w:val="00620072"/>
    <w:rsid w:val="007F0927"/>
    <w:rsid w:val="00814EC9"/>
    <w:rsid w:val="00817DA1"/>
    <w:rsid w:val="008D4592"/>
    <w:rsid w:val="008F5696"/>
    <w:rsid w:val="009112EC"/>
    <w:rsid w:val="00996314"/>
    <w:rsid w:val="00A05B17"/>
    <w:rsid w:val="00A61696"/>
    <w:rsid w:val="00B62F34"/>
    <w:rsid w:val="00BE5CDE"/>
    <w:rsid w:val="00C52E60"/>
    <w:rsid w:val="00CB67E3"/>
    <w:rsid w:val="00D4410E"/>
    <w:rsid w:val="00D97AD5"/>
    <w:rsid w:val="00EA11E6"/>
    <w:rsid w:val="00EE713C"/>
    <w:rsid w:val="00F030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1CE1A"/>
  <w15:docId w15:val="{3AD8DEC8-A052-4BE5-AD86-425A8713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4592"/>
    <w:pPr>
      <w:spacing w:after="0" w:line="240" w:lineRule="auto"/>
    </w:pPr>
    <w:rPr>
      <w:sz w:val="24"/>
      <w:szCs w:val="24"/>
    </w:rPr>
  </w:style>
  <w:style w:type="paragraph" w:styleId="Nagwek1">
    <w:name w:val="heading 1"/>
    <w:basedOn w:val="Normalny"/>
    <w:next w:val="Normalny"/>
    <w:link w:val="Nagwek1Znak"/>
    <w:uiPriority w:val="9"/>
    <w:qFormat/>
    <w:rsid w:val="00A6169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61696"/>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A61696"/>
    <w:pPr>
      <w:tabs>
        <w:tab w:val="center" w:pos="4536"/>
        <w:tab w:val="right" w:pos="9072"/>
      </w:tabs>
    </w:pPr>
    <w:rPr>
      <w:sz w:val="22"/>
      <w:szCs w:val="22"/>
    </w:rPr>
  </w:style>
  <w:style w:type="character" w:customStyle="1" w:styleId="NagwekZnak">
    <w:name w:val="Nagłówek Znak"/>
    <w:basedOn w:val="Domylnaczcionkaakapitu"/>
    <w:link w:val="Nagwek"/>
    <w:uiPriority w:val="99"/>
    <w:rsid w:val="00A61696"/>
  </w:style>
  <w:style w:type="paragraph" w:styleId="Stopka">
    <w:name w:val="footer"/>
    <w:basedOn w:val="Normalny"/>
    <w:link w:val="StopkaZnak"/>
    <w:uiPriority w:val="99"/>
    <w:unhideWhenUsed/>
    <w:rsid w:val="00A61696"/>
    <w:pPr>
      <w:tabs>
        <w:tab w:val="center" w:pos="4536"/>
        <w:tab w:val="right" w:pos="9072"/>
      </w:tabs>
    </w:pPr>
    <w:rPr>
      <w:sz w:val="22"/>
      <w:szCs w:val="22"/>
    </w:rPr>
  </w:style>
  <w:style w:type="character" w:customStyle="1" w:styleId="StopkaZnak">
    <w:name w:val="Stopka Znak"/>
    <w:basedOn w:val="Domylnaczcionkaakapitu"/>
    <w:link w:val="Stopka"/>
    <w:uiPriority w:val="99"/>
    <w:rsid w:val="00A61696"/>
  </w:style>
  <w:style w:type="paragraph" w:styleId="Bezodstpw">
    <w:name w:val="No Spacing"/>
    <w:uiPriority w:val="1"/>
    <w:qFormat/>
    <w:rsid w:val="00A05B17"/>
    <w:pPr>
      <w:spacing w:after="0" w:line="240" w:lineRule="auto"/>
    </w:pPr>
  </w:style>
  <w:style w:type="character" w:styleId="Hipercze">
    <w:name w:val="Hyperlink"/>
    <w:basedOn w:val="Domylnaczcionkaakapitu"/>
    <w:uiPriority w:val="99"/>
    <w:unhideWhenUsed/>
    <w:rsid w:val="008F56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ja.lidke@efl.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2FC0C-699F-4F43-BB5B-62148C3C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811</Words>
  <Characters>4870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Kaminski</dc:creator>
  <cp:keywords/>
  <dc:description/>
  <cp:lastModifiedBy>Maja Lidke</cp:lastModifiedBy>
  <cp:revision>6</cp:revision>
  <dcterms:created xsi:type="dcterms:W3CDTF">2021-04-14T11:07:00Z</dcterms:created>
  <dcterms:modified xsi:type="dcterms:W3CDTF">2021-04-15T12:38:00Z</dcterms:modified>
</cp:coreProperties>
</file>