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690499D7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2B2FB1">
        <w:rPr>
          <w:rFonts w:ascii="Tahoma" w:eastAsia="Tahoma" w:hAnsi="Tahoma" w:cs="Tahoma"/>
          <w:color w:val="808080"/>
          <w:sz w:val="20"/>
          <w:szCs w:val="20"/>
        </w:rPr>
        <w:t>26</w:t>
      </w:r>
      <w:r w:rsidR="00775CAB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2B2FB1">
        <w:rPr>
          <w:rFonts w:ascii="Tahoma" w:eastAsia="Tahoma" w:hAnsi="Tahoma" w:cs="Tahoma"/>
          <w:color w:val="808080"/>
          <w:sz w:val="20"/>
          <w:szCs w:val="20"/>
        </w:rPr>
        <w:t>lipca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2EAE0942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:rsidRPr="00775CAB" w14:paraId="18FE4A91" w14:textId="77777777">
        <w:tc>
          <w:tcPr>
            <w:tcW w:w="7159" w:type="dxa"/>
          </w:tcPr>
          <w:p w14:paraId="50DAD41A" w14:textId="689C7085" w:rsidR="00D824D3" w:rsidRPr="00775CAB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  <w:highlight w:val="white"/>
              </w:rPr>
            </w:pPr>
            <w:r w:rsidRPr="00775CAB">
              <w:rPr>
                <w:rFonts w:ascii="Tahoma" w:eastAsia="Tahoma" w:hAnsi="Tahoma" w:cs="Tahoma"/>
                <w:bCs/>
                <w:color w:val="7F7F7F"/>
                <w:sz w:val="24"/>
                <w:szCs w:val="24"/>
                <w:highlight w:val="white"/>
              </w:rPr>
              <w:t>#</w:t>
            </w:r>
            <w:r w:rsidR="00775CAB" w:rsidRPr="00775CAB">
              <w:rPr>
                <w:rFonts w:ascii="Tahoma" w:eastAsia="Tahoma" w:hAnsi="Tahoma" w:cs="Tahoma"/>
                <w:bCs/>
                <w:color w:val="7F7F7F"/>
                <w:sz w:val="24"/>
                <w:szCs w:val="24"/>
                <w:highlight w:val="white"/>
              </w:rPr>
              <w:t>wynikifinansowe</w:t>
            </w:r>
            <w:r w:rsidR="004E7219">
              <w:rPr>
                <w:rFonts w:ascii="Tahoma" w:eastAsia="Tahoma" w:hAnsi="Tahoma" w:cs="Tahoma"/>
                <w:bCs/>
                <w:color w:val="7F7F7F"/>
                <w:sz w:val="24"/>
                <w:szCs w:val="24"/>
                <w:highlight w:val="white"/>
              </w:rPr>
              <w:t xml:space="preserve"> </w:t>
            </w:r>
          </w:p>
          <w:p w14:paraId="7607BB6A" w14:textId="77777777" w:rsidR="00D824D3" w:rsidRPr="00775CAB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  <w:highlight w:val="white"/>
              </w:rPr>
            </w:pPr>
          </w:p>
          <w:p w14:paraId="3D71A51E" w14:textId="44072B44" w:rsidR="00D51FBF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775CAB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30048CD" w14:textId="03B90FDE" w:rsidR="00D609D1" w:rsidRPr="00D51FBF" w:rsidRDefault="00775CAB" w:rsidP="0040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 w:rsidR="00406D9D"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 w:rsidR="00406D9D">
              <w:rPr>
                <w:rFonts w:ascii="Tahoma" w:eastAsia="Tahoma" w:hAnsi="Tahoma" w:cs="Tahoma"/>
                <w:b/>
                <w:color w:val="FFC000"/>
              </w:rPr>
              <w:br/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406D9D">
              <w:rPr>
                <w:rFonts w:ascii="Tahoma" w:eastAsia="Tahoma" w:hAnsi="Tahoma" w:cs="Tahoma"/>
                <w:b/>
                <w:color w:val="FFC000"/>
              </w:rPr>
              <w:t xml:space="preserve">1 </w:t>
            </w:r>
            <w:r w:rsidR="002B2FB1">
              <w:rPr>
                <w:rFonts w:ascii="Tahoma" w:eastAsia="Tahoma" w:hAnsi="Tahoma" w:cs="Tahoma"/>
                <w:b/>
                <w:color w:val="FFC000"/>
              </w:rPr>
              <w:t>półrocze</w:t>
            </w:r>
            <w:r w:rsidR="00406D9D">
              <w:rPr>
                <w:rFonts w:ascii="Tahoma" w:eastAsia="Tahoma" w:hAnsi="Tahoma" w:cs="Tahoma"/>
                <w:b/>
                <w:color w:val="FFC000"/>
              </w:rPr>
              <w:t xml:space="preserve"> 2021 roku</w:t>
            </w:r>
          </w:p>
          <w:p w14:paraId="15912541" w14:textId="77777777" w:rsidR="00775CAB" w:rsidRPr="00775CAB" w:rsidRDefault="00775CAB" w:rsidP="00D6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</w:p>
          <w:p w14:paraId="4ABD537A" w14:textId="377AAE1B" w:rsidR="00D265B4" w:rsidRPr="00D265B4" w:rsidRDefault="00775CAB" w:rsidP="00D265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półroczu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przychody ze sprzedaży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Grup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Budimex 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wyniosły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  <w:t>3 241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  <w:r w:rsidR="00F72D5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 działalności kontynuowanej 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osiągnął poziom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</w:t>
            </w:r>
            <w:r w:rsidR="007143D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 (+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="007143D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22</w:t>
            </w:r>
            <w:r w:rsidR="00406D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</w:p>
          <w:p w14:paraId="77402025" w14:textId="6B66BAF3" w:rsidR="002B2FB1" w:rsidRDefault="00D93DDA" w:rsidP="002B2F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EF28B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brutto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BE1816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 </w:t>
            </w:r>
            <w:r w:rsidR="00E80F4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działalności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kontynuowanej 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Grupy uległa istotnej poprawie i osiągnęła poziom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8,0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(w porównaniu do</w:t>
            </w:r>
            <w:r w:rsidR="00EF28B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2,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poł.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2020 roku</w:t>
            </w:r>
            <w:r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)</w:t>
            </w:r>
            <w:r w:rsidR="00AC51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. Jest to efekt </w:t>
            </w:r>
            <w:bookmarkStart w:id="0" w:name="_Hlk78020647"/>
            <w:r w:rsidR="0095559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m.in</w:t>
            </w:r>
            <w:r w:rsidR="009555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F2F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</w:t>
            </w:r>
            <w:r w:rsidR="009555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rozliczenia wyniku na transakcjach pomiędzy segmentem budowlanym i deweloperskim w wysokości 68 milionów złotych </w:t>
            </w:r>
            <w:r w:rsidR="00B471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wynikającym </w:t>
            </w:r>
            <w:r w:rsidR="009555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ze sprzedaż</w:t>
            </w:r>
            <w:r w:rsidR="00B471E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95559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 Nieruchomości</w:t>
            </w:r>
            <w:bookmarkEnd w:id="0"/>
          </w:p>
          <w:p w14:paraId="2A732D7C" w14:textId="2A7A25C6" w:rsidR="00FF5A97" w:rsidRPr="00FF5A97" w:rsidRDefault="00FF5A97" w:rsidP="00FF5A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Wyniki segmentu deweloperskiego oraz zysk zrealizowany na transakcji sprzedaży Budimex Nieruchomości prezentowany jest w skonsolidowanym rachunku zysków i strat jako działalność zaniechana (zarówno za 1 poł. 2021 roku</w:t>
            </w:r>
            <w:r w:rsidR="002666B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jak i w danych porównywalnych za 1 poł. 2020 roku) </w:t>
            </w:r>
          </w:p>
          <w:p w14:paraId="0B785733" w14:textId="6D7B681E" w:rsidR="00775CAB" w:rsidRPr="00775CAB" w:rsidRDefault="00705048" w:rsidP="00893D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Pozyskanie kontraktów o wartości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niemal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 w:rsidR="00893D6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ów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złotych pozwoliło utrzymać portfel zamówień na wysokim poziomie 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</w:t>
            </w:r>
            <w:r w:rsidR="002B2FB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ów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</w:p>
          <w:p w14:paraId="22B5F062" w14:textId="5A26E3C4" w:rsidR="00775CAB" w:rsidRDefault="002B2FB1" w:rsidP="00893D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Pozycja gotówkowa netto wyniosła </w:t>
            </w:r>
            <w:r w:rsidR="00775CAB"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775CAB" w:rsidRPr="00775CAB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miliarda złotych</w:t>
            </w:r>
            <w:r w:rsidR="001415F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i </w:t>
            </w:r>
            <w:r w:rsidR="004E51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obejmowała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F972A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środki </w:t>
            </w:r>
            <w:r w:rsidR="00C4308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 tytułu sprzedaży Budimex Nieruchomości</w:t>
            </w:r>
          </w:p>
          <w:p w14:paraId="3C9D00EF" w14:textId="77777777" w:rsidR="00C32C83" w:rsidRPr="00775CAB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77AB6023" w14:textId="1C6C2E4F" w:rsidR="007143D6" w:rsidRDefault="00F972A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Jesteśmy bardzo zadowoleni z wyników Grupy Budimex w pierwszym półroczu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1 roku. </w:t>
            </w:r>
            <w:r w:rsidR="00C43084" w:rsidRP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Pomimo trudnych warunków rynkowych odnotowaliśmy znaczący w</w:t>
            </w:r>
            <w:r w:rsidR="00452E75" w:rsidRP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zrost z</w:t>
            </w:r>
            <w:r w:rsidR="00452E75">
              <w:rPr>
                <w:rFonts w:ascii="Tahoma" w:eastAsia="Tahoma" w:hAnsi="Tahoma" w:cs="Tahoma"/>
                <w:color w:val="808080"/>
                <w:sz w:val="18"/>
                <w:szCs w:val="18"/>
              </w:rPr>
              <w:t>ysku</w:t>
            </w:r>
            <w:r w:rsidR="005B039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743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brutto</w:t>
            </w:r>
            <w:r w:rsidR="005B039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ramach działalności kontynuowanej (czyli budowlanej i usługowej) z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91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w </w:t>
            </w:r>
            <w:r w:rsidR="00D504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pierwszym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2020 roku do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260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w </w:t>
            </w:r>
            <w:r w:rsidR="00EC21E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pierwszym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2021 roku przy jednoczesn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ym wzroście 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z </w:t>
            </w:r>
            <w:r w:rsidR="007143D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2,6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do </w:t>
            </w:r>
            <w:r w:rsidR="007143D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8,0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D70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72D5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Tak dobry rezultat jest efektem poprawy wyniku części budowlanej, usługowej, a także rozliczenia wyniku na transakcjach pomiędzy segmentem budowlanym i deweloperskim w wysokości 68 milionów złotych w związku ze sprzedażą Budimex Nieruchomości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660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Sfinalizowana pod koniec maja transakcja zamyka proces przeglądu opcji strategicznych segmentu deweloperskiego w Grupie Budimex. </w:t>
            </w:r>
            <w:r w:rsidR="00E645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Ostateczna c</w:t>
            </w:r>
            <w:r w:rsidR="00D660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ena sprzedaży nie uległa zmianie w stosunku do pierwotnych założeń</w:t>
            </w:r>
            <w:r w:rsidR="004226D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D660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F5A9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 ł</w:t>
            </w:r>
            <w:r w:rsidR="00D660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ączny wpływ transakcji na zysk netto Grupy </w:t>
            </w:r>
            <w:r w:rsidR="00FF5A9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wyniósł</w:t>
            </w:r>
            <w:r w:rsidR="00D660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542 miliony złotych. </w:t>
            </w:r>
          </w:p>
          <w:p w14:paraId="47448682" w14:textId="65AE789C" w:rsidR="00EF28BA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143D6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52DEB7E2" wp14:editId="0CDAE969">
                  <wp:simplePos x="0" y="0"/>
                  <wp:positionH relativeFrom="column">
                    <wp:posOffset>303657</wp:posOffset>
                  </wp:positionH>
                  <wp:positionV relativeFrom="paragraph">
                    <wp:posOffset>168656</wp:posOffset>
                  </wp:positionV>
                  <wp:extent cx="3635375" cy="2574925"/>
                  <wp:effectExtent l="0" t="0" r="317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375" cy="257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04B61A8D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048F244B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1C21D986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F206872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0D6D55FC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85AC7B5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1055607F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57851AB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824CE0D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8CE318F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CEA6134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728907E0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5C82657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DA16CA4" w14:textId="77777777" w:rsidR="002C0A13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O</w:t>
            </w:r>
            <w:r w:rsidRPr="00FD14F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dnotowaliśmy </w:t>
            </w:r>
            <w:r w:rsidR="0056066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niewielki </w:t>
            </w:r>
            <w:r w:rsidRPr="00FD14F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spadek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przychodów ze sprzedaży Grupy</w:t>
            </w:r>
            <w:r w:rsidR="0056066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452E7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przy czym przychody w segmencie usługowym wzrosły o </w:t>
            </w:r>
            <w:r w:rsidR="007143D6">
              <w:rPr>
                <w:rFonts w:ascii="Tahoma" w:eastAsia="Tahoma" w:hAnsi="Tahoma" w:cs="Tahoma"/>
                <w:color w:val="808080"/>
                <w:sz w:val="18"/>
                <w:szCs w:val="18"/>
              </w:rPr>
              <w:t>29,9</w:t>
            </w:r>
            <w:r w:rsidR="00452E75">
              <w:rPr>
                <w:rFonts w:ascii="Tahoma" w:eastAsia="Tahoma" w:hAnsi="Tahoma" w:cs="Tahoma"/>
                <w:color w:val="808080"/>
                <w:sz w:val="18"/>
                <w:szCs w:val="18"/>
              </w:rPr>
              <w:t>%</w:t>
            </w:r>
            <w:r w:rsidR="00662B0E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="00452E7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a w obszarze budowlanym spadły o </w:t>
            </w:r>
            <w:r w:rsidR="007143D6">
              <w:rPr>
                <w:rFonts w:ascii="Tahoma" w:eastAsia="Tahoma" w:hAnsi="Tahoma" w:cs="Tahoma"/>
                <w:color w:val="808080"/>
                <w:sz w:val="18"/>
                <w:szCs w:val="18"/>
              </w:rPr>
              <w:t>10,4</w:t>
            </w:r>
            <w:r w:rsidR="00452E7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%. </w:t>
            </w:r>
            <w:r w:rsidR="007143D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1B6D913E" w14:textId="7D3944AB" w:rsidR="00712B2C" w:rsidRDefault="006B342C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98DD67" wp14:editId="02E8F12A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2449830</wp:posOffset>
                      </wp:positionV>
                      <wp:extent cx="1206500" cy="495300"/>
                      <wp:effectExtent l="0" t="0" r="1270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093665" w14:textId="5D76B199" w:rsidR="006B342C" w:rsidRPr="006B342C" w:rsidRDefault="006B342C" w:rsidP="006B34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B342C">
                                    <w:rPr>
                                      <w:color w:val="FF0000"/>
                                    </w:rPr>
                                    <w:t>Dane 1H dostępne 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 w:rsidRPr="006B342C">
                                    <w:rPr>
                                      <w:color w:val="FF0000"/>
                                    </w:rPr>
                                    <w:t xml:space="preserve"> lipca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D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74.25pt;margin-top:192.9pt;width:9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" fillcolor="white [3201]" strokeweight=".5pt">
                      <v:textbox>
                        <w:txbxContent>
                          <w:p w14:paraId="5A093665" w14:textId="5D76B199" w:rsidR="006B342C" w:rsidRPr="006B342C" w:rsidRDefault="006B342C" w:rsidP="006B34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342C">
                              <w:rPr>
                                <w:color w:val="FF0000"/>
                              </w:rPr>
                              <w:t>Dane 1H dostępne 2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B342C">
                              <w:rPr>
                                <w:color w:val="FF0000"/>
                              </w:rPr>
                              <w:t xml:space="preserve"> lipca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3D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775CAB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</w:t>
            </w:r>
            <w:r w:rsidR="00310980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1 </w:t>
            </w:r>
            <w:r w:rsidR="00B36AE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półroczu</w:t>
            </w:r>
            <w:r w:rsidR="00310980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310980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</w:t>
            </w:r>
            <w:r w:rsidR="00775CAB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 produkcja budowlano-montażowa </w:t>
            </w:r>
            <w:r w:rsidR="00775CAB" w:rsidRPr="00D51161">
              <w:rPr>
                <w:rFonts w:ascii="Tahoma" w:eastAsia="Tahoma" w:hAnsi="Tahoma" w:cs="Tahoma"/>
                <w:color w:val="808080"/>
                <w:sz w:val="18"/>
                <w:szCs w:val="18"/>
              </w:rPr>
              <w:t>(w cenach bieżących)</w:t>
            </w:r>
            <w:r w:rsidR="00775CAB" w:rsidRPr="00D5116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wyniosła 45,4 miliarda złotych </w:t>
            </w:r>
            <w:r w:rsidR="0080729F" w:rsidRP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była na poziomie roku ubiegłego</w:t>
            </w:r>
            <w:r w:rsidR="00775CAB" w:rsidRP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775CAB" w:rsidRPr="00D511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775CAB" w:rsidRPr="00D511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budynków produkcja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sprzedana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zmniejszyła</w:t>
            </w:r>
            <w:r w:rsidR="00AC51B1" w:rsidRPr="00D511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75CAB" w:rsidRPr="00D511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się o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2,8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%, przy czym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obszarze budownictwa mieszkaniowego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odnotowano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 o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3,8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37B8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w części nie</w:t>
            </w:r>
            <w:r w:rsidR="00BC32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mieszkaniowej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spadek o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6,7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D5116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31098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072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obszarze infrastrukturalnym produkcja budowlano-montażowa wzrosła o 3,2%. </w:t>
            </w:r>
          </w:p>
          <w:p w14:paraId="4B0D7F5C" w14:textId="2B9E747B" w:rsidR="00C96B2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8F0F8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15B0CA46" wp14:editId="69793477">
                  <wp:simplePos x="0" y="0"/>
                  <wp:positionH relativeFrom="column">
                    <wp:posOffset>296215</wp:posOffset>
                  </wp:positionH>
                  <wp:positionV relativeFrom="paragraph">
                    <wp:posOffset>208610</wp:posOffset>
                  </wp:positionV>
                  <wp:extent cx="3784600" cy="2286000"/>
                  <wp:effectExtent l="0" t="0" r="635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A447BE" w14:textId="4B4EDDC4" w:rsidR="00D660C1" w:rsidRDefault="00D660C1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E85F3A8" w14:textId="77777777" w:rsidR="0080729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64448364" w14:textId="77777777" w:rsidR="0080729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239DC377" w14:textId="77777777" w:rsidR="0080729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6C5B1C5E" w14:textId="77777777" w:rsidR="0080729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21B0869" w14:textId="7E5C42A6" w:rsidR="005B039B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>S</w:t>
            </w:r>
            <w:r w:rsidR="00775CAB"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przedaż segmentu budowlanego Grupy Budimex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wyniosła</w:t>
            </w:r>
            <w:r w:rsidR="00775CAB"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4308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3 029</w:t>
            </w:r>
            <w:r w:rsidR="00775CAB"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milionów złotych</w:t>
            </w:r>
            <w:r w:rsidR="00424AD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(-10,4% r/r) notują</w:t>
            </w:r>
            <w:r w:rsidR="006908D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</w:t>
            </w:r>
            <w:r w:rsidR="00424AD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przy tym znaczną poprawę rentowności. </w:t>
            </w:r>
          </w:p>
          <w:p w14:paraId="7E8ACD40" w14:textId="6C3A2ECC" w:rsidR="00D504A3" w:rsidRDefault="002666B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666B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785B2E46" wp14:editId="0016A2D1">
                  <wp:simplePos x="0" y="0"/>
                  <wp:positionH relativeFrom="column">
                    <wp:posOffset>261257</wp:posOffset>
                  </wp:positionH>
                  <wp:positionV relativeFrom="paragraph">
                    <wp:posOffset>130629</wp:posOffset>
                  </wp:positionV>
                  <wp:extent cx="3639820" cy="2303780"/>
                  <wp:effectExtent l="0" t="0" r="0" b="127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820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A6436" w14:textId="6C2A63D6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B071B8F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1B1D36F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</w:p>
          <w:p w14:paraId="63A2D32B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F092633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45E10C2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AB9D528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AD88D76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19550B3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3496667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5E5F35D" w14:textId="77777777" w:rsidR="00B36AEC" w:rsidRDefault="00B36AE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9928F5" w14:textId="60A3B975" w:rsidR="00EF28BA" w:rsidRDefault="00424AD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</w:t>
            </w:r>
            <w:r w:rsidR="001652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pierwszej połowie roku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nieco niższa niż w </w:t>
            </w:r>
            <w:r w:rsidR="001652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analogicznym okresie roku poprzedniego</w:t>
            </w:r>
            <w:r w:rsidR="002E47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652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F0F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1652F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652FF" w:rsidRPr="008F0F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dynamika spadku jest </w:t>
            </w:r>
            <w:r w:rsidR="002C0A1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poniżej wskaźnika rynkowego</w:t>
            </w:r>
            <w:r w:rsidR="008F0F82" w:rsidRPr="008F0F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Wynika to z faktu, iż k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ilk</w:t>
            </w:r>
            <w:r w:rsidR="00E229C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istotnych </w:t>
            </w:r>
            <w:r w:rsidR="00E229C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zleceń z obszaru drogowego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229C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znajduje się obecnie </w:t>
            </w:r>
            <w:r w:rsidR="00452E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fazie projektowania</w:t>
            </w:r>
            <w:r w:rsidR="00EF28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lub oczekujemy na wydanie zezwolenia na realizację inwestycji drogowej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Powoduje to</w:t>
            </w:r>
            <w:r w:rsidR="00D911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że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produkcja</w:t>
            </w:r>
            <w:r w:rsidR="00EF28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takich kontraktach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jest</w:t>
            </w:r>
            <w:r w:rsidR="00EF28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relatywnie niewielk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AB579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Ponadto obserwujemy spadek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wolumenów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segmencie budownictwa ogólnego, gdzie</w:t>
            </w:r>
            <w:r w:rsidR="00D23E5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mając na uwadze aktualny portfel i kontrakty w poczekalni,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licz</w:t>
            </w:r>
            <w:r w:rsidR="00AB061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my na wzrosty w drugiej połowie roku. </w:t>
            </w:r>
          </w:p>
          <w:p w14:paraId="371EE460" w14:textId="1F85635F" w:rsidR="00EF28BA" w:rsidRDefault="00EF28B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5933363" w14:textId="040E94A6" w:rsidR="00D51FBF" w:rsidRDefault="00EF28BA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</w:t>
            </w:r>
            <w:r w:rsidR="002B6F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segmentu budowlanego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4,8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i była zauważalnie wyższa niż w </w:t>
            </w:r>
            <w:r w:rsidR="00E80F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pierwszym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2020 roku, kiedy wyniosła 2,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</w:t>
            </w:r>
            <w:r w:rsidR="00777A9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Odczuwamy o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bserwowany </w:t>
            </w:r>
            <w:r w:rsidR="00777A9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istotny </w:t>
            </w:r>
            <w:r w:rsidR="00C43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 cen materiałów</w:t>
            </w:r>
            <w:r w:rsidR="00777A9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Jednak d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zięki mechanizmom częściowej indeksacji, </w:t>
            </w:r>
            <w:r w:rsidR="00B5735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także naszej polityce zabezpieczania cen kluczowych asortymentów i ostrożnemu podejściu do </w:t>
            </w:r>
            <w:proofErr w:type="spellStart"/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ofertacji</w:t>
            </w:r>
            <w:proofErr w:type="spellEnd"/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na większości projektów jesteśmy w stanie utrzymać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planowaną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pierwotnie marżę kontraktową. Dodatkowo, ze względu na zakończenie trudnych kontraktów energetycznych, </w:t>
            </w:r>
            <w:r w:rsidR="004E51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zakładamy utrzymanie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94D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dobrej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rentowności portfela zamówień</w:t>
            </w:r>
            <w:r w:rsidR="004E51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perspektywie </w:t>
            </w:r>
            <w:r w:rsidR="00B94D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przynajmniej </w:t>
            </w:r>
            <w:r w:rsidR="004E51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kilku kwartałów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11665AF8" w14:textId="20BEA02E" w:rsidR="00775CAB" w:rsidRPr="00775CAB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E04BF26" w14:textId="77777777" w:rsidR="00867B13" w:rsidRDefault="00887135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</w:t>
            </w:r>
            <w:r w:rsidR="00B36AE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2021 roku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pozyskaliśmy kontrakty o wartości </w:t>
            </w:r>
            <w:r w:rsidR="00B36AE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2 92</w:t>
            </w:r>
            <w:r w:rsidR="000644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D156F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złotych, natomiast w </w:t>
            </w:r>
            <w:r w:rsidR="00D504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poczekalni</w:t>
            </w:r>
            <w:r w:rsidR="00D504A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mamy kolejne zlecenia </w:t>
            </w:r>
            <w:r w:rsidR="004D19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warte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przeszło 3</w:t>
            </w:r>
            <w:r w:rsidR="0031098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</w:t>
            </w:r>
            <w:r w:rsidR="004D19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To mniejszy poziom niż rok wcześniej, ale naszym priorytetem</w:t>
            </w:r>
            <w:r w:rsidR="001D6D4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D6D4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niezmiennie,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dbanie o rentowność portfela zamówień.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ajwiększe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projekty z szansą na podpisanie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linia kolejowa E75 Białystok – Ełk (587 milionów złotych,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wybór najkorzystniejszej oferty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droga ekspresowa S6 Leśnice – </w:t>
            </w:r>
            <w:proofErr w:type="spellStart"/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Bożepole</w:t>
            </w:r>
            <w:proofErr w:type="spellEnd"/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Wielkie (584 miliony złotych,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wybór najkorzystniejszej oferty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8A617CA" w14:textId="3E69614C" w:rsidR="00BE0EAA" w:rsidRDefault="004E514D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W ostatnich dniach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zawarliśmy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ważny dla </w:t>
            </w:r>
            <w:r w:rsidR="008156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segmentu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kubaturowego kontrakt na Budowę Zakładu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Frito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Lay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Polsce o wartości 343 milionów złotych, </w:t>
            </w:r>
            <w:r w:rsidR="008156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który pozwoli na pełne wykorzystanie naszego potencjału w tym obszarze. </w:t>
            </w:r>
          </w:p>
          <w:p w14:paraId="34495C88" w14:textId="77777777" w:rsidR="00BE0EAA" w:rsidRDefault="00BE0EAA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8C6D81A" w14:textId="2C51B2A9" w:rsidR="00330932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koniec </w:t>
            </w:r>
            <w:r w:rsidR="00FF3A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czerwca</w:t>
            </w: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</w:t>
            </w:r>
            <w:r w:rsidR="00E545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wartość portfela zamówień osiągnęła </w:t>
            </w:r>
            <w:r w:rsidR="00D156F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12 973</w:t>
            </w: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156F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milion</w:t>
            </w:r>
            <w:r w:rsidR="002D0A7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złotych. </w:t>
            </w:r>
            <w:r w:rsidR="002B6F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Ten poziom daje nam komfort operacyjny i zapewnia pełne wykorzystanie zasobów w tym roku. Po uwzględnieniu kontraktów w poczekalni, które planujemy podpisać w najbliższych miesiącach, mamy w dużej mierze zabezpieczony front robót do końca 2022 roku. Dlatego selektywnie podchodzimy do nowych ofert, rzetelnie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2B6F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odpowiedzialnie kalkulując kosztorysy, szczególnie w otoczeniu dynamicznie zmieniających się cen. </w:t>
            </w:r>
          </w:p>
          <w:p w14:paraId="4082C4DE" w14:textId="77777777" w:rsidR="00291889" w:rsidRDefault="00291889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7983DC6" w14:textId="6BC674E7" w:rsidR="00775CAB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</w:t>
            </w:r>
            <w:r w:rsidR="00E5451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1 </w:t>
            </w:r>
            <w:r w:rsidR="00B36AE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półrocze</w:t>
            </w:r>
            <w:r w:rsidR="00E5451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E5451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</w:t>
            </w:r>
            <w:r w:rsidR="00662B0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u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pozycją gotówkową netto na poziomie 2,</w:t>
            </w:r>
            <w:r w:rsidR="00E52A4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</w:t>
            </w:r>
            <w:r w:rsidR="00B36AE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. 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czerwcu, 13 rok z rzędu wypłaciliśmy dywidendę w wysokości</w:t>
            </w:r>
            <w:r w:rsidR="002C4D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426 milionów złotych, co </w:t>
            </w:r>
            <w:r w:rsidR="002B6F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dało</w:t>
            </w:r>
            <w:r w:rsidR="002C4D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911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16,70 zł </w:t>
            </w:r>
            <w:r w:rsidR="002C4D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przeliczeniu na </w:t>
            </w:r>
            <w:r w:rsidR="00BE0E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D911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jedną </w:t>
            </w:r>
            <w:r w:rsidR="002C4D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akcję</w:t>
            </w:r>
            <w:r w:rsidR="00D911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2C4D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B6F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Pl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anujemy wypłatę zaliczki na poczet dywidendy za 2021 rok. Jednostkowy zysk netto Budimex SA za pierwsze półrocze wyniósł 762 miliony złotych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amieramy wypłacić maksymalnie połowę tej kwoty, czyli nie więcej niż 381 milionów złotych. </w:t>
            </w:r>
          </w:p>
          <w:p w14:paraId="20A11986" w14:textId="5F5CE8D8" w:rsidR="0001727E" w:rsidRDefault="0001727E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834018B" w14:textId="0BA98F33" w:rsidR="00B36AEC" w:rsidRPr="00B36AEC" w:rsidRDefault="0001727E" w:rsidP="0001727E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26041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Grupy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FBSerwis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B69C2" id="Pole tekstowe 12" o:spid="_x0000_s1027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Grupy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FBSerwis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C4D3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W 1 </w:t>
            </w:r>
            <w:r w:rsidR="00B36AEC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półroczu</w:t>
            </w:r>
            <w:r w:rsidR="002C4D3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2021 roku Grupa FBSerwis kontynuowała trendy wzrostowe </w:t>
            </w:r>
            <w:r w:rsidR="00DB09F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istotnie </w:t>
            </w:r>
            <w:r w:rsidR="002C4D3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zwiekszając przychody ze sprzedaży </w:t>
            </w:r>
            <w:r w:rsidR="00DB09F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i zysk brutto. </w:t>
            </w:r>
          </w:p>
          <w:p w14:paraId="0E5B09C5" w14:textId="2868EEE3" w:rsidR="0001727E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B36AE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drawing>
                <wp:anchor distT="107950" distB="144145" distL="114300" distR="114300" simplePos="0" relativeHeight="251716608" behindDoc="0" locked="0" layoutInCell="1" allowOverlap="1" wp14:anchorId="692783B4" wp14:editId="2604AA9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75565</wp:posOffset>
                  </wp:positionV>
                  <wp:extent cx="3636000" cy="1674000"/>
                  <wp:effectExtent l="0" t="0" r="3175" b="254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0" cy="16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BEF2C3" w14:textId="4007AB55" w:rsidR="003D66BD" w:rsidRDefault="003D66BD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4052A4B" w14:textId="77777777" w:rsidR="00B36AEC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1" w:name="_Hlk70347627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</w:p>
          <w:p w14:paraId="044D528A" w14:textId="77777777" w:rsidR="00B36AEC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E3A793C" w14:textId="77777777" w:rsidR="00B36AEC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B98D947" w14:textId="77777777" w:rsidR="00B36AEC" w:rsidRDefault="00B36AEC" w:rsidP="0001727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3141F4D" w14:textId="62F9B987" w:rsidR="00BE0EAA" w:rsidRPr="00BF1ADB" w:rsidRDefault="00DB09FE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2" w:name="_Hlk77692426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Dynamika przychodów ze sprzedaży segmentu usługowego</w:t>
            </w:r>
            <w:r w:rsidR="00E007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wyniosła 29,9%. Przychody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Grupy </w:t>
            </w:r>
            <w:proofErr w:type="spellStart"/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kluczowym aktywem w ramach 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obszaru usług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wyniosły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359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wzrosły w stosunku do ubiegłego roku 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29,8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Jest to efekt 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większych wolumenów w segmencie zagospodarowania odpadów. Zysk brutto wyniósł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53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miliony złotych w porównaniu do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35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w pierwszym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="00887135"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ubiegłego. </w:t>
            </w:r>
            <w:bookmarkEnd w:id="1"/>
          </w:p>
          <w:p w14:paraId="6D79B10E" w14:textId="3777475F" w:rsidR="00BE0EAA" w:rsidRDefault="00BE0EAA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7980C9B" w14:textId="77777777" w:rsidR="00867B13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Patrzymy optymistycznie na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potencjał wynikowy i </w:t>
            </w:r>
            <w:r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perspektywy rozwoju Grupy </w:t>
            </w:r>
            <w:proofErr w:type="spellStart"/>
            <w:r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najbliższym czasie.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Grupa systematycznie poprawia rentowność i zwiększa poziom przychodów ze sprzedaży. </w:t>
            </w:r>
          </w:p>
          <w:p w14:paraId="75F9DF8D" w14:textId="7D644BA5" w:rsidR="00815619" w:rsidRPr="00681D99" w:rsidRDefault="00552AF7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Naszym celem jest, aby do 2025 roku Grupa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osiągnęła przychody rzędu miliarda złotych m.in. dzięki akwizycjom. Aktualnie analizujemy kilka projektów, głównie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tych zwiększających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potencjał </w:t>
            </w:r>
            <w:r w:rsidR="00AC51B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spółki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obszarze zagospodarowania odpadów. Możliwe, że do końca tego roku przeprowadzimy jedną z takich akwizycji. </w:t>
            </w:r>
          </w:p>
          <w:bookmarkEnd w:id="2"/>
          <w:p w14:paraId="78B44991" w14:textId="77777777" w:rsidR="00815619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B755312" w14:textId="74065782" w:rsidR="003C6385" w:rsidRDefault="00775CAB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Wchodzimy </w:t>
            </w:r>
            <w:r w:rsidR="00AB579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sezon budowlany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portfelem zamówień na poziomie </w:t>
            </w:r>
            <w:r w:rsidR="0088713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E52A4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13</w:t>
            </w:r>
            <w:r w:rsidR="0001727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miliard</w:t>
            </w:r>
            <w:r w:rsidR="00E52A4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ów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</w:t>
            </w:r>
            <w:r w:rsidR="008D629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i patrzymy z optymizmem </w:t>
            </w:r>
            <w:r w:rsidR="001D6D4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na </w:t>
            </w:r>
            <w:r w:rsidR="008D6295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najbliższe kwartały</w:t>
            </w:r>
            <w:r w:rsidRPr="002604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  <w:r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57D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Analizując</w:t>
            </w:r>
            <w:r w:rsidR="0001727E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aktualny portfel</w:t>
            </w:r>
            <w:r w:rsidR="008871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zlecenia z szansą na podpisanie</w:t>
            </w:r>
            <w:r w:rsidR="0001727E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57D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nasz harmonogram robót </w:t>
            </w:r>
            <w:r w:rsidR="0001727E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spodziewamy się, że </w:t>
            </w:r>
            <w:r w:rsidR="008D629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druga połowa roku przyniesie</w:t>
            </w:r>
            <w:r w:rsidR="00C252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01727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poprawę 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rocznej </w:t>
            </w:r>
            <w:r w:rsidR="0001727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dynamiki przychodów ze sprzedaży</w:t>
            </w:r>
            <w:r w:rsidR="00B904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9A6A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</w:t>
            </w:r>
            <w:r w:rsidR="009A6A6A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iągle dużą niewiadomą jest dalszy przebieg pandemii i jej wpływ na funkcjonowanie gospodarki, w tym na dostępność kadry i ciągłość dostaw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9A6A6A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</w:t>
            </w:r>
            <w:r w:rsidR="009A6A6A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latego cały czas dokładnie monitorujemy sytuację i na bieżąco weryfikujemy nasze założenia operacyjne. </w:t>
            </w:r>
            <w:r w:rsidR="009A6A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obliczu istotnych wahań cen materiałów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A6A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skoncentrujemy się na 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kontrol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optymalizacj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="00E52A4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kosztów, która pozwoli </w:t>
            </w:r>
            <w:r w:rsidR="00F30C9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zminimalizować wpływ negatywnych czynników rynkowych i w konsekwencji umożliwi osiągnięcie rentowności </w:t>
            </w:r>
            <w:r w:rsidR="0001727E" w:rsidRPr="00775C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powyżej wskaźników rynkowych</w:t>
            </w:r>
            <w:r w:rsidR="008156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52C64BBE" w14:textId="3FE715AC" w:rsidR="00775CAB" w:rsidRDefault="00775CAB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88DD8A2" w14:textId="32581B27" w:rsidR="00FD63B7" w:rsidRDefault="009E34F6" w:rsidP="00775CA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Kolejne kwartały powinny przynieść również intensyfikację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ofertacji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szczególnie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w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segmencie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infrastruktur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alnym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Zgodnie z zapowiedziami PKP PLK jeszcze do końca 2021 </w:t>
            </w:r>
            <w:r w:rsidR="00552AF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zostaną ogłoszone przetargi o wartości ponad 10 miliardów złotych</w:t>
            </w:r>
            <w:r w:rsidR="004226D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w dalszej perspektywie nakłady na budowę i modernizację szlaków kolejowych mają osiągać około 10 miliardów złotych rocznie. Grupa Budimex o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 kilku lat konsekwentnie 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buduje 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pozycję i kompetencje w obszarze realizacji kontraktów kolejowych</w:t>
            </w:r>
            <w:r w:rsidR="004D6574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6574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zięki 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zdobytej </w:t>
            </w:r>
            <w:r w:rsidR="004D6574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wiedzy i doświadczeniu 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jesteśmy obecnie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gronie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największych generalnych wykonawców w tym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segmencie</w:t>
            </w:r>
            <w:r w:rsidR="009934D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FD63B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osiągając </w:t>
            </w:r>
            <w:r w:rsidR="008B17C9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blisko </w:t>
            </w:r>
            <w:r w:rsidR="002606E5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dwudziestoprocentowy </w:t>
            </w:r>
            <w:r w:rsidR="00FD63B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udział </w:t>
            </w:r>
            <w:r w:rsidR="00875D9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FD63B7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rynku przetargów dla PKP PLK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ostatnich latach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C7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zainwestowaliśmy ponad 120 milionów złotych w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nowoczesną bazę sprzętu torowego i trakcyjnego, która zapewnia nam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możliwość efektywnej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realizacji najbardziej </w:t>
            </w:r>
            <w:r w:rsidR="00AD783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wymagających</w:t>
            </w:r>
            <w:r w:rsidR="004F5F2B" w:rsidRP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kontraktów.</w:t>
            </w:r>
            <w:r w:rsidR="00BF54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3E2B9474" w14:textId="77777777" w:rsidR="00247108" w:rsidRDefault="00247108" w:rsidP="004D578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E09BAE4" w14:textId="77CF00EC" w:rsidR="00247108" w:rsidRDefault="004226D7" w:rsidP="004D578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Wysokie saldo pozycji gotówkowej, uwzględniające środki pozyskane ze sprzedaży Budimex Nieruchomości, </w:t>
            </w:r>
            <w:r w:rsidR="0024710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zachęca nas do </w:t>
            </w:r>
            <w:r w:rsidR="00380BE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analizy możliwości </w:t>
            </w:r>
            <w:r w:rsidR="0024710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wejścia w nowe przedsięwzięcia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tym w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projekty farm fotowoltaicznych oraz wiatrowych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gdzie</w:t>
            </w:r>
            <w:r w:rsidR="0024710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mamy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już 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doświadczenie 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jako generalny wykonawca. Analizujemy pierwsze </w:t>
            </w:r>
            <w:r w:rsidR="009C7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takie projekty patrząc przy tym na</w:t>
            </w:r>
            <w:r w:rsidR="0082427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wymagane</w:t>
            </w:r>
            <w:r w:rsidR="009C7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zaangażowanie kapitałowe, rentowność, ryzyka oraz potencjalne synergie, które wniosłyby do Grupy Budimex</w:t>
            </w:r>
            <w:r w:rsidR="00552AF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24710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Konsekwentnie pracujemy nad pozyskaniem pierwszych kontraktów na rynkach ościennych</w:t>
            </w:r>
            <w:r w:rsidR="009C7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za nami pierwsze złożone oferty. </w:t>
            </w:r>
            <w:r w:rsidR="00CD57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Stawiamy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przede wszystkim </w:t>
            </w:r>
            <w:r w:rsidR="00CD57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kontrakty drogowe i kolejowe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oferty składamy w pierwszej kolejności na </w:t>
            </w:r>
            <w:r w:rsidR="00DB09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Słowacji</w:t>
            </w:r>
            <w:r w:rsidR="00F00C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w Czechach i Niemczech.</w:t>
            </w:r>
            <w:r w:rsidR="009C7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Dążymy do realizacji inwestycji o wartości kilkaset milionów złotych rocznie</w:t>
            </w:r>
            <w:r w:rsidR="003B53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CD57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pozwoli </w:t>
            </w:r>
            <w:r w:rsidR="009E34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powiększyć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9E34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jednocześnie</w:t>
            </w:r>
            <w:r w:rsidR="00CD57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zdywersyfikować nasze portfolio w obszarze budowlanym. </w:t>
            </w:r>
          </w:p>
          <w:p w14:paraId="44BE80C7" w14:textId="77777777" w:rsidR="00D824D3" w:rsidRPr="00775CAB" w:rsidRDefault="00D824D3" w:rsidP="003C63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C000"/>
              </w:rPr>
            </w:pPr>
          </w:p>
        </w:tc>
        <w:tc>
          <w:tcPr>
            <w:tcW w:w="3118" w:type="dxa"/>
          </w:tcPr>
          <w:p w14:paraId="5B5F2F21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775CAB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D826E9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5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D826E9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6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BFCB" w14:textId="77777777" w:rsidR="00D826E9" w:rsidRDefault="00D826E9">
      <w:pPr>
        <w:spacing w:after="0" w:line="240" w:lineRule="auto"/>
      </w:pPr>
      <w:r>
        <w:separator/>
      </w:r>
    </w:p>
  </w:endnote>
  <w:endnote w:type="continuationSeparator" w:id="0">
    <w:p w14:paraId="39F3DF16" w14:textId="77777777" w:rsidR="00D826E9" w:rsidRDefault="00D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5B24" w14:textId="77777777" w:rsidR="00D826E9" w:rsidRDefault="00D826E9">
      <w:pPr>
        <w:spacing w:after="0" w:line="240" w:lineRule="auto"/>
      </w:pPr>
      <w:r>
        <w:separator/>
      </w:r>
    </w:p>
  </w:footnote>
  <w:footnote w:type="continuationSeparator" w:id="0">
    <w:p w14:paraId="70E58C13" w14:textId="77777777" w:rsidR="00D826E9" w:rsidRDefault="00D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1727E"/>
    <w:rsid w:val="00027A52"/>
    <w:rsid w:val="00044B01"/>
    <w:rsid w:val="000602EE"/>
    <w:rsid w:val="00061F85"/>
    <w:rsid w:val="000644F6"/>
    <w:rsid w:val="00083EB2"/>
    <w:rsid w:val="0008411D"/>
    <w:rsid w:val="00084D2C"/>
    <w:rsid w:val="000935B7"/>
    <w:rsid w:val="00093C5B"/>
    <w:rsid w:val="00096E60"/>
    <w:rsid w:val="000A0D19"/>
    <w:rsid w:val="000A4C94"/>
    <w:rsid w:val="000B570C"/>
    <w:rsid w:val="000B7985"/>
    <w:rsid w:val="00106347"/>
    <w:rsid w:val="00120F42"/>
    <w:rsid w:val="00125739"/>
    <w:rsid w:val="00131EA2"/>
    <w:rsid w:val="001415FC"/>
    <w:rsid w:val="0015239C"/>
    <w:rsid w:val="001652FF"/>
    <w:rsid w:val="0016660D"/>
    <w:rsid w:val="00171E71"/>
    <w:rsid w:val="00176B23"/>
    <w:rsid w:val="00180DCA"/>
    <w:rsid w:val="001906A3"/>
    <w:rsid w:val="00191813"/>
    <w:rsid w:val="001A4687"/>
    <w:rsid w:val="001A5E03"/>
    <w:rsid w:val="001B53AC"/>
    <w:rsid w:val="001C6BED"/>
    <w:rsid w:val="001C78CD"/>
    <w:rsid w:val="001D6D47"/>
    <w:rsid w:val="001E5F16"/>
    <w:rsid w:val="001E6465"/>
    <w:rsid w:val="001F3AC1"/>
    <w:rsid w:val="001F540C"/>
    <w:rsid w:val="00207D56"/>
    <w:rsid w:val="0021267C"/>
    <w:rsid w:val="00241059"/>
    <w:rsid w:val="002451CA"/>
    <w:rsid w:val="00247108"/>
    <w:rsid w:val="002572B2"/>
    <w:rsid w:val="0026041E"/>
    <w:rsid w:val="002606E5"/>
    <w:rsid w:val="002666B2"/>
    <w:rsid w:val="00271E13"/>
    <w:rsid w:val="00276417"/>
    <w:rsid w:val="002831E6"/>
    <w:rsid w:val="00286464"/>
    <w:rsid w:val="00287756"/>
    <w:rsid w:val="00291889"/>
    <w:rsid w:val="002925D8"/>
    <w:rsid w:val="002A6E36"/>
    <w:rsid w:val="002B24AA"/>
    <w:rsid w:val="002B2FB1"/>
    <w:rsid w:val="002B6F72"/>
    <w:rsid w:val="002C0A13"/>
    <w:rsid w:val="002C4D36"/>
    <w:rsid w:val="002D0A73"/>
    <w:rsid w:val="002E348B"/>
    <w:rsid w:val="002E4732"/>
    <w:rsid w:val="002F2A15"/>
    <w:rsid w:val="0030310D"/>
    <w:rsid w:val="00310980"/>
    <w:rsid w:val="00312C4B"/>
    <w:rsid w:val="00314819"/>
    <w:rsid w:val="0031612E"/>
    <w:rsid w:val="00330932"/>
    <w:rsid w:val="00335E0E"/>
    <w:rsid w:val="00337C34"/>
    <w:rsid w:val="00343F41"/>
    <w:rsid w:val="00360B0E"/>
    <w:rsid w:val="00374264"/>
    <w:rsid w:val="00377098"/>
    <w:rsid w:val="00380BE2"/>
    <w:rsid w:val="0038504E"/>
    <w:rsid w:val="003858D5"/>
    <w:rsid w:val="003A0B81"/>
    <w:rsid w:val="003B2692"/>
    <w:rsid w:val="003B5344"/>
    <w:rsid w:val="003C2CDF"/>
    <w:rsid w:val="003C6385"/>
    <w:rsid w:val="003C69DD"/>
    <w:rsid w:val="003D4B50"/>
    <w:rsid w:val="003D66BD"/>
    <w:rsid w:val="003F0366"/>
    <w:rsid w:val="00406D9D"/>
    <w:rsid w:val="0042081D"/>
    <w:rsid w:val="004226D7"/>
    <w:rsid w:val="00423508"/>
    <w:rsid w:val="00424ADA"/>
    <w:rsid w:val="0044439A"/>
    <w:rsid w:val="004510B2"/>
    <w:rsid w:val="00452E75"/>
    <w:rsid w:val="00453309"/>
    <w:rsid w:val="004609BE"/>
    <w:rsid w:val="00467362"/>
    <w:rsid w:val="004763AA"/>
    <w:rsid w:val="004A002F"/>
    <w:rsid w:val="004A25A7"/>
    <w:rsid w:val="004A4455"/>
    <w:rsid w:val="004B19B6"/>
    <w:rsid w:val="004B4F60"/>
    <w:rsid w:val="004D0CC7"/>
    <w:rsid w:val="004D1903"/>
    <w:rsid w:val="004D578B"/>
    <w:rsid w:val="004D57DB"/>
    <w:rsid w:val="004D5A7C"/>
    <w:rsid w:val="004D6574"/>
    <w:rsid w:val="004E039F"/>
    <w:rsid w:val="004E053D"/>
    <w:rsid w:val="004E25E2"/>
    <w:rsid w:val="004E514D"/>
    <w:rsid w:val="004E664B"/>
    <w:rsid w:val="004E7219"/>
    <w:rsid w:val="004F5F2B"/>
    <w:rsid w:val="0050050B"/>
    <w:rsid w:val="0050128F"/>
    <w:rsid w:val="00513957"/>
    <w:rsid w:val="00522CB9"/>
    <w:rsid w:val="00523279"/>
    <w:rsid w:val="0052392A"/>
    <w:rsid w:val="00523965"/>
    <w:rsid w:val="0053503C"/>
    <w:rsid w:val="005403F2"/>
    <w:rsid w:val="00543269"/>
    <w:rsid w:val="0055003D"/>
    <w:rsid w:val="00552AF7"/>
    <w:rsid w:val="00553801"/>
    <w:rsid w:val="0056066B"/>
    <w:rsid w:val="00563A0B"/>
    <w:rsid w:val="005717E9"/>
    <w:rsid w:val="00584EAB"/>
    <w:rsid w:val="005A5043"/>
    <w:rsid w:val="005B039B"/>
    <w:rsid w:val="005B3CF6"/>
    <w:rsid w:val="005B5026"/>
    <w:rsid w:val="005C58F7"/>
    <w:rsid w:val="005C7276"/>
    <w:rsid w:val="005F1CF1"/>
    <w:rsid w:val="005F379B"/>
    <w:rsid w:val="005F4BD2"/>
    <w:rsid w:val="005F6D3C"/>
    <w:rsid w:val="005F75ED"/>
    <w:rsid w:val="005F7CFF"/>
    <w:rsid w:val="00607CC8"/>
    <w:rsid w:val="00624E80"/>
    <w:rsid w:val="006335D0"/>
    <w:rsid w:val="00636F6F"/>
    <w:rsid w:val="0064310D"/>
    <w:rsid w:val="00651C6F"/>
    <w:rsid w:val="00660924"/>
    <w:rsid w:val="00660A27"/>
    <w:rsid w:val="00661E49"/>
    <w:rsid w:val="00662B0E"/>
    <w:rsid w:val="0067655C"/>
    <w:rsid w:val="00681D99"/>
    <w:rsid w:val="00684AEF"/>
    <w:rsid w:val="00685FB2"/>
    <w:rsid w:val="006908D3"/>
    <w:rsid w:val="00691304"/>
    <w:rsid w:val="006913B6"/>
    <w:rsid w:val="006B12A4"/>
    <w:rsid w:val="006B342C"/>
    <w:rsid w:val="006B4545"/>
    <w:rsid w:val="006B7429"/>
    <w:rsid w:val="006D5288"/>
    <w:rsid w:val="006D640A"/>
    <w:rsid w:val="00702E01"/>
    <w:rsid w:val="00703F19"/>
    <w:rsid w:val="00705048"/>
    <w:rsid w:val="0071028C"/>
    <w:rsid w:val="00710E33"/>
    <w:rsid w:val="00712B2C"/>
    <w:rsid w:val="007143D6"/>
    <w:rsid w:val="00717A8C"/>
    <w:rsid w:val="00725A96"/>
    <w:rsid w:val="00726BDF"/>
    <w:rsid w:val="00734DF8"/>
    <w:rsid w:val="007429FA"/>
    <w:rsid w:val="00756852"/>
    <w:rsid w:val="00762BB9"/>
    <w:rsid w:val="007724D1"/>
    <w:rsid w:val="00775CAB"/>
    <w:rsid w:val="00777A92"/>
    <w:rsid w:val="007A6067"/>
    <w:rsid w:val="007B4EE7"/>
    <w:rsid w:val="007D5978"/>
    <w:rsid w:val="007D6975"/>
    <w:rsid w:val="007D790E"/>
    <w:rsid w:val="007E19BC"/>
    <w:rsid w:val="007F4369"/>
    <w:rsid w:val="007F506E"/>
    <w:rsid w:val="007F54CB"/>
    <w:rsid w:val="00803A9E"/>
    <w:rsid w:val="00804DC5"/>
    <w:rsid w:val="00806625"/>
    <w:rsid w:val="0080729F"/>
    <w:rsid w:val="00811901"/>
    <w:rsid w:val="00815619"/>
    <w:rsid w:val="00824271"/>
    <w:rsid w:val="008373EA"/>
    <w:rsid w:val="00841029"/>
    <w:rsid w:val="00850757"/>
    <w:rsid w:val="0085210D"/>
    <w:rsid w:val="0086463D"/>
    <w:rsid w:val="00867B13"/>
    <w:rsid w:val="00875D93"/>
    <w:rsid w:val="00887135"/>
    <w:rsid w:val="00890BCD"/>
    <w:rsid w:val="00893D6E"/>
    <w:rsid w:val="00895F6D"/>
    <w:rsid w:val="008A6A8C"/>
    <w:rsid w:val="008B17C9"/>
    <w:rsid w:val="008C2D2B"/>
    <w:rsid w:val="008C3396"/>
    <w:rsid w:val="008D6295"/>
    <w:rsid w:val="008E179B"/>
    <w:rsid w:val="008F0F82"/>
    <w:rsid w:val="00903035"/>
    <w:rsid w:val="009060CB"/>
    <w:rsid w:val="00934E3C"/>
    <w:rsid w:val="00935CAC"/>
    <w:rsid w:val="009412FA"/>
    <w:rsid w:val="00950989"/>
    <w:rsid w:val="0095559D"/>
    <w:rsid w:val="00985437"/>
    <w:rsid w:val="00986024"/>
    <w:rsid w:val="0099010B"/>
    <w:rsid w:val="009934D7"/>
    <w:rsid w:val="009A0BA1"/>
    <w:rsid w:val="009A6A6A"/>
    <w:rsid w:val="009B24AE"/>
    <w:rsid w:val="009B5EAF"/>
    <w:rsid w:val="009C79F3"/>
    <w:rsid w:val="009C7D4A"/>
    <w:rsid w:val="009C7EB1"/>
    <w:rsid w:val="009D744F"/>
    <w:rsid w:val="009E34F6"/>
    <w:rsid w:val="009F768E"/>
    <w:rsid w:val="00A13CA8"/>
    <w:rsid w:val="00A2774D"/>
    <w:rsid w:val="00A427E8"/>
    <w:rsid w:val="00A508CB"/>
    <w:rsid w:val="00A66652"/>
    <w:rsid w:val="00A70255"/>
    <w:rsid w:val="00A94DDE"/>
    <w:rsid w:val="00A95921"/>
    <w:rsid w:val="00AA6F3B"/>
    <w:rsid w:val="00AB0617"/>
    <w:rsid w:val="00AB2DD9"/>
    <w:rsid w:val="00AB5794"/>
    <w:rsid w:val="00AC51B1"/>
    <w:rsid w:val="00AD1A09"/>
    <w:rsid w:val="00AD7834"/>
    <w:rsid w:val="00AE43FD"/>
    <w:rsid w:val="00AE4646"/>
    <w:rsid w:val="00AE7510"/>
    <w:rsid w:val="00AF4889"/>
    <w:rsid w:val="00B011E4"/>
    <w:rsid w:val="00B11EAE"/>
    <w:rsid w:val="00B133ED"/>
    <w:rsid w:val="00B36AEC"/>
    <w:rsid w:val="00B37B89"/>
    <w:rsid w:val="00B40E99"/>
    <w:rsid w:val="00B45602"/>
    <w:rsid w:val="00B471EF"/>
    <w:rsid w:val="00B50CA0"/>
    <w:rsid w:val="00B51709"/>
    <w:rsid w:val="00B5735A"/>
    <w:rsid w:val="00B63B5B"/>
    <w:rsid w:val="00B669D5"/>
    <w:rsid w:val="00B72AF4"/>
    <w:rsid w:val="00B76DEA"/>
    <w:rsid w:val="00B83EAA"/>
    <w:rsid w:val="00B90474"/>
    <w:rsid w:val="00B94D5E"/>
    <w:rsid w:val="00BB20C3"/>
    <w:rsid w:val="00BB37BF"/>
    <w:rsid w:val="00BB5EFD"/>
    <w:rsid w:val="00BB6BF7"/>
    <w:rsid w:val="00BC3261"/>
    <w:rsid w:val="00BD708C"/>
    <w:rsid w:val="00BE0EAA"/>
    <w:rsid w:val="00BE1816"/>
    <w:rsid w:val="00BF1497"/>
    <w:rsid w:val="00BF1ADB"/>
    <w:rsid w:val="00BF2F6F"/>
    <w:rsid w:val="00BF549F"/>
    <w:rsid w:val="00BF55EE"/>
    <w:rsid w:val="00C06355"/>
    <w:rsid w:val="00C1161C"/>
    <w:rsid w:val="00C11B8B"/>
    <w:rsid w:val="00C1552F"/>
    <w:rsid w:val="00C220E3"/>
    <w:rsid w:val="00C2526F"/>
    <w:rsid w:val="00C2719B"/>
    <w:rsid w:val="00C32C83"/>
    <w:rsid w:val="00C43084"/>
    <w:rsid w:val="00C45404"/>
    <w:rsid w:val="00C51318"/>
    <w:rsid w:val="00C56073"/>
    <w:rsid w:val="00C611C9"/>
    <w:rsid w:val="00C71D6B"/>
    <w:rsid w:val="00C743F6"/>
    <w:rsid w:val="00C81D11"/>
    <w:rsid w:val="00C81E1B"/>
    <w:rsid w:val="00C82D9C"/>
    <w:rsid w:val="00C83974"/>
    <w:rsid w:val="00C84E31"/>
    <w:rsid w:val="00C874E5"/>
    <w:rsid w:val="00C96B2F"/>
    <w:rsid w:val="00CC52EC"/>
    <w:rsid w:val="00CD57DA"/>
    <w:rsid w:val="00CE1ED2"/>
    <w:rsid w:val="00D156F0"/>
    <w:rsid w:val="00D23E56"/>
    <w:rsid w:val="00D265B4"/>
    <w:rsid w:val="00D31DC8"/>
    <w:rsid w:val="00D47FF3"/>
    <w:rsid w:val="00D504A3"/>
    <w:rsid w:val="00D51161"/>
    <w:rsid w:val="00D5155E"/>
    <w:rsid w:val="00D51FBF"/>
    <w:rsid w:val="00D603CB"/>
    <w:rsid w:val="00D609D1"/>
    <w:rsid w:val="00D63EA5"/>
    <w:rsid w:val="00D660C1"/>
    <w:rsid w:val="00D67FAC"/>
    <w:rsid w:val="00D72565"/>
    <w:rsid w:val="00D824D3"/>
    <w:rsid w:val="00D826E9"/>
    <w:rsid w:val="00D911F2"/>
    <w:rsid w:val="00D93DDA"/>
    <w:rsid w:val="00D93F38"/>
    <w:rsid w:val="00D942B1"/>
    <w:rsid w:val="00DA12A6"/>
    <w:rsid w:val="00DB09FE"/>
    <w:rsid w:val="00DB1AAB"/>
    <w:rsid w:val="00DC08D2"/>
    <w:rsid w:val="00DD0598"/>
    <w:rsid w:val="00DD2632"/>
    <w:rsid w:val="00DD7855"/>
    <w:rsid w:val="00DE0B69"/>
    <w:rsid w:val="00DE3C90"/>
    <w:rsid w:val="00DE3D22"/>
    <w:rsid w:val="00DE5AC6"/>
    <w:rsid w:val="00DF6F79"/>
    <w:rsid w:val="00E0076A"/>
    <w:rsid w:val="00E11DAD"/>
    <w:rsid w:val="00E229C5"/>
    <w:rsid w:val="00E31F2A"/>
    <w:rsid w:val="00E33BD7"/>
    <w:rsid w:val="00E45030"/>
    <w:rsid w:val="00E52A46"/>
    <w:rsid w:val="00E5451A"/>
    <w:rsid w:val="00E55A63"/>
    <w:rsid w:val="00E645EB"/>
    <w:rsid w:val="00E7157F"/>
    <w:rsid w:val="00E71F38"/>
    <w:rsid w:val="00E762B6"/>
    <w:rsid w:val="00E80F4B"/>
    <w:rsid w:val="00E92562"/>
    <w:rsid w:val="00E94DE1"/>
    <w:rsid w:val="00EB1D28"/>
    <w:rsid w:val="00EB40E2"/>
    <w:rsid w:val="00EC21EA"/>
    <w:rsid w:val="00EE53F4"/>
    <w:rsid w:val="00EE667C"/>
    <w:rsid w:val="00EF28BA"/>
    <w:rsid w:val="00EF2D8F"/>
    <w:rsid w:val="00F00CA9"/>
    <w:rsid w:val="00F04AEE"/>
    <w:rsid w:val="00F110BA"/>
    <w:rsid w:val="00F11899"/>
    <w:rsid w:val="00F16B5D"/>
    <w:rsid w:val="00F20985"/>
    <w:rsid w:val="00F2191E"/>
    <w:rsid w:val="00F21BA7"/>
    <w:rsid w:val="00F30C90"/>
    <w:rsid w:val="00F41795"/>
    <w:rsid w:val="00F50280"/>
    <w:rsid w:val="00F56A92"/>
    <w:rsid w:val="00F64BAE"/>
    <w:rsid w:val="00F65CEF"/>
    <w:rsid w:val="00F72D5F"/>
    <w:rsid w:val="00F972A2"/>
    <w:rsid w:val="00FA2F9E"/>
    <w:rsid w:val="00FA36B8"/>
    <w:rsid w:val="00FB0F22"/>
    <w:rsid w:val="00FB3D83"/>
    <w:rsid w:val="00FC1BEE"/>
    <w:rsid w:val="00FC7783"/>
    <w:rsid w:val="00FD01B0"/>
    <w:rsid w:val="00FD14F3"/>
    <w:rsid w:val="00FD63B7"/>
    <w:rsid w:val="00FE2F6B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3</cp:revision>
  <cp:lastPrinted>2021-07-26T06:21:00Z</cp:lastPrinted>
  <dcterms:created xsi:type="dcterms:W3CDTF">2021-07-26T06:21:00Z</dcterms:created>
  <dcterms:modified xsi:type="dcterms:W3CDTF">2021-07-26T06:22:00Z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