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7DA1" w14:textId="77777777" w:rsidR="005D57A6" w:rsidRPr="00260A41" w:rsidRDefault="005D57A6" w:rsidP="00260A41">
      <w:pPr>
        <w:spacing w:after="0" w:line="276" w:lineRule="auto"/>
        <w:rPr>
          <w:rFonts w:ascii="Calibri" w:hAnsi="Calibri" w:cs="Arial"/>
          <w:sz w:val="20"/>
        </w:rPr>
      </w:pPr>
      <w:r w:rsidRPr="00260A41">
        <w:rPr>
          <w:rFonts w:ascii="Calibri" w:hAnsi="Calibri" w:cs="Arial"/>
          <w:sz w:val="20"/>
        </w:rPr>
        <w:t>Informacja prasowa</w:t>
      </w:r>
    </w:p>
    <w:p w14:paraId="5C49C792" w14:textId="075E2092" w:rsidR="00260A41" w:rsidRDefault="005D57A6" w:rsidP="00260A41">
      <w:pPr>
        <w:spacing w:after="120" w:line="276" w:lineRule="auto"/>
        <w:rPr>
          <w:rFonts w:ascii="Calibri" w:hAnsi="Calibri" w:cs="Arial"/>
          <w:sz w:val="20"/>
        </w:rPr>
      </w:pPr>
      <w:r w:rsidRPr="00260A41">
        <w:rPr>
          <w:rFonts w:ascii="Calibri" w:hAnsi="Calibri" w:cs="Arial"/>
          <w:sz w:val="20"/>
        </w:rPr>
        <w:t xml:space="preserve">Wrocław, </w:t>
      </w:r>
      <w:r w:rsidR="00FB6AB2">
        <w:rPr>
          <w:rFonts w:ascii="Calibri" w:hAnsi="Calibri" w:cs="Arial"/>
          <w:sz w:val="20"/>
        </w:rPr>
        <w:t>11</w:t>
      </w:r>
      <w:bookmarkStart w:id="0" w:name="_GoBack"/>
      <w:bookmarkEnd w:id="0"/>
      <w:r w:rsidR="00B601DD">
        <w:rPr>
          <w:rFonts w:ascii="Calibri" w:hAnsi="Calibri" w:cs="Arial"/>
          <w:sz w:val="20"/>
        </w:rPr>
        <w:t xml:space="preserve"> sierpnia</w:t>
      </w:r>
      <w:r w:rsidRPr="00260A41">
        <w:rPr>
          <w:rFonts w:ascii="Calibri" w:hAnsi="Calibri" w:cs="Arial"/>
          <w:sz w:val="20"/>
        </w:rPr>
        <w:t xml:space="preserve"> 2021</w:t>
      </w:r>
    </w:p>
    <w:p w14:paraId="734342B4" w14:textId="77777777" w:rsidR="008B4EDC" w:rsidRPr="00260A41" w:rsidRDefault="008B4EDC" w:rsidP="00260A41">
      <w:pPr>
        <w:spacing w:after="120" w:line="276" w:lineRule="auto"/>
        <w:rPr>
          <w:rFonts w:ascii="Calibri" w:hAnsi="Calibri" w:cs="Arial"/>
          <w:sz w:val="20"/>
        </w:rPr>
      </w:pPr>
    </w:p>
    <w:p w14:paraId="6375D436" w14:textId="4195A403" w:rsidR="005D57A6" w:rsidRPr="00B825FB" w:rsidRDefault="005D57A6" w:rsidP="00260A41">
      <w:pPr>
        <w:spacing w:after="120" w:line="276" w:lineRule="auto"/>
        <w:rPr>
          <w:rFonts w:ascii="Calibri" w:hAnsi="Calibri" w:cs="Arial"/>
          <w:b/>
          <w:color w:val="7F7F7F" w:themeColor="text1" w:themeTint="80"/>
          <w:sz w:val="24"/>
        </w:rPr>
      </w:pPr>
      <w:r w:rsidRPr="00B825FB">
        <w:rPr>
          <w:rFonts w:ascii="Calibri" w:hAnsi="Calibri" w:cs="Arial"/>
          <w:b/>
          <w:color w:val="7F7F7F" w:themeColor="text1" w:themeTint="80"/>
          <w:sz w:val="24"/>
        </w:rPr>
        <w:t>B</w:t>
      </w:r>
      <w:r w:rsidR="00260A41" w:rsidRPr="00B825FB">
        <w:rPr>
          <w:rFonts w:ascii="Calibri" w:hAnsi="Calibri" w:cs="Arial"/>
          <w:b/>
          <w:color w:val="7F7F7F" w:themeColor="text1" w:themeTint="80"/>
          <w:sz w:val="24"/>
        </w:rPr>
        <w:t>ranżowy B</w:t>
      </w:r>
      <w:r w:rsidRPr="00B825FB">
        <w:rPr>
          <w:rFonts w:ascii="Calibri" w:hAnsi="Calibri" w:cs="Arial"/>
          <w:b/>
          <w:color w:val="7F7F7F" w:themeColor="text1" w:themeTint="80"/>
          <w:sz w:val="24"/>
        </w:rPr>
        <w:t>arometr EFL na I</w:t>
      </w:r>
      <w:r w:rsidR="00B601DD">
        <w:rPr>
          <w:rFonts w:ascii="Calibri" w:hAnsi="Calibri" w:cs="Arial"/>
          <w:b/>
          <w:color w:val="7F7F7F" w:themeColor="text1" w:themeTint="80"/>
          <w:sz w:val="24"/>
        </w:rPr>
        <w:t>II</w:t>
      </w:r>
      <w:r w:rsidRPr="00B825FB">
        <w:rPr>
          <w:rFonts w:ascii="Calibri" w:hAnsi="Calibri" w:cs="Arial"/>
          <w:b/>
          <w:color w:val="7F7F7F" w:themeColor="text1" w:themeTint="80"/>
          <w:sz w:val="24"/>
        </w:rPr>
        <w:t xml:space="preserve"> kwartał 2021</w:t>
      </w:r>
    </w:p>
    <w:p w14:paraId="3700C682" w14:textId="356AA3A9" w:rsidR="00B601DD" w:rsidRPr="002E108A" w:rsidRDefault="00B41784" w:rsidP="00B601DD">
      <w:pPr>
        <w:pStyle w:val="NormalnyWeb"/>
        <w:shd w:val="clear" w:color="auto" w:fill="FEFEFE"/>
        <w:spacing w:before="0" w:beforeAutospacing="0" w:after="240" w:afterAutospacing="0"/>
        <w:rPr>
          <w:rStyle w:val="Pogrubienie"/>
          <w:rFonts w:ascii="Calibri" w:hAnsi="Calibri"/>
          <w:color w:val="007856"/>
          <w:sz w:val="32"/>
          <w:szCs w:val="22"/>
        </w:rPr>
      </w:pPr>
      <w:r>
        <w:rPr>
          <w:rStyle w:val="Pogrubienie"/>
          <w:rFonts w:ascii="Calibri" w:hAnsi="Calibri"/>
          <w:color w:val="007856"/>
          <w:sz w:val="32"/>
          <w:szCs w:val="22"/>
        </w:rPr>
        <w:t xml:space="preserve">Gorący sezon w HoReCa </w:t>
      </w:r>
      <w:r w:rsidR="00D6522C">
        <w:rPr>
          <w:rStyle w:val="Pogrubienie"/>
          <w:rFonts w:ascii="Calibri" w:hAnsi="Calibri"/>
          <w:color w:val="007856"/>
          <w:sz w:val="32"/>
          <w:szCs w:val="22"/>
        </w:rPr>
        <w:t>między trzecią a czwartą falą pandemii. Hotelarze i restauratorzy w najlepszych nastrojach od ponad 2 lat</w:t>
      </w:r>
    </w:p>
    <w:p w14:paraId="33CC3594" w14:textId="37EE4197" w:rsidR="00B601DD" w:rsidRDefault="00E17419" w:rsidP="00B601DD">
      <w:pPr>
        <w:spacing w:after="120"/>
        <w:jc w:val="both"/>
        <w:rPr>
          <w:rFonts w:ascii="Calibri" w:hAnsi="Calibri" w:cs="Arial"/>
          <w:b/>
          <w:color w:val="26744D"/>
        </w:rPr>
      </w:pPr>
      <w:r>
        <w:rPr>
          <w:rFonts w:ascii="Calibri" w:hAnsi="Calibri" w:cs="Arial"/>
          <w:b/>
          <w:color w:val="26744D"/>
        </w:rPr>
        <w:t>S</w:t>
      </w:r>
      <w:r w:rsidR="00B601DD">
        <w:rPr>
          <w:rFonts w:ascii="Calibri" w:hAnsi="Calibri" w:cs="Arial"/>
          <w:b/>
          <w:color w:val="26744D"/>
        </w:rPr>
        <w:t xml:space="preserve">ubindeks Barometru </w:t>
      </w:r>
      <w:r w:rsidR="00B601DD" w:rsidRPr="00F07EF1">
        <w:rPr>
          <w:rFonts w:ascii="Calibri" w:hAnsi="Calibri" w:cs="Arial"/>
          <w:b/>
          <w:color w:val="26744D"/>
        </w:rPr>
        <w:t>EFL</w:t>
      </w:r>
      <w:r w:rsidR="00B601DD">
        <w:rPr>
          <w:rFonts w:ascii="Calibri" w:hAnsi="Calibri" w:cs="Arial"/>
          <w:b/>
          <w:color w:val="26744D"/>
        </w:rPr>
        <w:t xml:space="preserve"> na III kwartał br. dla sektora HoReCa (hotele, restauracje, firmy cateringowe) wyniósł 5</w:t>
      </w:r>
      <w:r w:rsidR="00FA5A8B">
        <w:rPr>
          <w:rFonts w:ascii="Calibri" w:hAnsi="Calibri" w:cs="Arial"/>
          <w:b/>
          <w:color w:val="26744D"/>
        </w:rPr>
        <w:t>9,9</w:t>
      </w:r>
      <w:r w:rsidR="00B601DD">
        <w:rPr>
          <w:rFonts w:ascii="Calibri" w:hAnsi="Calibri" w:cs="Arial"/>
          <w:b/>
          <w:color w:val="26744D"/>
        </w:rPr>
        <w:t xml:space="preserve"> pkt.</w:t>
      </w:r>
      <w:r w:rsidR="00FA5A8B">
        <w:rPr>
          <w:rFonts w:ascii="Calibri" w:hAnsi="Calibri" w:cs="Arial"/>
          <w:b/>
          <w:color w:val="26744D"/>
        </w:rPr>
        <w:t xml:space="preserve"> To niemal dwa razy wyższy wynik niż w</w:t>
      </w:r>
      <w:r w:rsidR="00B601DD">
        <w:rPr>
          <w:rFonts w:ascii="Calibri" w:hAnsi="Calibri" w:cs="Arial"/>
          <w:b/>
          <w:color w:val="26744D"/>
        </w:rPr>
        <w:t xml:space="preserve"> II kwarta</w:t>
      </w:r>
      <w:r w:rsidR="00FA5A8B">
        <w:rPr>
          <w:rFonts w:ascii="Calibri" w:hAnsi="Calibri" w:cs="Arial"/>
          <w:b/>
          <w:color w:val="26744D"/>
        </w:rPr>
        <w:t>le br.</w:t>
      </w:r>
      <w:r w:rsidR="00B601DD">
        <w:rPr>
          <w:rFonts w:ascii="Calibri" w:hAnsi="Calibri" w:cs="Arial"/>
          <w:b/>
          <w:color w:val="26744D"/>
        </w:rPr>
        <w:t xml:space="preserve"> </w:t>
      </w:r>
      <w:r w:rsidR="00FA5A8B">
        <w:rPr>
          <w:rFonts w:ascii="Calibri" w:hAnsi="Calibri" w:cs="Arial"/>
          <w:b/>
          <w:color w:val="26744D"/>
        </w:rPr>
        <w:t xml:space="preserve">(37,2 pkt.) i najlepszy od ponad 2 lat (II kwartał 2019 rok – 63 pkt.). Na taki wynik największy wpływ miały rekordowe prognozy dotyczące sprzedaży. </w:t>
      </w:r>
      <w:r w:rsidR="00FA5A8B" w:rsidRPr="00FA5A8B">
        <w:rPr>
          <w:rFonts w:ascii="Calibri" w:hAnsi="Calibri" w:cs="Arial"/>
          <w:b/>
          <w:color w:val="26744D"/>
        </w:rPr>
        <w:t xml:space="preserve">Aż 77,5% </w:t>
      </w:r>
      <w:r w:rsidR="00FA5A8B">
        <w:rPr>
          <w:rFonts w:ascii="Calibri" w:hAnsi="Calibri" w:cs="Arial"/>
          <w:b/>
          <w:color w:val="26744D"/>
        </w:rPr>
        <w:t>hotelarzy i restauratorów</w:t>
      </w:r>
      <w:r w:rsidR="00FA5A8B" w:rsidRPr="00FA5A8B">
        <w:rPr>
          <w:rFonts w:ascii="Calibri" w:hAnsi="Calibri" w:cs="Arial"/>
          <w:b/>
          <w:color w:val="26744D"/>
        </w:rPr>
        <w:t xml:space="preserve"> spodziewa się jej wzrostu</w:t>
      </w:r>
      <w:r w:rsidR="00FA5A8B">
        <w:rPr>
          <w:rFonts w:ascii="Calibri" w:hAnsi="Calibri" w:cs="Arial"/>
          <w:b/>
          <w:color w:val="26744D"/>
        </w:rPr>
        <w:t xml:space="preserve"> w związku z</w:t>
      </w:r>
      <w:r w:rsidR="00FA5A8B" w:rsidRPr="00FA5A8B">
        <w:rPr>
          <w:rFonts w:ascii="Calibri" w:hAnsi="Calibri" w:cs="Arial"/>
          <w:b/>
          <w:color w:val="26744D"/>
        </w:rPr>
        <w:t xml:space="preserve"> sezon</w:t>
      </w:r>
      <w:r w:rsidR="00FA5A8B">
        <w:rPr>
          <w:rFonts w:ascii="Calibri" w:hAnsi="Calibri" w:cs="Arial"/>
          <w:b/>
          <w:color w:val="26744D"/>
        </w:rPr>
        <w:t>em</w:t>
      </w:r>
      <w:r w:rsidR="00FA5A8B" w:rsidRPr="00FA5A8B">
        <w:rPr>
          <w:rFonts w:ascii="Calibri" w:hAnsi="Calibri" w:cs="Arial"/>
          <w:b/>
          <w:color w:val="26744D"/>
        </w:rPr>
        <w:t xml:space="preserve"> wakacyjny</w:t>
      </w:r>
      <w:r w:rsidR="00FA5A8B">
        <w:rPr>
          <w:rFonts w:ascii="Calibri" w:hAnsi="Calibri" w:cs="Arial"/>
          <w:b/>
          <w:color w:val="26744D"/>
        </w:rPr>
        <w:t>m</w:t>
      </w:r>
      <w:r w:rsidR="00FA5A8B" w:rsidRPr="00FA5A8B">
        <w:rPr>
          <w:rFonts w:ascii="Calibri" w:hAnsi="Calibri" w:cs="Arial"/>
          <w:b/>
          <w:color w:val="26744D"/>
        </w:rPr>
        <w:t xml:space="preserve"> i zniesienie</w:t>
      </w:r>
      <w:r w:rsidR="00FA5A8B">
        <w:rPr>
          <w:rFonts w:ascii="Calibri" w:hAnsi="Calibri" w:cs="Arial"/>
          <w:b/>
          <w:color w:val="26744D"/>
        </w:rPr>
        <w:t>m</w:t>
      </w:r>
      <w:r w:rsidR="00FA5A8B" w:rsidRPr="00FA5A8B">
        <w:rPr>
          <w:rFonts w:ascii="Calibri" w:hAnsi="Calibri" w:cs="Arial"/>
          <w:b/>
          <w:color w:val="26744D"/>
        </w:rPr>
        <w:t xml:space="preserve"> ograniczeń </w:t>
      </w:r>
      <w:r w:rsidR="0070528B">
        <w:rPr>
          <w:rFonts w:ascii="Calibri" w:hAnsi="Calibri" w:cs="Arial"/>
          <w:b/>
          <w:color w:val="26744D"/>
        </w:rPr>
        <w:t>COVID</w:t>
      </w:r>
      <w:r w:rsidR="00FA5A8B">
        <w:rPr>
          <w:rFonts w:ascii="Calibri" w:hAnsi="Calibri" w:cs="Arial"/>
          <w:b/>
          <w:color w:val="26744D"/>
        </w:rPr>
        <w:t>owych.</w:t>
      </w:r>
      <w:r w:rsidR="0070528B">
        <w:rPr>
          <w:rFonts w:ascii="Calibri" w:hAnsi="Calibri" w:cs="Arial"/>
          <w:b/>
          <w:color w:val="26744D"/>
        </w:rPr>
        <w:t xml:space="preserve"> Jedno od wielu kwartałów pozostaje </w:t>
      </w:r>
      <w:r>
        <w:rPr>
          <w:rFonts w:ascii="Calibri" w:hAnsi="Calibri" w:cs="Arial"/>
          <w:b/>
          <w:color w:val="26744D"/>
        </w:rPr>
        <w:t xml:space="preserve">jednak </w:t>
      </w:r>
      <w:r w:rsidR="0070528B">
        <w:rPr>
          <w:rFonts w:ascii="Calibri" w:hAnsi="Calibri" w:cs="Arial"/>
          <w:b/>
          <w:color w:val="26744D"/>
        </w:rPr>
        <w:t>niezmienne – spo</w:t>
      </w:r>
      <w:r w:rsidR="00B601DD">
        <w:rPr>
          <w:rFonts w:ascii="Calibri" w:hAnsi="Calibri" w:cs="Arial"/>
          <w:b/>
          <w:color w:val="26744D"/>
        </w:rPr>
        <w:t xml:space="preserve">śród 6 badanych sektorów, </w:t>
      </w:r>
      <w:r w:rsidR="0070528B">
        <w:rPr>
          <w:rFonts w:ascii="Calibri" w:hAnsi="Calibri" w:cs="Arial"/>
          <w:b/>
          <w:color w:val="26744D"/>
        </w:rPr>
        <w:t xml:space="preserve">w HoReCa najwięcej ankietowanych </w:t>
      </w:r>
      <w:r w:rsidR="00B601DD">
        <w:rPr>
          <w:rFonts w:ascii="Calibri" w:hAnsi="Calibri" w:cs="Arial"/>
          <w:b/>
          <w:color w:val="26744D"/>
        </w:rPr>
        <w:t>twierdzi, że pandemia koronawirusa spowoduje zamykanie biznesów hotelarskich i gastronomicznych (</w:t>
      </w:r>
      <w:r w:rsidR="0070528B">
        <w:rPr>
          <w:rFonts w:ascii="Calibri" w:hAnsi="Calibri" w:cs="Arial"/>
          <w:b/>
          <w:color w:val="26744D"/>
        </w:rPr>
        <w:t>aż 85</w:t>
      </w:r>
      <w:r w:rsidR="00B601DD">
        <w:rPr>
          <w:rFonts w:ascii="Calibri" w:hAnsi="Calibri" w:cs="Arial"/>
          <w:b/>
          <w:color w:val="26744D"/>
        </w:rPr>
        <w:t xml:space="preserve"> proc.). </w:t>
      </w:r>
    </w:p>
    <w:p w14:paraId="3C304C20" w14:textId="77777777" w:rsidR="00B601DD" w:rsidRPr="00EA5940" w:rsidRDefault="00B601DD" w:rsidP="00B601DD">
      <w:pPr>
        <w:spacing w:after="120"/>
        <w:jc w:val="both"/>
        <w:rPr>
          <w:rFonts w:ascii="Calibri" w:hAnsi="Calibri" w:cs="Arial"/>
          <w:b/>
          <w:color w:val="26744D"/>
        </w:rPr>
      </w:pPr>
      <w:r>
        <w:rPr>
          <w:rFonts w:ascii="Calibri" w:hAnsi="Calibri" w:cs="Arial"/>
          <w:b/>
          <w:color w:val="26744D"/>
        </w:rPr>
        <w:t>--------------------------------------------------------------------------------------------------------------------------------------</w:t>
      </w:r>
    </w:p>
    <w:p w14:paraId="23E54DE7" w14:textId="74BE8B26" w:rsidR="00B601DD" w:rsidRPr="00EA5940" w:rsidRDefault="00B601DD" w:rsidP="00B601DD">
      <w:pPr>
        <w:spacing w:after="120"/>
        <w:jc w:val="both"/>
        <w:rPr>
          <w:rFonts w:ascii="Calibri" w:hAnsi="Calibri" w:cs="Arial"/>
          <w:b/>
          <w:color w:val="26744D"/>
          <w:sz w:val="21"/>
        </w:rPr>
      </w:pPr>
      <w:r w:rsidRPr="00EA5940">
        <w:rPr>
          <w:rFonts w:ascii="Calibri" w:hAnsi="Calibri" w:cs="Arial"/>
          <w:b/>
          <w:color w:val="26744D"/>
          <w:sz w:val="21"/>
        </w:rPr>
        <w:t xml:space="preserve">Barometr EFL dla branży </w:t>
      </w:r>
      <w:r>
        <w:rPr>
          <w:rFonts w:ascii="Calibri" w:hAnsi="Calibri" w:cs="Arial"/>
          <w:b/>
          <w:color w:val="26744D"/>
          <w:sz w:val="21"/>
        </w:rPr>
        <w:t xml:space="preserve">HoReCa </w:t>
      </w:r>
      <w:r w:rsidRPr="00EA5940">
        <w:rPr>
          <w:rFonts w:ascii="Calibri" w:hAnsi="Calibri" w:cs="Arial"/>
          <w:b/>
          <w:color w:val="26744D"/>
          <w:sz w:val="21"/>
        </w:rPr>
        <w:t>na I</w:t>
      </w:r>
      <w:r>
        <w:rPr>
          <w:rFonts w:ascii="Calibri" w:hAnsi="Calibri" w:cs="Arial"/>
          <w:b/>
          <w:color w:val="26744D"/>
          <w:sz w:val="21"/>
        </w:rPr>
        <w:t>I</w:t>
      </w:r>
      <w:r w:rsidRPr="00EA5940">
        <w:rPr>
          <w:rFonts w:ascii="Calibri" w:hAnsi="Calibri" w:cs="Arial"/>
          <w:b/>
          <w:color w:val="26744D"/>
          <w:sz w:val="21"/>
        </w:rPr>
        <w:t>I kwartał 202</w:t>
      </w:r>
      <w:r w:rsidR="0072039B">
        <w:rPr>
          <w:rFonts w:ascii="Calibri" w:hAnsi="Calibri" w:cs="Arial"/>
          <w:b/>
          <w:color w:val="26744D"/>
          <w:sz w:val="21"/>
        </w:rPr>
        <w:t>1</w:t>
      </w:r>
      <w:r w:rsidRPr="00EA5940">
        <w:rPr>
          <w:rFonts w:ascii="Calibri" w:hAnsi="Calibri" w:cs="Arial"/>
          <w:b/>
          <w:color w:val="26744D"/>
          <w:sz w:val="21"/>
        </w:rPr>
        <w:t>:</w:t>
      </w:r>
    </w:p>
    <w:p w14:paraId="2EEA6E70" w14:textId="32CD2358" w:rsidR="00B601DD" w:rsidRPr="00EA5940" w:rsidRDefault="00B601DD" w:rsidP="00B601DD">
      <w:pPr>
        <w:pStyle w:val="Akapitzlist"/>
        <w:numPr>
          <w:ilvl w:val="0"/>
          <w:numId w:val="1"/>
        </w:numPr>
        <w:spacing w:after="120"/>
        <w:jc w:val="both"/>
        <w:rPr>
          <w:sz w:val="18"/>
          <w:szCs w:val="20"/>
        </w:rPr>
      </w:pPr>
      <w:r w:rsidRPr="00EA5940">
        <w:rPr>
          <w:b/>
          <w:sz w:val="18"/>
          <w:szCs w:val="20"/>
        </w:rPr>
        <w:t>Subindeks</w:t>
      </w:r>
      <w:r>
        <w:rPr>
          <w:b/>
          <w:sz w:val="18"/>
          <w:szCs w:val="20"/>
        </w:rPr>
        <w:t>: 5</w:t>
      </w:r>
      <w:r w:rsidR="002B635C">
        <w:rPr>
          <w:b/>
          <w:sz w:val="18"/>
          <w:szCs w:val="20"/>
        </w:rPr>
        <w:t>9</w:t>
      </w:r>
      <w:r>
        <w:rPr>
          <w:b/>
          <w:sz w:val="18"/>
          <w:szCs w:val="20"/>
        </w:rPr>
        <w:t>,</w:t>
      </w:r>
      <w:r w:rsidR="002B635C">
        <w:rPr>
          <w:b/>
          <w:sz w:val="18"/>
          <w:szCs w:val="20"/>
        </w:rPr>
        <w:t>9</w:t>
      </w:r>
      <w:r w:rsidRPr="00EA5940">
        <w:rPr>
          <w:b/>
          <w:sz w:val="18"/>
          <w:szCs w:val="20"/>
        </w:rPr>
        <w:t xml:space="preserve"> pkt.</w:t>
      </w:r>
      <w:r w:rsidRPr="00EA5940">
        <w:rPr>
          <w:sz w:val="18"/>
          <w:szCs w:val="20"/>
        </w:rPr>
        <w:t xml:space="preserve"> (</w:t>
      </w:r>
      <w:r>
        <w:rPr>
          <w:sz w:val="18"/>
          <w:szCs w:val="20"/>
        </w:rPr>
        <w:t>+2</w:t>
      </w:r>
      <w:r w:rsidR="002B635C">
        <w:rPr>
          <w:sz w:val="18"/>
          <w:szCs w:val="20"/>
        </w:rPr>
        <w:t>2</w:t>
      </w:r>
      <w:r>
        <w:rPr>
          <w:sz w:val="18"/>
          <w:szCs w:val="20"/>
        </w:rPr>
        <w:t>,</w:t>
      </w:r>
      <w:r w:rsidR="002B635C">
        <w:rPr>
          <w:sz w:val="18"/>
          <w:szCs w:val="20"/>
        </w:rPr>
        <w:t>7</w:t>
      </w:r>
      <w:r w:rsidRPr="00EA5940">
        <w:rPr>
          <w:sz w:val="18"/>
          <w:szCs w:val="20"/>
        </w:rPr>
        <w:t xml:space="preserve"> pkt. kw./kw.</w:t>
      </w:r>
      <w:r>
        <w:rPr>
          <w:sz w:val="18"/>
          <w:szCs w:val="20"/>
        </w:rPr>
        <w:t>- największa dynamika wśród 6 badanych sektorów</w:t>
      </w:r>
      <w:r w:rsidRPr="00EA5940">
        <w:rPr>
          <w:sz w:val="18"/>
          <w:szCs w:val="20"/>
        </w:rPr>
        <w:t xml:space="preserve">); </w:t>
      </w:r>
      <w:r>
        <w:rPr>
          <w:sz w:val="18"/>
          <w:szCs w:val="20"/>
        </w:rPr>
        <w:t>najwyższy wskaźnik</w:t>
      </w:r>
      <w:r w:rsidRPr="00EA5940">
        <w:rPr>
          <w:sz w:val="18"/>
          <w:szCs w:val="20"/>
        </w:rPr>
        <w:t xml:space="preserve"> wśród 6 badanych sektorów</w:t>
      </w:r>
    </w:p>
    <w:p w14:paraId="729B7828" w14:textId="6E411036" w:rsidR="00B601DD" w:rsidRPr="00EA5940" w:rsidRDefault="00B601DD" w:rsidP="00B601DD">
      <w:pPr>
        <w:pStyle w:val="Akapitzlist"/>
        <w:numPr>
          <w:ilvl w:val="0"/>
          <w:numId w:val="1"/>
        </w:numPr>
        <w:spacing w:after="120"/>
        <w:jc w:val="both"/>
        <w:rPr>
          <w:sz w:val="18"/>
          <w:szCs w:val="20"/>
        </w:rPr>
      </w:pPr>
      <w:r w:rsidRPr="00EA5940">
        <w:rPr>
          <w:b/>
          <w:sz w:val="18"/>
          <w:szCs w:val="20"/>
        </w:rPr>
        <w:t>Inwestycje</w:t>
      </w:r>
      <w:r>
        <w:rPr>
          <w:b/>
          <w:sz w:val="18"/>
          <w:szCs w:val="20"/>
        </w:rPr>
        <w:t>:</w:t>
      </w:r>
      <w:r w:rsidRPr="00EA5940">
        <w:rPr>
          <w:sz w:val="18"/>
          <w:szCs w:val="20"/>
        </w:rPr>
        <w:t xml:space="preserve"> </w:t>
      </w:r>
      <w:r w:rsidR="002B635C">
        <w:rPr>
          <w:sz w:val="18"/>
          <w:szCs w:val="20"/>
        </w:rPr>
        <w:t>94</w:t>
      </w:r>
      <w:r w:rsidRPr="00EA5940">
        <w:rPr>
          <w:sz w:val="18"/>
          <w:szCs w:val="20"/>
        </w:rPr>
        <w:t xml:space="preserve"> proc. przedsiębiorców prognozuje </w:t>
      </w:r>
      <w:r>
        <w:rPr>
          <w:sz w:val="18"/>
          <w:szCs w:val="20"/>
        </w:rPr>
        <w:t>podobny poziom inwestycji co miesiąc wcześniej</w:t>
      </w:r>
      <w:r w:rsidRPr="00EA5940">
        <w:rPr>
          <w:sz w:val="18"/>
          <w:szCs w:val="20"/>
        </w:rPr>
        <w:t xml:space="preserve"> </w:t>
      </w:r>
    </w:p>
    <w:p w14:paraId="515D7C95" w14:textId="074574B5" w:rsidR="00B601DD" w:rsidRPr="00EA5940" w:rsidRDefault="00B601DD" w:rsidP="00B601DD">
      <w:pPr>
        <w:pStyle w:val="Akapitzlist"/>
        <w:numPr>
          <w:ilvl w:val="0"/>
          <w:numId w:val="1"/>
        </w:numPr>
        <w:spacing w:after="120"/>
        <w:jc w:val="both"/>
        <w:rPr>
          <w:sz w:val="18"/>
          <w:szCs w:val="20"/>
        </w:rPr>
      </w:pPr>
      <w:r w:rsidRPr="00EA5940">
        <w:rPr>
          <w:b/>
          <w:sz w:val="18"/>
          <w:szCs w:val="20"/>
        </w:rPr>
        <w:t>Sprzedaż</w:t>
      </w:r>
      <w:r>
        <w:rPr>
          <w:sz w:val="18"/>
          <w:szCs w:val="20"/>
        </w:rPr>
        <w:t xml:space="preserve">: </w:t>
      </w:r>
      <w:r w:rsidR="002B635C">
        <w:rPr>
          <w:sz w:val="18"/>
          <w:szCs w:val="20"/>
        </w:rPr>
        <w:t>77,5</w:t>
      </w:r>
      <w:r w:rsidRPr="00EA5940">
        <w:rPr>
          <w:sz w:val="18"/>
          <w:szCs w:val="20"/>
        </w:rPr>
        <w:t xml:space="preserve"> proc. przedsiębiorców prognozuje </w:t>
      </w:r>
      <w:r>
        <w:rPr>
          <w:sz w:val="18"/>
          <w:szCs w:val="20"/>
        </w:rPr>
        <w:t>wzrost</w:t>
      </w:r>
      <w:r w:rsidRPr="00EA5940">
        <w:rPr>
          <w:sz w:val="18"/>
          <w:szCs w:val="20"/>
        </w:rPr>
        <w:t xml:space="preserve"> sprzedaży; </w:t>
      </w:r>
      <w:r>
        <w:rPr>
          <w:sz w:val="18"/>
          <w:szCs w:val="20"/>
        </w:rPr>
        <w:t xml:space="preserve">najwięcej </w:t>
      </w:r>
      <w:r w:rsidRPr="00EA5940">
        <w:rPr>
          <w:sz w:val="18"/>
          <w:szCs w:val="20"/>
        </w:rPr>
        <w:t>wśród 6 badanych sektorów</w:t>
      </w:r>
    </w:p>
    <w:p w14:paraId="0A814942" w14:textId="68761657" w:rsidR="00B601DD" w:rsidRPr="00EA5940" w:rsidRDefault="00B601DD" w:rsidP="00B601DD">
      <w:pPr>
        <w:pStyle w:val="Akapitzlist"/>
        <w:numPr>
          <w:ilvl w:val="0"/>
          <w:numId w:val="1"/>
        </w:numPr>
        <w:spacing w:after="120"/>
        <w:jc w:val="both"/>
        <w:rPr>
          <w:sz w:val="18"/>
          <w:szCs w:val="20"/>
        </w:rPr>
      </w:pPr>
      <w:r w:rsidRPr="00EA5940">
        <w:rPr>
          <w:b/>
          <w:sz w:val="18"/>
          <w:szCs w:val="20"/>
        </w:rPr>
        <w:t>Płynność finansowa</w:t>
      </w:r>
      <w:r>
        <w:rPr>
          <w:sz w:val="18"/>
          <w:szCs w:val="20"/>
        </w:rPr>
        <w:t>:</w:t>
      </w:r>
      <w:r w:rsidRPr="00EA5940">
        <w:rPr>
          <w:sz w:val="18"/>
          <w:szCs w:val="20"/>
        </w:rPr>
        <w:t xml:space="preserve"> </w:t>
      </w:r>
      <w:r w:rsidR="002B635C">
        <w:rPr>
          <w:sz w:val="18"/>
          <w:szCs w:val="20"/>
        </w:rPr>
        <w:t>6</w:t>
      </w:r>
      <w:r>
        <w:rPr>
          <w:sz w:val="18"/>
          <w:szCs w:val="20"/>
        </w:rPr>
        <w:t>0</w:t>
      </w:r>
      <w:r w:rsidRPr="00EA5940">
        <w:rPr>
          <w:sz w:val="18"/>
          <w:szCs w:val="20"/>
        </w:rPr>
        <w:t xml:space="preserve"> proc. przedsiębiorców prognozuje po</w:t>
      </w:r>
      <w:r>
        <w:rPr>
          <w:sz w:val="18"/>
          <w:szCs w:val="20"/>
        </w:rPr>
        <w:t>prawę</w:t>
      </w:r>
      <w:r w:rsidRPr="00EA5940">
        <w:rPr>
          <w:sz w:val="18"/>
          <w:szCs w:val="20"/>
        </w:rPr>
        <w:t xml:space="preserve"> płynności finansowej; </w:t>
      </w:r>
      <w:r>
        <w:rPr>
          <w:sz w:val="18"/>
          <w:szCs w:val="20"/>
        </w:rPr>
        <w:t xml:space="preserve">najwięcej </w:t>
      </w:r>
      <w:r w:rsidRPr="00EA5940">
        <w:rPr>
          <w:sz w:val="18"/>
          <w:szCs w:val="20"/>
        </w:rPr>
        <w:t>wśród 6 badanych sektorów</w:t>
      </w:r>
    </w:p>
    <w:p w14:paraId="1CE41663" w14:textId="17CF6C17" w:rsidR="00B601DD" w:rsidRDefault="00B601DD" w:rsidP="00B601DD">
      <w:pPr>
        <w:pStyle w:val="Akapitzlist"/>
        <w:numPr>
          <w:ilvl w:val="0"/>
          <w:numId w:val="1"/>
        </w:numPr>
        <w:spacing w:after="120"/>
        <w:jc w:val="both"/>
        <w:rPr>
          <w:sz w:val="18"/>
          <w:szCs w:val="20"/>
        </w:rPr>
      </w:pPr>
      <w:r w:rsidRPr="00EA5940">
        <w:rPr>
          <w:b/>
          <w:sz w:val="18"/>
          <w:szCs w:val="20"/>
        </w:rPr>
        <w:t>Finansowanie zewnętrzne</w:t>
      </w:r>
      <w:r>
        <w:rPr>
          <w:b/>
          <w:sz w:val="18"/>
          <w:szCs w:val="20"/>
        </w:rPr>
        <w:t>:</w:t>
      </w:r>
      <w:r w:rsidRPr="00EA5940">
        <w:rPr>
          <w:sz w:val="18"/>
          <w:szCs w:val="20"/>
        </w:rPr>
        <w:t xml:space="preserve"> </w:t>
      </w:r>
      <w:r>
        <w:rPr>
          <w:sz w:val="18"/>
          <w:szCs w:val="20"/>
        </w:rPr>
        <w:t>1</w:t>
      </w:r>
      <w:r w:rsidR="002B635C">
        <w:rPr>
          <w:sz w:val="18"/>
          <w:szCs w:val="20"/>
        </w:rPr>
        <w:t>2,5</w:t>
      </w:r>
      <w:r w:rsidRPr="00EA5940">
        <w:rPr>
          <w:sz w:val="18"/>
          <w:szCs w:val="20"/>
        </w:rPr>
        <w:t xml:space="preserve"> proc. przedsiębiorców prognozuje </w:t>
      </w:r>
      <w:r>
        <w:rPr>
          <w:sz w:val="18"/>
          <w:szCs w:val="20"/>
        </w:rPr>
        <w:t>większe</w:t>
      </w:r>
      <w:r w:rsidRPr="00EA5940">
        <w:rPr>
          <w:sz w:val="18"/>
          <w:szCs w:val="20"/>
        </w:rPr>
        <w:t xml:space="preserve"> zapotrzebowanie na finansowanie zewnętrzne; </w:t>
      </w:r>
    </w:p>
    <w:p w14:paraId="753B8A49" w14:textId="12EAE9B9" w:rsidR="00B601DD" w:rsidRPr="00EA5940" w:rsidRDefault="00B601DD" w:rsidP="00B601DD">
      <w:pPr>
        <w:pStyle w:val="Akapitzlist"/>
        <w:numPr>
          <w:ilvl w:val="0"/>
          <w:numId w:val="1"/>
        </w:numPr>
        <w:spacing w:after="120"/>
        <w:jc w:val="both"/>
        <w:rPr>
          <w:sz w:val="18"/>
          <w:szCs w:val="20"/>
        </w:rPr>
      </w:pPr>
      <w:r>
        <w:rPr>
          <w:b/>
          <w:sz w:val="18"/>
          <w:szCs w:val="20"/>
        </w:rPr>
        <w:t>Wpływ koronawirusa na sytuację firmy:</w:t>
      </w:r>
      <w:r>
        <w:rPr>
          <w:sz w:val="18"/>
          <w:szCs w:val="20"/>
        </w:rPr>
        <w:t xml:space="preserve"> 7</w:t>
      </w:r>
      <w:r w:rsidR="002B635C">
        <w:rPr>
          <w:sz w:val="18"/>
          <w:szCs w:val="20"/>
        </w:rPr>
        <w:t>2,5</w:t>
      </w:r>
      <w:r w:rsidRPr="00D3423C">
        <w:rPr>
          <w:sz w:val="18"/>
          <w:szCs w:val="20"/>
        </w:rPr>
        <w:t xml:space="preserve"> proc. przedsiębiorców uważa, że koronawirus będzie mieć zdecydowanie niekorzystny wpływ na przyszłą sytuację firmy</w:t>
      </w:r>
      <w:r>
        <w:rPr>
          <w:sz w:val="18"/>
          <w:szCs w:val="20"/>
        </w:rPr>
        <w:t xml:space="preserve"> (najwyższy wynik wśród 6 sektorów)</w:t>
      </w:r>
    </w:p>
    <w:p w14:paraId="083506D0" w14:textId="77777777" w:rsidR="00B601DD" w:rsidRPr="00267A8F" w:rsidRDefault="00B601DD" w:rsidP="00B601DD">
      <w:pPr>
        <w:spacing w:after="120"/>
        <w:jc w:val="both"/>
        <w:rPr>
          <w:rFonts w:cs="Arial"/>
          <w:b/>
          <w:color w:val="26744D"/>
        </w:rPr>
      </w:pPr>
      <w:r w:rsidRPr="00EA5940">
        <w:rPr>
          <w:rFonts w:cs="Arial"/>
          <w:b/>
          <w:color w:val="26744D"/>
        </w:rPr>
        <w:t>--------------------------------------------------------------------------------------------------------------------------------------</w:t>
      </w:r>
    </w:p>
    <w:p w14:paraId="3A274FDF" w14:textId="684170AC" w:rsidR="00AA38AD" w:rsidRPr="00AA38AD" w:rsidRDefault="00B601DD" w:rsidP="00B601DD">
      <w:pPr>
        <w:spacing w:after="120"/>
        <w:jc w:val="both"/>
        <w:rPr>
          <w:i/>
          <w:sz w:val="21"/>
          <w:szCs w:val="20"/>
        </w:rPr>
      </w:pPr>
      <w:r w:rsidRPr="00AA38AD">
        <w:rPr>
          <w:i/>
          <w:sz w:val="21"/>
          <w:szCs w:val="20"/>
        </w:rPr>
        <w:t xml:space="preserve">- </w:t>
      </w:r>
      <w:r w:rsidR="00AA38AD" w:rsidRPr="00AA38AD">
        <w:rPr>
          <w:i/>
          <w:sz w:val="21"/>
          <w:szCs w:val="20"/>
        </w:rPr>
        <w:t>Od początku realizacji projektu Barometr EFL</w:t>
      </w:r>
      <w:r w:rsidR="00FE5186">
        <w:rPr>
          <w:i/>
          <w:sz w:val="21"/>
          <w:szCs w:val="20"/>
        </w:rPr>
        <w:t>,</w:t>
      </w:r>
      <w:r w:rsidR="00AA38AD" w:rsidRPr="00AA38AD">
        <w:rPr>
          <w:i/>
          <w:sz w:val="21"/>
          <w:szCs w:val="20"/>
        </w:rPr>
        <w:t xml:space="preserve"> w III kwartale opinie przedstawicieli sektora </w:t>
      </w:r>
      <w:r w:rsidRPr="00AA38AD">
        <w:rPr>
          <w:i/>
          <w:sz w:val="21"/>
          <w:szCs w:val="20"/>
        </w:rPr>
        <w:t>HoReCa</w:t>
      </w:r>
      <w:r w:rsidR="00AA38AD" w:rsidRPr="00AA38AD">
        <w:rPr>
          <w:i/>
          <w:sz w:val="21"/>
          <w:szCs w:val="20"/>
        </w:rPr>
        <w:t xml:space="preserve"> były jednymi z najwyższych, co wiąże się z czynnikiem kalendarzowym. Wakacje, sezon urlopowy to więcej gości, większe przychody, lepsza płynność finansowa. </w:t>
      </w:r>
      <w:r w:rsidR="00AA38AD">
        <w:rPr>
          <w:i/>
          <w:sz w:val="21"/>
          <w:szCs w:val="20"/>
        </w:rPr>
        <w:t>W tym roku doszło do tego jeszcze zniesienie ograniczeń pandemicznych, stąd hotelarze i restauratorzy oceniają najbliższe miesiące najlepiej nie tylko od rozpoczęcia pandemii, ale od ponad dwóch lat.</w:t>
      </w:r>
      <w:r w:rsidR="00AE33BF">
        <w:rPr>
          <w:i/>
          <w:sz w:val="21"/>
          <w:szCs w:val="20"/>
        </w:rPr>
        <w:t xml:space="preserve"> Taki odczyt nie oznacza jednak, że huraoptymizm w tym sektorze powrócił na stałe. Rok temu również w III kwartale optymistyczne prognozy „poszybowały w górę”, aby w kolejnych odczytach spaść poniżej progu ograniczonego rozwoju. Z obiektywną oceną sytuacji poczekajmy do kolejnego pomiaru</w:t>
      </w:r>
      <w:r w:rsidR="00FE5186">
        <w:rPr>
          <w:i/>
          <w:sz w:val="21"/>
          <w:szCs w:val="20"/>
        </w:rPr>
        <w:t xml:space="preserve">, który będzie miał miejsce </w:t>
      </w:r>
      <w:r w:rsidR="00AE33BF">
        <w:rPr>
          <w:i/>
          <w:sz w:val="21"/>
          <w:szCs w:val="20"/>
        </w:rPr>
        <w:t xml:space="preserve">na przełomie września i października br. Wówczas przekonamy się, jak silna okaże się kolejna fala koronawirusa oraz jakie będą decyzje rządowe dotyczące nowych restrykcji. To te czynniki zaważą na prognozach przedsiębiorców – </w:t>
      </w:r>
      <w:r w:rsidR="00AE33BF">
        <w:rPr>
          <w:sz w:val="21"/>
          <w:szCs w:val="20"/>
        </w:rPr>
        <w:t>mówi</w:t>
      </w:r>
      <w:r w:rsidR="00AE33BF" w:rsidRPr="008458DA">
        <w:rPr>
          <w:sz w:val="21"/>
          <w:szCs w:val="20"/>
        </w:rPr>
        <w:t xml:space="preserve"> </w:t>
      </w:r>
      <w:r w:rsidR="00AE33BF" w:rsidRPr="008458DA">
        <w:rPr>
          <w:rFonts w:ascii="Calibri" w:hAnsi="Calibri" w:cs="Arial"/>
          <w:b/>
          <w:color w:val="26744D"/>
          <w:sz w:val="21"/>
        </w:rPr>
        <w:t xml:space="preserve">Radosław Woźniak, prezes </w:t>
      </w:r>
      <w:r w:rsidR="00AE33BF">
        <w:rPr>
          <w:rFonts w:ascii="Calibri" w:hAnsi="Calibri" w:cs="Arial"/>
          <w:b/>
          <w:color w:val="26744D"/>
          <w:sz w:val="21"/>
        </w:rPr>
        <w:t xml:space="preserve">zarządu </w:t>
      </w:r>
      <w:r w:rsidR="00AE33BF" w:rsidRPr="008458DA">
        <w:rPr>
          <w:rFonts w:ascii="Calibri" w:hAnsi="Calibri" w:cs="Arial"/>
          <w:b/>
          <w:color w:val="26744D"/>
          <w:sz w:val="21"/>
        </w:rPr>
        <w:t>EFL</w:t>
      </w:r>
      <w:r w:rsidR="00AE33BF">
        <w:rPr>
          <w:i/>
          <w:sz w:val="21"/>
          <w:szCs w:val="20"/>
        </w:rPr>
        <w:t>.</w:t>
      </w:r>
    </w:p>
    <w:p w14:paraId="0D9E1084" w14:textId="39AE6AA7" w:rsidR="00B601DD" w:rsidRDefault="00ED635B" w:rsidP="00B601DD">
      <w:pPr>
        <w:spacing w:after="120"/>
        <w:jc w:val="both"/>
        <w:rPr>
          <w:rFonts w:ascii="Calibri" w:hAnsi="Calibri" w:cs="Arial"/>
          <w:b/>
          <w:color w:val="26744D"/>
          <w:sz w:val="21"/>
        </w:rPr>
      </w:pPr>
      <w:r>
        <w:rPr>
          <w:rFonts w:ascii="Calibri" w:hAnsi="Calibri" w:cs="Arial"/>
          <w:b/>
          <w:color w:val="26744D"/>
          <w:sz w:val="21"/>
        </w:rPr>
        <w:lastRenderedPageBreak/>
        <w:t>Koronawirus zrobił sobie wakacje</w:t>
      </w:r>
    </w:p>
    <w:p w14:paraId="436C785D" w14:textId="65523A38" w:rsidR="00E4747C" w:rsidRDefault="00B601DD" w:rsidP="00B601DD">
      <w:pPr>
        <w:spacing w:after="120"/>
        <w:jc w:val="both"/>
        <w:rPr>
          <w:sz w:val="21"/>
          <w:szCs w:val="20"/>
        </w:rPr>
      </w:pPr>
      <w:r>
        <w:rPr>
          <w:sz w:val="21"/>
          <w:szCs w:val="20"/>
        </w:rPr>
        <w:t>Na wysoką dynamikę wartości subindeksu Barometru EFL dla HoReCa na III kwartał br. (5</w:t>
      </w:r>
      <w:r w:rsidR="002640AB">
        <w:rPr>
          <w:sz w:val="21"/>
          <w:szCs w:val="20"/>
        </w:rPr>
        <w:t>9,9</w:t>
      </w:r>
      <w:r>
        <w:rPr>
          <w:sz w:val="21"/>
          <w:szCs w:val="20"/>
        </w:rPr>
        <w:t xml:space="preserve"> pkt., +2</w:t>
      </w:r>
      <w:r w:rsidR="002640AB">
        <w:rPr>
          <w:sz w:val="21"/>
          <w:szCs w:val="20"/>
        </w:rPr>
        <w:t>2</w:t>
      </w:r>
      <w:r>
        <w:rPr>
          <w:sz w:val="21"/>
          <w:szCs w:val="20"/>
        </w:rPr>
        <w:t>,</w:t>
      </w:r>
      <w:r w:rsidR="002640AB">
        <w:rPr>
          <w:sz w:val="21"/>
          <w:szCs w:val="20"/>
        </w:rPr>
        <w:t>7</w:t>
      </w:r>
      <w:r>
        <w:rPr>
          <w:sz w:val="21"/>
          <w:szCs w:val="20"/>
        </w:rPr>
        <w:t xml:space="preserve"> pkt. kwartał do kwartału) największy wpływ miały prognozy w obszarze sprzedaży. </w:t>
      </w:r>
      <w:r w:rsidR="002640AB">
        <w:rPr>
          <w:sz w:val="21"/>
          <w:szCs w:val="20"/>
        </w:rPr>
        <w:t>Zdecydowana większość zarządzających</w:t>
      </w:r>
      <w:r>
        <w:rPr>
          <w:sz w:val="21"/>
          <w:szCs w:val="20"/>
        </w:rPr>
        <w:t xml:space="preserve"> hotel</w:t>
      </w:r>
      <w:r w:rsidR="002640AB">
        <w:rPr>
          <w:sz w:val="21"/>
          <w:szCs w:val="20"/>
        </w:rPr>
        <w:t>ami</w:t>
      </w:r>
      <w:r>
        <w:rPr>
          <w:sz w:val="21"/>
          <w:szCs w:val="20"/>
        </w:rPr>
        <w:t>, restauracj</w:t>
      </w:r>
      <w:r w:rsidR="002640AB">
        <w:rPr>
          <w:sz w:val="21"/>
          <w:szCs w:val="20"/>
        </w:rPr>
        <w:t>ami</w:t>
      </w:r>
      <w:r>
        <w:rPr>
          <w:sz w:val="21"/>
          <w:szCs w:val="20"/>
        </w:rPr>
        <w:t xml:space="preserve"> i firm</w:t>
      </w:r>
      <w:r w:rsidR="002640AB">
        <w:rPr>
          <w:sz w:val="21"/>
          <w:szCs w:val="20"/>
        </w:rPr>
        <w:t>ami</w:t>
      </w:r>
      <w:r>
        <w:rPr>
          <w:sz w:val="21"/>
          <w:szCs w:val="20"/>
        </w:rPr>
        <w:t xml:space="preserve"> cateringowy</w:t>
      </w:r>
      <w:r w:rsidR="002640AB">
        <w:rPr>
          <w:sz w:val="21"/>
          <w:szCs w:val="20"/>
        </w:rPr>
        <w:t>mi (77,5 proc.)</w:t>
      </w:r>
      <w:r>
        <w:rPr>
          <w:sz w:val="21"/>
          <w:szCs w:val="20"/>
        </w:rPr>
        <w:t xml:space="preserve"> prognozuje wzrost zamówień od lipca do września br., </w:t>
      </w:r>
      <w:r w:rsidR="00E4747C">
        <w:rPr>
          <w:sz w:val="21"/>
          <w:szCs w:val="20"/>
        </w:rPr>
        <w:t>Nikt nie</w:t>
      </w:r>
      <w:r>
        <w:rPr>
          <w:sz w:val="21"/>
          <w:szCs w:val="20"/>
        </w:rPr>
        <w:t xml:space="preserve"> spodziewa się zmniejszenia obrotów. Jest to zdecydowanie odmienny obraz od tego z końca marca </w:t>
      </w:r>
      <w:r w:rsidR="003632B1">
        <w:rPr>
          <w:sz w:val="21"/>
          <w:szCs w:val="20"/>
        </w:rPr>
        <w:t>i</w:t>
      </w:r>
      <w:r>
        <w:rPr>
          <w:sz w:val="21"/>
          <w:szCs w:val="20"/>
        </w:rPr>
        <w:t xml:space="preserve"> początku kwietnia</w:t>
      </w:r>
      <w:r w:rsidR="003632B1">
        <w:rPr>
          <w:sz w:val="21"/>
          <w:szCs w:val="20"/>
        </w:rPr>
        <w:t xml:space="preserve"> tego roku</w:t>
      </w:r>
      <w:r>
        <w:rPr>
          <w:sz w:val="21"/>
          <w:szCs w:val="20"/>
        </w:rPr>
        <w:t xml:space="preserve">, kiedy ponad </w:t>
      </w:r>
      <w:r w:rsidR="00E4747C">
        <w:rPr>
          <w:sz w:val="21"/>
          <w:szCs w:val="20"/>
        </w:rPr>
        <w:t>połowa</w:t>
      </w:r>
      <w:r>
        <w:rPr>
          <w:sz w:val="21"/>
          <w:szCs w:val="20"/>
        </w:rPr>
        <w:t xml:space="preserve"> przedstawicieli HoReCa</w:t>
      </w:r>
      <w:r w:rsidR="00E4747C">
        <w:rPr>
          <w:sz w:val="21"/>
          <w:szCs w:val="20"/>
        </w:rPr>
        <w:t xml:space="preserve"> (52,5 proc.)</w:t>
      </w:r>
      <w:r>
        <w:rPr>
          <w:sz w:val="21"/>
          <w:szCs w:val="20"/>
        </w:rPr>
        <w:t xml:space="preserve"> obawiała się mniejszej sprzedaży, a na jej wzrost liczyło </w:t>
      </w:r>
      <w:r w:rsidR="00E4747C">
        <w:rPr>
          <w:sz w:val="21"/>
          <w:szCs w:val="20"/>
        </w:rPr>
        <w:t>tylko 12,5</w:t>
      </w:r>
      <w:r>
        <w:rPr>
          <w:sz w:val="21"/>
          <w:szCs w:val="20"/>
        </w:rPr>
        <w:t xml:space="preserve"> proc. zapytanych. Wówczas HoReCa najpesymistyczniej wyobrażała sobie swoją przyszłość, teraz </w:t>
      </w:r>
      <w:r w:rsidR="00E4747C">
        <w:rPr>
          <w:sz w:val="21"/>
          <w:szCs w:val="20"/>
        </w:rPr>
        <w:t xml:space="preserve">jest </w:t>
      </w:r>
      <w:r>
        <w:rPr>
          <w:sz w:val="21"/>
          <w:szCs w:val="20"/>
        </w:rPr>
        <w:t xml:space="preserve">odwrotnie. </w:t>
      </w:r>
    </w:p>
    <w:p w14:paraId="03EC5121" w14:textId="69E96FC8" w:rsidR="00B601DD" w:rsidRDefault="00E4747C" w:rsidP="00B601DD">
      <w:pPr>
        <w:spacing w:after="120"/>
        <w:jc w:val="both"/>
        <w:rPr>
          <w:sz w:val="21"/>
          <w:szCs w:val="20"/>
        </w:rPr>
      </w:pPr>
      <w:r>
        <w:rPr>
          <w:sz w:val="21"/>
          <w:szCs w:val="20"/>
        </w:rPr>
        <w:t>Większe zamówienia pozytywnie wpływają na</w:t>
      </w:r>
      <w:r w:rsidR="00B601DD">
        <w:rPr>
          <w:sz w:val="21"/>
          <w:szCs w:val="20"/>
        </w:rPr>
        <w:t xml:space="preserve"> płynność finansową</w:t>
      </w:r>
      <w:r>
        <w:rPr>
          <w:sz w:val="21"/>
          <w:szCs w:val="20"/>
        </w:rPr>
        <w:t xml:space="preserve">. Jej poprawy </w:t>
      </w:r>
      <w:r w:rsidR="00B601DD">
        <w:rPr>
          <w:sz w:val="21"/>
          <w:szCs w:val="20"/>
        </w:rPr>
        <w:t xml:space="preserve">spodziewa się </w:t>
      </w:r>
      <w:r>
        <w:rPr>
          <w:sz w:val="21"/>
          <w:szCs w:val="20"/>
        </w:rPr>
        <w:t>6</w:t>
      </w:r>
      <w:r w:rsidR="00B601DD">
        <w:rPr>
          <w:sz w:val="21"/>
          <w:szCs w:val="20"/>
        </w:rPr>
        <w:t>0 proc. przedsiębiorców, również najwięcej wśród 6 badanych sektorów.  Na duże odbicie w inwestycjach jeszcze nie ma co liczyć – zdecydowana większość zapytanych (</w:t>
      </w:r>
      <w:r>
        <w:rPr>
          <w:sz w:val="21"/>
          <w:szCs w:val="20"/>
        </w:rPr>
        <w:t>94</w:t>
      </w:r>
      <w:r w:rsidR="00B601DD">
        <w:rPr>
          <w:sz w:val="21"/>
          <w:szCs w:val="20"/>
        </w:rPr>
        <w:t xml:space="preserve"> proc.) uważa, że pozostaną one na niezmienionym poziomie co ostatnio.</w:t>
      </w:r>
    </w:p>
    <w:p w14:paraId="08056BEF" w14:textId="7F125FF6" w:rsidR="00B601DD" w:rsidRPr="00363008" w:rsidRDefault="0021608D" w:rsidP="00B601DD">
      <w:pPr>
        <w:spacing w:after="120"/>
        <w:jc w:val="both"/>
        <w:rPr>
          <w:rFonts w:ascii="Calibri" w:hAnsi="Calibri" w:cs="Arial"/>
          <w:b/>
          <w:color w:val="26744D"/>
          <w:sz w:val="21"/>
        </w:rPr>
      </w:pPr>
      <w:r>
        <w:rPr>
          <w:rFonts w:ascii="Calibri" w:hAnsi="Calibri" w:cs="Arial"/>
          <w:b/>
          <w:color w:val="26744D"/>
          <w:sz w:val="21"/>
        </w:rPr>
        <w:t>Za wcześnie, żeby założyć różowe okulary</w:t>
      </w:r>
    </w:p>
    <w:p w14:paraId="648AEA5E" w14:textId="77777777" w:rsidR="007E0A0F" w:rsidRDefault="007A7245" w:rsidP="00B601DD">
      <w:pPr>
        <w:spacing w:after="120"/>
        <w:jc w:val="both"/>
        <w:rPr>
          <w:rFonts w:ascii="Calibri" w:hAnsi="Calibri" w:cs="Arial"/>
          <w:color w:val="000000" w:themeColor="text1"/>
          <w:sz w:val="21"/>
        </w:rPr>
      </w:pPr>
      <w:r>
        <w:rPr>
          <w:rFonts w:ascii="Calibri" w:hAnsi="Calibri" w:cs="Arial"/>
          <w:color w:val="000000" w:themeColor="text1"/>
          <w:sz w:val="21"/>
        </w:rPr>
        <w:t>Opinie przedsiębiorców z sektora HoReCa dotyczące</w:t>
      </w:r>
      <w:r w:rsidR="00B601DD">
        <w:rPr>
          <w:rFonts w:ascii="Calibri" w:hAnsi="Calibri" w:cs="Arial"/>
          <w:color w:val="000000" w:themeColor="text1"/>
          <w:sz w:val="21"/>
        </w:rPr>
        <w:t xml:space="preserve"> </w:t>
      </w:r>
      <w:r w:rsidR="00B601DD" w:rsidRPr="00B6439D">
        <w:rPr>
          <w:rFonts w:ascii="Calibri" w:hAnsi="Calibri" w:cs="Arial"/>
          <w:color w:val="000000" w:themeColor="text1"/>
          <w:sz w:val="21"/>
        </w:rPr>
        <w:t xml:space="preserve">wpływu </w:t>
      </w:r>
      <w:r w:rsidR="00B601DD">
        <w:rPr>
          <w:rFonts w:ascii="Calibri" w:hAnsi="Calibri" w:cs="Arial"/>
          <w:color w:val="000000" w:themeColor="text1"/>
          <w:sz w:val="21"/>
        </w:rPr>
        <w:t xml:space="preserve">COVID-19 </w:t>
      </w:r>
      <w:r w:rsidR="00B601DD" w:rsidRPr="00B6439D">
        <w:rPr>
          <w:rFonts w:ascii="Calibri" w:hAnsi="Calibri" w:cs="Arial"/>
          <w:color w:val="000000" w:themeColor="text1"/>
          <w:sz w:val="21"/>
        </w:rPr>
        <w:t>na</w:t>
      </w:r>
      <w:r>
        <w:rPr>
          <w:rFonts w:ascii="Calibri" w:hAnsi="Calibri" w:cs="Arial"/>
          <w:color w:val="000000" w:themeColor="text1"/>
          <w:sz w:val="21"/>
        </w:rPr>
        <w:t xml:space="preserve"> ich</w:t>
      </w:r>
      <w:r w:rsidR="00B601DD" w:rsidRPr="00B6439D">
        <w:rPr>
          <w:rFonts w:ascii="Calibri" w:hAnsi="Calibri" w:cs="Arial"/>
          <w:color w:val="000000" w:themeColor="text1"/>
          <w:sz w:val="21"/>
        </w:rPr>
        <w:t xml:space="preserve"> działalność </w:t>
      </w:r>
      <w:r>
        <w:rPr>
          <w:rFonts w:ascii="Calibri" w:hAnsi="Calibri" w:cs="Arial"/>
          <w:color w:val="000000" w:themeColor="text1"/>
          <w:sz w:val="21"/>
        </w:rPr>
        <w:t>nie są już tak optymistyczne. Aż</w:t>
      </w:r>
      <w:r w:rsidR="00B601DD">
        <w:rPr>
          <w:rFonts w:ascii="Calibri" w:hAnsi="Calibri" w:cs="Arial"/>
          <w:color w:val="000000" w:themeColor="text1"/>
          <w:sz w:val="21"/>
        </w:rPr>
        <w:t xml:space="preserve"> 3 na 4 zapytanych twierdzi, że koronawirus ma zdecydowanie</w:t>
      </w:r>
      <w:r w:rsidR="00B601DD" w:rsidRPr="00B6439D">
        <w:rPr>
          <w:rFonts w:ascii="Calibri" w:hAnsi="Calibri" w:cs="Arial"/>
          <w:color w:val="000000" w:themeColor="text1"/>
          <w:sz w:val="21"/>
        </w:rPr>
        <w:t xml:space="preserve"> </w:t>
      </w:r>
      <w:r w:rsidR="00B601DD">
        <w:rPr>
          <w:rFonts w:ascii="Calibri" w:hAnsi="Calibri" w:cs="Arial"/>
          <w:color w:val="000000" w:themeColor="text1"/>
          <w:sz w:val="21"/>
        </w:rPr>
        <w:t>niekorzystny wpływ na ich firmę</w:t>
      </w:r>
      <w:r w:rsidR="00B601DD" w:rsidRPr="00B6439D">
        <w:rPr>
          <w:rFonts w:ascii="Calibri" w:hAnsi="Calibri" w:cs="Arial"/>
          <w:color w:val="000000" w:themeColor="text1"/>
          <w:sz w:val="21"/>
        </w:rPr>
        <w:t xml:space="preserve"> (7</w:t>
      </w:r>
      <w:r>
        <w:rPr>
          <w:rFonts w:ascii="Calibri" w:hAnsi="Calibri" w:cs="Arial"/>
          <w:color w:val="000000" w:themeColor="text1"/>
          <w:sz w:val="21"/>
        </w:rPr>
        <w:t>2,5</w:t>
      </w:r>
      <w:r w:rsidR="00B601DD">
        <w:rPr>
          <w:rFonts w:ascii="Calibri" w:hAnsi="Calibri" w:cs="Arial"/>
          <w:color w:val="000000" w:themeColor="text1"/>
          <w:sz w:val="21"/>
        </w:rPr>
        <w:t xml:space="preserve"> proc.)</w:t>
      </w:r>
      <w:r>
        <w:rPr>
          <w:rFonts w:ascii="Calibri" w:hAnsi="Calibri" w:cs="Arial"/>
          <w:color w:val="000000" w:themeColor="text1"/>
          <w:sz w:val="21"/>
        </w:rPr>
        <w:t xml:space="preserve">, na raczej niekorzystny wpływ wskazali pozostali ankietowani (27,5 proc.), co oznacza, że nie ma ani neutralnych ani pozytywnych opinii. Tak słabych ocen nie ma w żadnej innej branży. </w:t>
      </w:r>
    </w:p>
    <w:p w14:paraId="61514D35" w14:textId="404DF582" w:rsidR="007A7245" w:rsidRDefault="007A7245" w:rsidP="00B601DD">
      <w:pPr>
        <w:spacing w:after="120"/>
        <w:jc w:val="both"/>
        <w:rPr>
          <w:rFonts w:ascii="Calibri" w:hAnsi="Calibri" w:cs="Arial"/>
          <w:color w:val="000000" w:themeColor="text1"/>
          <w:sz w:val="21"/>
        </w:rPr>
      </w:pPr>
      <w:r>
        <w:rPr>
          <w:rFonts w:ascii="Calibri" w:hAnsi="Calibri" w:cs="Arial"/>
          <w:color w:val="000000" w:themeColor="text1"/>
          <w:sz w:val="21"/>
        </w:rPr>
        <w:t xml:space="preserve">Po raz kolejny </w:t>
      </w:r>
      <w:r w:rsidR="00B601DD">
        <w:rPr>
          <w:rFonts w:ascii="Calibri" w:hAnsi="Calibri" w:cs="Arial"/>
          <w:color w:val="000000" w:themeColor="text1"/>
          <w:sz w:val="21"/>
        </w:rPr>
        <w:t>HoReCa pozostaj</w:t>
      </w:r>
      <w:r w:rsidR="007E0A0F">
        <w:rPr>
          <w:rFonts w:ascii="Calibri" w:hAnsi="Calibri" w:cs="Arial"/>
          <w:color w:val="000000" w:themeColor="text1"/>
          <w:sz w:val="21"/>
        </w:rPr>
        <w:t>e</w:t>
      </w:r>
      <w:r w:rsidR="00B601DD">
        <w:rPr>
          <w:rFonts w:ascii="Calibri" w:hAnsi="Calibri" w:cs="Arial"/>
          <w:color w:val="000000" w:themeColor="text1"/>
          <w:sz w:val="21"/>
        </w:rPr>
        <w:t xml:space="preserve"> także tą gałęzią gospodarki, w której najwięcej przedstawicieli obawia się upadków biznesów. </w:t>
      </w:r>
      <w:r>
        <w:rPr>
          <w:rFonts w:ascii="Calibri" w:hAnsi="Calibri" w:cs="Arial"/>
          <w:color w:val="000000" w:themeColor="text1"/>
          <w:sz w:val="21"/>
        </w:rPr>
        <w:t>Aż 85 proc. hotelarzy i restauratorów</w:t>
      </w:r>
      <w:r w:rsidR="00B601DD">
        <w:rPr>
          <w:rFonts w:ascii="Calibri" w:hAnsi="Calibri" w:cs="Arial"/>
          <w:color w:val="000000" w:themeColor="text1"/>
          <w:sz w:val="21"/>
        </w:rPr>
        <w:t xml:space="preserve"> prognozuje, że największym skutkiem gospodarczym pandemii będzie zamknięcie działalności gastronomicznych i hotelarskich. To </w:t>
      </w:r>
      <w:r>
        <w:rPr>
          <w:rFonts w:ascii="Calibri" w:hAnsi="Calibri" w:cs="Arial"/>
          <w:color w:val="000000" w:themeColor="text1"/>
          <w:sz w:val="21"/>
        </w:rPr>
        <w:t xml:space="preserve">także </w:t>
      </w:r>
      <w:r w:rsidR="00B601DD">
        <w:rPr>
          <w:rFonts w:ascii="Calibri" w:hAnsi="Calibri" w:cs="Arial"/>
          <w:color w:val="000000" w:themeColor="text1"/>
          <w:sz w:val="21"/>
        </w:rPr>
        <w:t xml:space="preserve">najwyższy odsetek wśród 6 badanych sektorów. </w:t>
      </w:r>
    </w:p>
    <w:p w14:paraId="183FE436" w14:textId="51BA46F2" w:rsidR="007A7245" w:rsidRDefault="00B601DD" w:rsidP="00B601DD">
      <w:pPr>
        <w:spacing w:after="120"/>
        <w:jc w:val="both"/>
        <w:rPr>
          <w:rFonts w:ascii="Calibri" w:hAnsi="Calibri" w:cs="Arial"/>
          <w:color w:val="000000" w:themeColor="text1"/>
          <w:sz w:val="21"/>
        </w:rPr>
      </w:pPr>
      <w:r>
        <w:rPr>
          <w:rFonts w:ascii="Calibri" w:hAnsi="Calibri" w:cs="Arial"/>
          <w:color w:val="000000" w:themeColor="text1"/>
          <w:sz w:val="21"/>
        </w:rPr>
        <w:t xml:space="preserve">Ponadto, </w:t>
      </w:r>
      <w:r w:rsidR="007A7245">
        <w:rPr>
          <w:rFonts w:ascii="Calibri" w:hAnsi="Calibri" w:cs="Arial"/>
          <w:color w:val="000000" w:themeColor="text1"/>
          <w:sz w:val="21"/>
        </w:rPr>
        <w:t xml:space="preserve">przedstawiciele HoReCa bardzo obawiają się tego, co będzie pod koniec tego roku. 2 na 3 zapytanych jest zdania, że w kolejnych 6 miesiącach sytuacja w ich branży pogorszy się. Taka ocena ma wpływ na spodziewany powrót koniunktury. Prawie połowa przedsiębiorców (49 proc.) uważa, że nastąpi to dopiero w ciągu najbliższych 2-3 lat, a prawie co trzeci (29 proc.) – w przyszłym roku. </w:t>
      </w:r>
    </w:p>
    <w:p w14:paraId="5317158C" w14:textId="72408276" w:rsidR="00B601DD" w:rsidRDefault="00B601DD" w:rsidP="00B601DD">
      <w:pPr>
        <w:spacing w:after="120"/>
        <w:jc w:val="both"/>
        <w:rPr>
          <w:b/>
          <w:sz w:val="21"/>
          <w:szCs w:val="20"/>
        </w:rPr>
      </w:pPr>
      <w:r w:rsidRPr="009C7E12">
        <w:rPr>
          <w:b/>
          <w:sz w:val="21"/>
          <w:szCs w:val="20"/>
        </w:rPr>
        <w:t xml:space="preserve">Wartość głównego indeksu Barometru EFL </w:t>
      </w:r>
      <w:r>
        <w:rPr>
          <w:b/>
          <w:sz w:val="21"/>
          <w:szCs w:val="20"/>
        </w:rPr>
        <w:t>na</w:t>
      </w:r>
      <w:r w:rsidRPr="009C7E12">
        <w:rPr>
          <w:b/>
          <w:sz w:val="21"/>
          <w:szCs w:val="20"/>
        </w:rPr>
        <w:t xml:space="preserve"> I</w:t>
      </w:r>
      <w:r>
        <w:rPr>
          <w:b/>
          <w:sz w:val="21"/>
          <w:szCs w:val="20"/>
        </w:rPr>
        <w:t>I</w:t>
      </w:r>
      <w:r w:rsidRPr="009C7E12">
        <w:rPr>
          <w:b/>
          <w:sz w:val="21"/>
          <w:szCs w:val="20"/>
        </w:rPr>
        <w:t>I kwarta</w:t>
      </w:r>
      <w:r>
        <w:rPr>
          <w:b/>
          <w:sz w:val="21"/>
          <w:szCs w:val="20"/>
        </w:rPr>
        <w:t>ł</w:t>
      </w:r>
      <w:r w:rsidRPr="009C7E12">
        <w:rPr>
          <w:b/>
          <w:sz w:val="21"/>
          <w:szCs w:val="20"/>
        </w:rPr>
        <w:t xml:space="preserve"> 202</w:t>
      </w:r>
      <w:r w:rsidR="00E310C3">
        <w:rPr>
          <w:b/>
          <w:sz w:val="21"/>
          <w:szCs w:val="20"/>
        </w:rPr>
        <w:t>1</w:t>
      </w:r>
      <w:r w:rsidRPr="009C7E12">
        <w:rPr>
          <w:b/>
          <w:sz w:val="21"/>
          <w:szCs w:val="20"/>
        </w:rPr>
        <w:t xml:space="preserve"> roku </w:t>
      </w:r>
      <w:r>
        <w:rPr>
          <w:b/>
          <w:sz w:val="21"/>
          <w:szCs w:val="20"/>
        </w:rPr>
        <w:t>wyniosła 5</w:t>
      </w:r>
      <w:r w:rsidR="00E310C3">
        <w:rPr>
          <w:b/>
          <w:sz w:val="21"/>
          <w:szCs w:val="20"/>
        </w:rPr>
        <w:t>3,5</w:t>
      </w:r>
      <w:r w:rsidRPr="009C7E12">
        <w:rPr>
          <w:b/>
          <w:sz w:val="21"/>
          <w:szCs w:val="20"/>
        </w:rPr>
        <w:t xml:space="preserve"> pkt. Osiągnięty poziom jest o </w:t>
      </w:r>
      <w:r w:rsidR="00E310C3">
        <w:rPr>
          <w:b/>
          <w:sz w:val="21"/>
          <w:szCs w:val="20"/>
        </w:rPr>
        <w:t>0</w:t>
      </w:r>
      <w:r w:rsidRPr="009C7E12">
        <w:rPr>
          <w:b/>
          <w:sz w:val="21"/>
          <w:szCs w:val="20"/>
        </w:rPr>
        <w:t>,</w:t>
      </w:r>
      <w:r>
        <w:rPr>
          <w:b/>
          <w:sz w:val="21"/>
          <w:szCs w:val="20"/>
        </w:rPr>
        <w:t xml:space="preserve">7 </w:t>
      </w:r>
      <w:r w:rsidRPr="009C7E12">
        <w:rPr>
          <w:b/>
          <w:sz w:val="21"/>
          <w:szCs w:val="20"/>
        </w:rPr>
        <w:t xml:space="preserve">pkt. </w:t>
      </w:r>
      <w:r>
        <w:rPr>
          <w:b/>
          <w:sz w:val="21"/>
          <w:szCs w:val="20"/>
        </w:rPr>
        <w:t>wy</w:t>
      </w:r>
      <w:r w:rsidRPr="009C7E12">
        <w:rPr>
          <w:b/>
          <w:sz w:val="21"/>
          <w:szCs w:val="20"/>
        </w:rPr>
        <w:t xml:space="preserve">ższy niż w </w:t>
      </w:r>
      <w:r>
        <w:rPr>
          <w:b/>
          <w:sz w:val="21"/>
          <w:szCs w:val="20"/>
        </w:rPr>
        <w:t>drugim</w:t>
      </w:r>
      <w:r w:rsidRPr="009C7E12">
        <w:rPr>
          <w:b/>
          <w:sz w:val="21"/>
          <w:szCs w:val="20"/>
        </w:rPr>
        <w:t xml:space="preserve"> kwartale tego roku i jednocześnie naj</w:t>
      </w:r>
      <w:r>
        <w:rPr>
          <w:b/>
          <w:sz w:val="21"/>
          <w:szCs w:val="20"/>
        </w:rPr>
        <w:t xml:space="preserve">wyższy </w:t>
      </w:r>
      <w:r w:rsidRPr="009C7E12">
        <w:rPr>
          <w:b/>
          <w:sz w:val="21"/>
          <w:szCs w:val="20"/>
        </w:rPr>
        <w:t xml:space="preserve">od </w:t>
      </w:r>
      <w:r>
        <w:rPr>
          <w:b/>
          <w:sz w:val="21"/>
          <w:szCs w:val="20"/>
        </w:rPr>
        <w:t>II</w:t>
      </w:r>
      <w:r w:rsidR="00E310C3">
        <w:rPr>
          <w:b/>
          <w:sz w:val="21"/>
          <w:szCs w:val="20"/>
        </w:rPr>
        <w:t xml:space="preserve"> </w:t>
      </w:r>
      <w:r>
        <w:rPr>
          <w:b/>
          <w:sz w:val="21"/>
          <w:szCs w:val="20"/>
        </w:rPr>
        <w:t>kwartału 2019 roku (5</w:t>
      </w:r>
      <w:r w:rsidR="00E310C3">
        <w:rPr>
          <w:b/>
          <w:sz w:val="21"/>
          <w:szCs w:val="20"/>
        </w:rPr>
        <w:t>4,5</w:t>
      </w:r>
      <w:r w:rsidR="00FA5A8B">
        <w:rPr>
          <w:b/>
          <w:sz w:val="21"/>
          <w:szCs w:val="20"/>
        </w:rPr>
        <w:t>2</w:t>
      </w:r>
      <w:r>
        <w:rPr>
          <w:b/>
          <w:sz w:val="21"/>
          <w:szCs w:val="20"/>
        </w:rPr>
        <w:t xml:space="preserve"> pkt.).</w:t>
      </w:r>
    </w:p>
    <w:p w14:paraId="2FD9CCD3" w14:textId="76859049" w:rsidR="007A7245" w:rsidRPr="007A7245" w:rsidRDefault="007A7245" w:rsidP="007A7245">
      <w:pPr>
        <w:spacing w:after="120" w:line="276" w:lineRule="auto"/>
        <w:jc w:val="both"/>
        <w:rPr>
          <w:rFonts w:ascii="Calibri" w:hAnsi="Calibri" w:cs="Arial"/>
          <w:b/>
          <w:color w:val="26744D"/>
          <w:sz w:val="18"/>
          <w:szCs w:val="18"/>
        </w:rPr>
      </w:pPr>
      <w:r w:rsidRPr="005D57A6">
        <w:rPr>
          <w:rFonts w:ascii="Calibri" w:hAnsi="Calibri" w:cs="Arial"/>
          <w:b/>
          <w:color w:val="26744D"/>
          <w:sz w:val="18"/>
          <w:szCs w:val="18"/>
        </w:rPr>
        <w:t>***</w:t>
      </w:r>
    </w:p>
    <w:p w14:paraId="101BA59C" w14:textId="77777777" w:rsidR="00E310C3" w:rsidRDefault="00E310C3" w:rsidP="00E310C3">
      <w:pPr>
        <w:spacing w:after="120" w:line="276" w:lineRule="auto"/>
        <w:jc w:val="both"/>
        <w:rPr>
          <w:sz w:val="18"/>
        </w:rPr>
      </w:pPr>
      <w:r w:rsidRPr="00ED3203">
        <w:rPr>
          <w:b/>
          <w:sz w:val="18"/>
        </w:rPr>
        <w:t>Barometr EFL</w:t>
      </w:r>
      <w:r w:rsidRPr="00ED3203">
        <w:rPr>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t>
      </w:r>
      <w:r>
        <w:rPr>
          <w:sz w:val="18"/>
        </w:rPr>
        <w:t>od 18 czerwca do 2 lipca 2021 roku.</w:t>
      </w:r>
    </w:p>
    <w:p w14:paraId="47286BBE" w14:textId="3A6C583B" w:rsidR="005D57A6" w:rsidRPr="007A7245" w:rsidRDefault="00E310C3" w:rsidP="005D57A6">
      <w:pPr>
        <w:spacing w:after="120" w:line="276" w:lineRule="auto"/>
        <w:jc w:val="both"/>
        <w:rPr>
          <w:rFonts w:ascii="Calibri" w:hAnsi="Calibri" w:cs="Calibri"/>
          <w:sz w:val="21"/>
        </w:rPr>
      </w:pPr>
      <w:r w:rsidRPr="00E310C3">
        <w:rPr>
          <w:rFonts w:ascii="Calibri" w:eastAsia="Times New Roman" w:hAnsi="Calibri" w:cs="Calibri"/>
          <w:b/>
          <w:iCs/>
          <w:color w:val="0A0A0A"/>
          <w:sz w:val="18"/>
          <w:shd w:val="clear" w:color="auto" w:fill="FEFEFE"/>
          <w:lang w:eastAsia="pl-PL"/>
        </w:rPr>
        <w:t>OR</w:t>
      </w:r>
      <w:r w:rsidRPr="00E310C3">
        <w:rPr>
          <w:rFonts w:ascii="Calibri" w:eastAsia="Times New Roman" w:hAnsi="Calibri" w:cs="Calibri"/>
          <w:iCs/>
          <w:color w:val="0A0A0A"/>
          <w:sz w:val="18"/>
          <w:shd w:val="clear" w:color="auto" w:fill="FEFEFE"/>
          <w:lang w:eastAsia="pl-PL"/>
        </w:rPr>
        <w:t>, czyli próg ograniczonego rozwoju, to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5D57A6" w:rsidRPr="00CA1548" w14:paraId="25E3FF49" w14:textId="77777777" w:rsidTr="008D23F4">
        <w:tc>
          <w:tcPr>
            <w:tcW w:w="9632" w:type="dxa"/>
            <w:shd w:val="clear" w:color="auto" w:fill="22744F"/>
          </w:tcPr>
          <w:p w14:paraId="74BA3083" w14:textId="77777777" w:rsidR="005D57A6" w:rsidRPr="00CA1548" w:rsidRDefault="005D57A6" w:rsidP="005D57A6">
            <w:pPr>
              <w:tabs>
                <w:tab w:val="left" w:pos="4248"/>
                <w:tab w:val="left" w:pos="6684"/>
              </w:tabs>
              <w:spacing w:after="0"/>
              <w:outlineLvl w:val="0"/>
              <w:rPr>
                <w:rFonts w:ascii="Arial" w:hAnsi="Arial" w:cs="Arial"/>
                <w:color w:val="FFFFFF"/>
                <w:sz w:val="18"/>
                <w:szCs w:val="20"/>
              </w:rPr>
            </w:pPr>
            <w:r w:rsidRPr="00CA1548">
              <w:rPr>
                <w:rFonts w:ascii="Arial" w:hAnsi="Arial" w:cs="Arial"/>
                <w:color w:val="FFFFFF"/>
                <w:sz w:val="18"/>
                <w:szCs w:val="20"/>
              </w:rPr>
              <w:lastRenderedPageBreak/>
              <w:t>Więcej informacji udziela:</w:t>
            </w:r>
            <w:r w:rsidRPr="00CA1548">
              <w:rPr>
                <w:rFonts w:ascii="Arial" w:hAnsi="Arial" w:cs="Arial"/>
                <w:color w:val="FFFFFF"/>
                <w:sz w:val="18"/>
                <w:szCs w:val="20"/>
              </w:rPr>
              <w:tab/>
            </w:r>
            <w:r w:rsidRPr="00CA1548">
              <w:rPr>
                <w:rFonts w:ascii="Arial" w:hAnsi="Arial" w:cs="Arial"/>
                <w:color w:val="FFFFFF"/>
                <w:sz w:val="18"/>
                <w:szCs w:val="20"/>
              </w:rPr>
              <w:tab/>
            </w:r>
          </w:p>
        </w:tc>
      </w:tr>
      <w:tr w:rsidR="005D57A6" w:rsidRPr="00CA1548" w14:paraId="36E0F40C" w14:textId="77777777" w:rsidTr="008D23F4">
        <w:trPr>
          <w:trHeight w:val="964"/>
        </w:trPr>
        <w:tc>
          <w:tcPr>
            <w:tcW w:w="9632" w:type="dxa"/>
            <w:shd w:val="clear" w:color="auto" w:fill="auto"/>
            <w:vAlign w:val="center"/>
          </w:tcPr>
          <w:p w14:paraId="36C56A5D" w14:textId="77777777" w:rsidR="005D57A6" w:rsidRPr="00CA1548" w:rsidRDefault="005D57A6" w:rsidP="005D57A6">
            <w:pPr>
              <w:spacing w:after="0"/>
              <w:outlineLvl w:val="0"/>
              <w:rPr>
                <w:rFonts w:ascii="Arial" w:hAnsi="Arial" w:cs="Arial"/>
                <w:sz w:val="18"/>
                <w:szCs w:val="20"/>
              </w:rPr>
            </w:pPr>
            <w:r w:rsidRPr="00CA1548">
              <w:rPr>
                <w:rFonts w:ascii="Arial" w:hAnsi="Arial" w:cs="Arial"/>
                <w:b/>
                <w:sz w:val="18"/>
                <w:szCs w:val="20"/>
              </w:rPr>
              <w:t>Maja Lidke</w:t>
            </w:r>
          </w:p>
          <w:p w14:paraId="4E8E3944" w14:textId="77777777" w:rsidR="005D57A6" w:rsidRPr="00CA1548" w:rsidRDefault="005D57A6" w:rsidP="005D57A6">
            <w:pPr>
              <w:spacing w:after="0"/>
              <w:outlineLvl w:val="0"/>
              <w:rPr>
                <w:rFonts w:ascii="Arial" w:hAnsi="Arial" w:cs="Arial"/>
                <w:sz w:val="18"/>
                <w:szCs w:val="20"/>
              </w:rPr>
            </w:pPr>
            <w:r w:rsidRPr="00CA1548">
              <w:rPr>
                <w:rFonts w:ascii="Arial" w:hAnsi="Arial" w:cs="Arial"/>
                <w:sz w:val="18"/>
                <w:szCs w:val="20"/>
              </w:rPr>
              <w:t>Europejski Fundusz Leasingowy</w:t>
            </w:r>
          </w:p>
          <w:p w14:paraId="4137CA7B" w14:textId="77777777" w:rsidR="005D57A6" w:rsidRPr="00CA1548" w:rsidRDefault="005D57A6" w:rsidP="005D57A6">
            <w:pPr>
              <w:spacing w:after="0"/>
              <w:rPr>
                <w:rFonts w:ascii="Arial" w:hAnsi="Arial" w:cs="Arial"/>
                <w:sz w:val="18"/>
                <w:szCs w:val="20"/>
              </w:rPr>
            </w:pPr>
            <w:r w:rsidRPr="00CA1548">
              <w:rPr>
                <w:rFonts w:ascii="Arial" w:hAnsi="Arial" w:cs="Arial"/>
                <w:sz w:val="18"/>
                <w:szCs w:val="20"/>
              </w:rPr>
              <w:t>Tel.: 603 630 166</w:t>
            </w:r>
          </w:p>
          <w:p w14:paraId="145FB64A" w14:textId="77777777" w:rsidR="005D57A6" w:rsidRPr="00CA1548" w:rsidRDefault="005D57A6" w:rsidP="005D57A6">
            <w:pPr>
              <w:spacing w:after="0"/>
              <w:outlineLvl w:val="0"/>
              <w:rPr>
                <w:rFonts w:ascii="Arial" w:hAnsi="Arial" w:cs="Arial"/>
                <w:b/>
                <w:sz w:val="18"/>
                <w:szCs w:val="20"/>
                <w:lang w:val="en-GB"/>
              </w:rPr>
            </w:pPr>
            <w:r w:rsidRPr="00CA1548">
              <w:rPr>
                <w:rFonts w:ascii="Arial" w:hAnsi="Arial" w:cs="Arial"/>
                <w:sz w:val="18"/>
                <w:szCs w:val="20"/>
                <w:lang w:val="en-GB"/>
              </w:rPr>
              <w:t xml:space="preserve">E-mail: </w:t>
            </w:r>
            <w:hyperlink r:id="rId8" w:history="1">
              <w:r w:rsidRPr="00CA1548">
                <w:rPr>
                  <w:rStyle w:val="Hipercze"/>
                  <w:rFonts w:ascii="Arial" w:hAnsi="Arial" w:cs="Arial"/>
                  <w:sz w:val="18"/>
                  <w:szCs w:val="20"/>
                  <w:lang w:val="en-GB"/>
                </w:rPr>
                <w:t>maja.lidke@efl.com.pl</w:t>
              </w:r>
            </w:hyperlink>
          </w:p>
        </w:tc>
      </w:tr>
    </w:tbl>
    <w:p w14:paraId="6EFF4EEB" w14:textId="77777777" w:rsidR="005D57A6" w:rsidRPr="00575566" w:rsidRDefault="005D57A6" w:rsidP="005D57A6">
      <w:pPr>
        <w:spacing w:after="120" w:line="276" w:lineRule="auto"/>
        <w:jc w:val="both"/>
        <w:rPr>
          <w:rFonts w:ascii="Arial" w:hAnsi="Arial" w:cs="Arial"/>
          <w:b/>
          <w:color w:val="26744D"/>
          <w:sz w:val="20"/>
          <w:lang w:val="en-GB"/>
        </w:rPr>
      </w:pPr>
    </w:p>
    <w:p w14:paraId="5383700D" w14:textId="77777777" w:rsidR="005D57A6" w:rsidRPr="00575566" w:rsidRDefault="005D57A6" w:rsidP="005D57A6">
      <w:pPr>
        <w:rPr>
          <w:lang w:val="en-GB"/>
        </w:rPr>
      </w:pPr>
    </w:p>
    <w:p w14:paraId="07591E8B" w14:textId="00F57312" w:rsidR="00B62F34" w:rsidRPr="00260A41" w:rsidRDefault="00B62F34" w:rsidP="00B62F34">
      <w:pPr>
        <w:tabs>
          <w:tab w:val="left" w:pos="6960"/>
        </w:tabs>
        <w:rPr>
          <w:rFonts w:ascii="geomanist" w:hAnsi="geomanist"/>
          <w:lang w:val="en-US"/>
        </w:rPr>
      </w:pPr>
      <w:r w:rsidRPr="00260A41">
        <w:rPr>
          <w:rFonts w:ascii="geomanist" w:hAnsi="geomanist"/>
          <w:lang w:val="en-US"/>
        </w:rPr>
        <w:tab/>
      </w:r>
    </w:p>
    <w:sectPr w:rsidR="00B62F34" w:rsidRPr="00260A41" w:rsidSect="00A61696">
      <w:headerReference w:type="default" r:id="rId9"/>
      <w:footerReference w:type="default" r:id="rId10"/>
      <w:pgSz w:w="11906" w:h="16838"/>
      <w:pgMar w:top="851" w:right="964" w:bottom="794" w:left="964"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4E70" w14:textId="77777777" w:rsidR="00023751" w:rsidRDefault="00023751" w:rsidP="00A61696">
      <w:pPr>
        <w:spacing w:after="0" w:line="240" w:lineRule="auto"/>
      </w:pPr>
      <w:r>
        <w:separator/>
      </w:r>
    </w:p>
  </w:endnote>
  <w:endnote w:type="continuationSeparator" w:id="0">
    <w:p w14:paraId="480FD0AF" w14:textId="77777777" w:rsidR="00023751" w:rsidRDefault="00023751" w:rsidP="00A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manist">
    <w:altName w:val="Cambria"/>
    <w:panose1 w:val="00000000000000000000"/>
    <w:charset w:val="00"/>
    <w:family w:val="modern"/>
    <w:notTrueType/>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143" w14:textId="3850707C" w:rsidR="00A61696" w:rsidRDefault="00EA11E6">
    <w:pPr>
      <w:pStyle w:val="Stopka"/>
    </w:pPr>
    <w:r>
      <w:rPr>
        <w:noProof/>
        <w:lang w:eastAsia="pl-PL"/>
      </w:rPr>
      <w:drawing>
        <wp:anchor distT="0" distB="0" distL="114300" distR="114300" simplePos="0" relativeHeight="251660288" behindDoc="0" locked="0" layoutInCell="1" allowOverlap="1" wp14:anchorId="6C53775D" wp14:editId="19F6B918">
          <wp:simplePos x="0" y="0"/>
          <wp:positionH relativeFrom="page">
            <wp:align>right</wp:align>
          </wp:positionH>
          <wp:positionV relativeFrom="paragraph">
            <wp:posOffset>-937246</wp:posOffset>
          </wp:positionV>
          <wp:extent cx="7553960" cy="1533511"/>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53351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B1A2" w14:textId="77777777" w:rsidR="00023751" w:rsidRDefault="00023751" w:rsidP="00A61696">
      <w:pPr>
        <w:spacing w:after="0" w:line="240" w:lineRule="auto"/>
      </w:pPr>
      <w:r>
        <w:separator/>
      </w:r>
    </w:p>
  </w:footnote>
  <w:footnote w:type="continuationSeparator" w:id="0">
    <w:p w14:paraId="655B029E" w14:textId="77777777" w:rsidR="00023751" w:rsidRDefault="00023751" w:rsidP="00A6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C240" w14:textId="7186C354" w:rsidR="00A61696" w:rsidRDefault="00A61696">
    <w:pPr>
      <w:pStyle w:val="Nagwek"/>
    </w:pPr>
    <w:r>
      <w:rPr>
        <w:noProof/>
        <w:lang w:eastAsia="pl-PL"/>
      </w:rPr>
      <w:drawing>
        <wp:anchor distT="0" distB="0" distL="114300" distR="114300" simplePos="0" relativeHeight="251659264" behindDoc="0" locked="0" layoutInCell="1" allowOverlap="1" wp14:anchorId="5A006972" wp14:editId="3A00BDC2">
          <wp:simplePos x="0" y="0"/>
          <wp:positionH relativeFrom="page">
            <wp:align>right</wp:align>
          </wp:positionH>
          <wp:positionV relativeFrom="paragraph">
            <wp:posOffset>-973455</wp:posOffset>
          </wp:positionV>
          <wp:extent cx="7535505" cy="1528549"/>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35505" cy="15285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96C63"/>
    <w:multiLevelType w:val="hybridMultilevel"/>
    <w:tmpl w:val="E0F6C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6"/>
    <w:rsid w:val="00023751"/>
    <w:rsid w:val="000302C0"/>
    <w:rsid w:val="000747EE"/>
    <w:rsid w:val="0013036F"/>
    <w:rsid w:val="00133FCD"/>
    <w:rsid w:val="001C7D24"/>
    <w:rsid w:val="0021608D"/>
    <w:rsid w:val="00260A41"/>
    <w:rsid w:val="002640AB"/>
    <w:rsid w:val="002B635C"/>
    <w:rsid w:val="002E16CA"/>
    <w:rsid w:val="003608BD"/>
    <w:rsid w:val="003632B1"/>
    <w:rsid w:val="00371FE9"/>
    <w:rsid w:val="00397B28"/>
    <w:rsid w:val="003B0DB4"/>
    <w:rsid w:val="004353CE"/>
    <w:rsid w:val="004C7F74"/>
    <w:rsid w:val="004F12AC"/>
    <w:rsid w:val="005069EA"/>
    <w:rsid w:val="00525DA1"/>
    <w:rsid w:val="005D57A6"/>
    <w:rsid w:val="00620072"/>
    <w:rsid w:val="0070528B"/>
    <w:rsid w:val="0072039B"/>
    <w:rsid w:val="00725D4E"/>
    <w:rsid w:val="007A7245"/>
    <w:rsid w:val="007E0A0F"/>
    <w:rsid w:val="007F0927"/>
    <w:rsid w:val="00805E47"/>
    <w:rsid w:val="008B4EDC"/>
    <w:rsid w:val="0092699E"/>
    <w:rsid w:val="00996314"/>
    <w:rsid w:val="009B7145"/>
    <w:rsid w:val="00A61696"/>
    <w:rsid w:val="00AA38AD"/>
    <w:rsid w:val="00AC0A74"/>
    <w:rsid w:val="00AE33BF"/>
    <w:rsid w:val="00B41784"/>
    <w:rsid w:val="00B601DD"/>
    <w:rsid w:val="00B62F34"/>
    <w:rsid w:val="00B74C5A"/>
    <w:rsid w:val="00B825FB"/>
    <w:rsid w:val="00BA3DED"/>
    <w:rsid w:val="00BE5CDE"/>
    <w:rsid w:val="00C333A4"/>
    <w:rsid w:val="00C35282"/>
    <w:rsid w:val="00C52E60"/>
    <w:rsid w:val="00C61A5C"/>
    <w:rsid w:val="00CA1548"/>
    <w:rsid w:val="00CB67E3"/>
    <w:rsid w:val="00D4410E"/>
    <w:rsid w:val="00D6522C"/>
    <w:rsid w:val="00D81A5A"/>
    <w:rsid w:val="00E17419"/>
    <w:rsid w:val="00E310C3"/>
    <w:rsid w:val="00E33AE5"/>
    <w:rsid w:val="00E4747C"/>
    <w:rsid w:val="00EA11E6"/>
    <w:rsid w:val="00EA1926"/>
    <w:rsid w:val="00ED635B"/>
    <w:rsid w:val="00F030E9"/>
    <w:rsid w:val="00F427C7"/>
    <w:rsid w:val="00F820BF"/>
    <w:rsid w:val="00FA5A8B"/>
    <w:rsid w:val="00FB6AB2"/>
    <w:rsid w:val="00FE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E1A"/>
  <w15:docId w15:val="{3AD8DEC8-A052-4BE5-AD86-425A871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1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1696"/>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A6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696"/>
  </w:style>
  <w:style w:type="paragraph" w:styleId="Stopka">
    <w:name w:val="footer"/>
    <w:basedOn w:val="Normalny"/>
    <w:link w:val="StopkaZnak"/>
    <w:uiPriority w:val="99"/>
    <w:unhideWhenUsed/>
    <w:rsid w:val="00A6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696"/>
  </w:style>
  <w:style w:type="character" w:styleId="Hipercze">
    <w:name w:val="Hyperlink"/>
    <w:unhideWhenUsed/>
    <w:rsid w:val="005D57A6"/>
    <w:rPr>
      <w:color w:val="0000FF"/>
      <w:u w:val="single"/>
    </w:rPr>
  </w:style>
  <w:style w:type="paragraph" w:styleId="Akapitzlist">
    <w:name w:val="List Paragraph"/>
    <w:basedOn w:val="Normalny"/>
    <w:uiPriority w:val="34"/>
    <w:qFormat/>
    <w:rsid w:val="00C333A4"/>
    <w:pPr>
      <w:spacing w:after="0" w:line="240" w:lineRule="auto"/>
      <w:ind w:left="720"/>
    </w:pPr>
    <w:rPr>
      <w:rFonts w:ascii="Calibri" w:eastAsia="Calibri" w:hAnsi="Calibri" w:cs="Times New Roman"/>
      <w:lang w:eastAsia="pl-PL"/>
    </w:rPr>
  </w:style>
  <w:style w:type="paragraph" w:styleId="NormalnyWeb">
    <w:name w:val="Normal (Web)"/>
    <w:basedOn w:val="Normalny"/>
    <w:uiPriority w:val="99"/>
    <w:unhideWhenUsed/>
    <w:rsid w:val="00C333A4"/>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C33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884">
      <w:bodyDiv w:val="1"/>
      <w:marLeft w:val="0"/>
      <w:marRight w:val="0"/>
      <w:marTop w:val="0"/>
      <w:marBottom w:val="0"/>
      <w:divBdr>
        <w:top w:val="none" w:sz="0" w:space="0" w:color="auto"/>
        <w:left w:val="none" w:sz="0" w:space="0" w:color="auto"/>
        <w:bottom w:val="none" w:sz="0" w:space="0" w:color="auto"/>
        <w:right w:val="none" w:sz="0" w:space="0" w:color="auto"/>
      </w:divBdr>
    </w:div>
    <w:div w:id="18137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lidke@efl.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2173-0E67-4A41-A234-DED4162B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Kaminski</dc:creator>
  <cp:keywords/>
  <dc:description/>
  <cp:lastModifiedBy>Maja Lidke</cp:lastModifiedBy>
  <cp:revision>36</cp:revision>
  <dcterms:created xsi:type="dcterms:W3CDTF">2021-07-29T08:34:00Z</dcterms:created>
  <dcterms:modified xsi:type="dcterms:W3CDTF">2021-08-10T06:28:00Z</dcterms:modified>
</cp:coreProperties>
</file>