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39C61" w14:textId="5675AA19" w:rsidR="00416A12" w:rsidRPr="00936D0D" w:rsidRDefault="00FD2840" w:rsidP="00936D0D">
      <w:pPr>
        <w:rPr>
          <w:b/>
          <w:bCs/>
        </w:rPr>
      </w:pPr>
      <w:r>
        <w:rPr>
          <w:b/>
          <w:bCs/>
        </w:rPr>
        <w:t>Jesienią firmy zmieniają</w:t>
      </w:r>
      <w:r w:rsidR="00FC4127">
        <w:rPr>
          <w:b/>
          <w:bCs/>
        </w:rPr>
        <w:t xml:space="preserve"> sprzedawc</w:t>
      </w:r>
      <w:r>
        <w:rPr>
          <w:b/>
          <w:bCs/>
        </w:rPr>
        <w:t xml:space="preserve">ę </w:t>
      </w:r>
      <w:r w:rsidR="00FC4127">
        <w:rPr>
          <w:b/>
          <w:bCs/>
        </w:rPr>
        <w:t>energii</w:t>
      </w:r>
      <w:r w:rsidR="000751FF">
        <w:rPr>
          <w:b/>
          <w:bCs/>
        </w:rPr>
        <w:t>.</w:t>
      </w:r>
      <w:r w:rsidR="00936D0D" w:rsidRPr="00936D0D">
        <w:rPr>
          <w:b/>
          <w:bCs/>
        </w:rPr>
        <w:t xml:space="preserve"> Na </w:t>
      </w:r>
      <w:r>
        <w:rPr>
          <w:b/>
          <w:bCs/>
        </w:rPr>
        <w:t>co uważać</w:t>
      </w:r>
      <w:r w:rsidR="00936D0D" w:rsidRPr="00936D0D">
        <w:rPr>
          <w:b/>
          <w:bCs/>
        </w:rPr>
        <w:t>?</w:t>
      </w:r>
      <w:r w:rsidR="00936D0D">
        <w:rPr>
          <w:b/>
          <w:bCs/>
        </w:rPr>
        <w:br/>
      </w:r>
    </w:p>
    <w:p w14:paraId="44103EF3" w14:textId="2DCC72F9" w:rsidR="00521BBD" w:rsidRDefault="00F87988" w:rsidP="00521BB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</w:t>
      </w:r>
      <w:r w:rsidR="00FC4127">
        <w:rPr>
          <w:b/>
          <w:bCs/>
        </w:rPr>
        <w:t xml:space="preserve">rzedsiębiorcy </w:t>
      </w:r>
      <w:r>
        <w:rPr>
          <w:b/>
          <w:bCs/>
        </w:rPr>
        <w:t xml:space="preserve">coraz </w:t>
      </w:r>
      <w:r w:rsidR="00FC4127">
        <w:rPr>
          <w:b/>
          <w:bCs/>
        </w:rPr>
        <w:t>chętnie</w:t>
      </w:r>
      <w:r>
        <w:rPr>
          <w:b/>
          <w:bCs/>
        </w:rPr>
        <w:t>j</w:t>
      </w:r>
      <w:r w:rsidR="00FC4127">
        <w:rPr>
          <w:b/>
          <w:bCs/>
        </w:rPr>
        <w:t xml:space="preserve"> zmieniają sprzedawcę energii -</w:t>
      </w:r>
      <w:r w:rsidR="00521BBD" w:rsidRPr="00416A12">
        <w:rPr>
          <w:b/>
          <w:bCs/>
        </w:rPr>
        <w:t xml:space="preserve"> w I półroczu</w:t>
      </w:r>
      <w:r w:rsidR="00FC4127">
        <w:rPr>
          <w:b/>
          <w:bCs/>
        </w:rPr>
        <w:t xml:space="preserve"> zdecydowało się na to</w:t>
      </w:r>
      <w:r w:rsidR="00521BBD" w:rsidRPr="00416A12">
        <w:rPr>
          <w:b/>
          <w:bCs/>
        </w:rPr>
        <w:t xml:space="preserve"> o 5% więcej odbiorców biznesowych niż w tym samym czasie w </w:t>
      </w:r>
      <w:r w:rsidR="00FC4127">
        <w:rPr>
          <w:b/>
          <w:bCs/>
        </w:rPr>
        <w:t>2020 r</w:t>
      </w:r>
      <w:r>
        <w:rPr>
          <w:rStyle w:val="FootnoteReference"/>
          <w:b/>
          <w:bCs/>
        </w:rPr>
        <w:footnoteReference w:id="1"/>
      </w:r>
      <w:r w:rsidR="00FC4127">
        <w:rPr>
          <w:b/>
          <w:bCs/>
        </w:rPr>
        <w:t>.</w:t>
      </w:r>
    </w:p>
    <w:p w14:paraId="3F50AB8D" w14:textId="06858D10" w:rsidR="009B6CD3" w:rsidRPr="00416A12" w:rsidRDefault="00FC4127" w:rsidP="00521BB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</w:t>
      </w:r>
      <w:r w:rsidR="009B6CD3">
        <w:rPr>
          <w:b/>
          <w:bCs/>
        </w:rPr>
        <w:t>edług kalkulacji Axpo Polska</w:t>
      </w:r>
      <w:r>
        <w:rPr>
          <w:b/>
          <w:bCs/>
        </w:rPr>
        <w:t xml:space="preserve"> </w:t>
      </w:r>
      <w:r w:rsidR="009B6CD3">
        <w:rPr>
          <w:b/>
          <w:bCs/>
        </w:rPr>
        <w:t xml:space="preserve">to jesienią </w:t>
      </w:r>
      <w:r>
        <w:rPr>
          <w:b/>
          <w:bCs/>
        </w:rPr>
        <w:t>nast</w:t>
      </w:r>
      <w:r w:rsidR="00F87988">
        <w:rPr>
          <w:b/>
          <w:bCs/>
        </w:rPr>
        <w:t>ąpi jednak</w:t>
      </w:r>
      <w:r>
        <w:rPr>
          <w:b/>
          <w:bCs/>
        </w:rPr>
        <w:t xml:space="preserve"> największy</w:t>
      </w:r>
      <w:r w:rsidR="009B6CD3">
        <w:rPr>
          <w:b/>
          <w:bCs/>
        </w:rPr>
        <w:t xml:space="preserve"> </w:t>
      </w:r>
      <w:r>
        <w:rPr>
          <w:b/>
          <w:bCs/>
        </w:rPr>
        <w:t>ruch na rynku</w:t>
      </w:r>
      <w:r w:rsidR="009B6CD3">
        <w:rPr>
          <w:b/>
          <w:bCs/>
        </w:rPr>
        <w:t xml:space="preserve"> – w </w:t>
      </w:r>
      <w:r>
        <w:rPr>
          <w:b/>
          <w:bCs/>
        </w:rPr>
        <w:t>IV</w:t>
      </w:r>
      <w:r w:rsidR="009B6CD3">
        <w:rPr>
          <w:b/>
          <w:bCs/>
        </w:rPr>
        <w:t xml:space="preserve"> kwartale </w:t>
      </w:r>
      <w:r>
        <w:rPr>
          <w:b/>
          <w:bCs/>
        </w:rPr>
        <w:t xml:space="preserve">umowy z </w:t>
      </w:r>
      <w:r w:rsidR="009B6CD3">
        <w:rPr>
          <w:b/>
          <w:bCs/>
        </w:rPr>
        <w:t>now</w:t>
      </w:r>
      <w:r>
        <w:rPr>
          <w:b/>
          <w:bCs/>
        </w:rPr>
        <w:t xml:space="preserve">ymi klientami </w:t>
      </w:r>
      <w:r w:rsidR="009B6CD3">
        <w:rPr>
          <w:b/>
          <w:bCs/>
        </w:rPr>
        <w:t>stanowią zwykle 1/3</w:t>
      </w:r>
      <w:r>
        <w:rPr>
          <w:b/>
          <w:bCs/>
        </w:rPr>
        <w:t xml:space="preserve"> wszystkich kontraktów spółki.</w:t>
      </w:r>
      <w:r w:rsidR="009B6CD3">
        <w:rPr>
          <w:b/>
          <w:bCs/>
        </w:rPr>
        <w:t xml:space="preserve"> </w:t>
      </w:r>
    </w:p>
    <w:p w14:paraId="40ED57A1" w14:textId="69FEFCBA" w:rsidR="00521BBD" w:rsidRDefault="00E458C1" w:rsidP="00521BBD">
      <w:pPr>
        <w:pStyle w:val="ListParagraph"/>
        <w:numPr>
          <w:ilvl w:val="0"/>
          <w:numId w:val="2"/>
        </w:numPr>
        <w:rPr>
          <w:b/>
          <w:bCs/>
        </w:rPr>
      </w:pPr>
      <w:r w:rsidRPr="00416A12">
        <w:rPr>
          <w:b/>
          <w:bCs/>
        </w:rPr>
        <w:t xml:space="preserve">Zmiana </w:t>
      </w:r>
      <w:r w:rsidR="00F87988">
        <w:rPr>
          <w:b/>
          <w:bCs/>
        </w:rPr>
        <w:t>sprzedawcy</w:t>
      </w:r>
      <w:r w:rsidRPr="00416A12">
        <w:rPr>
          <w:b/>
          <w:bCs/>
        </w:rPr>
        <w:t xml:space="preserve"> to dla </w:t>
      </w:r>
      <w:r w:rsidR="00FD2840">
        <w:rPr>
          <w:b/>
          <w:bCs/>
        </w:rPr>
        <w:t>firm</w:t>
      </w:r>
      <w:r w:rsidRPr="00416A12">
        <w:rPr>
          <w:b/>
          <w:bCs/>
        </w:rPr>
        <w:t xml:space="preserve"> szansa na oszczędności w</w:t>
      </w:r>
      <w:r w:rsidR="00FD2840">
        <w:rPr>
          <w:b/>
          <w:bCs/>
        </w:rPr>
        <w:t xml:space="preserve"> </w:t>
      </w:r>
      <w:r w:rsidRPr="00416A12">
        <w:rPr>
          <w:b/>
          <w:bCs/>
        </w:rPr>
        <w:t>rachunkach za prąd, a</w:t>
      </w:r>
      <w:r w:rsidR="00984E9F">
        <w:rPr>
          <w:b/>
          <w:bCs/>
        </w:rPr>
        <w:t xml:space="preserve"> także</w:t>
      </w:r>
      <w:r w:rsidRPr="00416A12">
        <w:rPr>
          <w:b/>
          <w:bCs/>
        </w:rPr>
        <w:t xml:space="preserve"> </w:t>
      </w:r>
      <w:r w:rsidR="00FD2840">
        <w:rPr>
          <w:b/>
          <w:bCs/>
        </w:rPr>
        <w:t>możliwość</w:t>
      </w:r>
      <w:r w:rsidRPr="00416A12">
        <w:rPr>
          <w:b/>
          <w:bCs/>
        </w:rPr>
        <w:t xml:space="preserve"> </w:t>
      </w:r>
      <w:r w:rsidR="00FD2840">
        <w:rPr>
          <w:b/>
          <w:bCs/>
        </w:rPr>
        <w:t>s</w:t>
      </w:r>
      <w:r w:rsidRPr="00416A12">
        <w:rPr>
          <w:b/>
          <w:bCs/>
        </w:rPr>
        <w:t>korzystani</w:t>
      </w:r>
      <w:r w:rsidR="00FD2840">
        <w:rPr>
          <w:b/>
          <w:bCs/>
        </w:rPr>
        <w:t>a</w:t>
      </w:r>
      <w:r w:rsidRPr="00416A12">
        <w:rPr>
          <w:b/>
          <w:bCs/>
        </w:rPr>
        <w:t xml:space="preserve"> z </w:t>
      </w:r>
      <w:r w:rsidR="00984E9F">
        <w:rPr>
          <w:b/>
          <w:bCs/>
        </w:rPr>
        <w:t xml:space="preserve">dodatkowych benefitów, np. </w:t>
      </w:r>
      <w:r w:rsidRPr="00416A12">
        <w:rPr>
          <w:b/>
          <w:bCs/>
        </w:rPr>
        <w:t xml:space="preserve">zielonej energii. </w:t>
      </w:r>
    </w:p>
    <w:p w14:paraId="79690830" w14:textId="2354E4FB" w:rsidR="00FD2840" w:rsidRPr="00416A12" w:rsidRDefault="00FD2840" w:rsidP="00521BB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Uwaga jednak na pojawiające się w kontraktach zapisy umożliwiające m.in. zmianę cen prądu w trakcie obowiązywania umowy – ostrzegają eksperci.</w:t>
      </w:r>
    </w:p>
    <w:p w14:paraId="7DE727AF" w14:textId="31A2FA8B" w:rsidR="00CA4333" w:rsidRPr="00416A12" w:rsidRDefault="00CA4333" w:rsidP="00984E9F">
      <w:pPr>
        <w:pStyle w:val="ListParagraph"/>
        <w:rPr>
          <w:b/>
          <w:bCs/>
        </w:rPr>
      </w:pPr>
    </w:p>
    <w:p w14:paraId="4CAF95CF" w14:textId="1CA78E3C" w:rsidR="005A3C0E" w:rsidRDefault="00936D0D">
      <w:r>
        <w:t>Od początku roku przedsiębiorcy muszą mierzyć się z coraz wyższymi kosztami zużycia prądu w firmach. Za podwyżki odpowiada</w:t>
      </w:r>
      <w:r w:rsidR="000751FF">
        <w:t xml:space="preserve"> m.in.</w:t>
      </w:r>
      <w:r>
        <w:t xml:space="preserve"> opłata </w:t>
      </w:r>
      <w:proofErr w:type="spellStart"/>
      <w:r>
        <w:t>mocowa</w:t>
      </w:r>
      <w:proofErr w:type="spellEnd"/>
      <w:r>
        <w:t xml:space="preserve">, ale i </w:t>
      </w:r>
      <w:r w:rsidR="007F757C">
        <w:t xml:space="preserve">wzrost cen energii na giełdzie spowodowany </w:t>
      </w:r>
      <w:r w:rsidR="00AC27A8">
        <w:t xml:space="preserve">przede wszystkim </w:t>
      </w:r>
      <w:r w:rsidR="007F757C">
        <w:t xml:space="preserve">coraz większymi kosztami uprawnień do emisji CO2. </w:t>
      </w:r>
      <w:r w:rsidR="000F6871">
        <w:t>Właściciele firm</w:t>
      </w:r>
      <w:r w:rsidR="007F757C">
        <w:t xml:space="preserve">, szykując się na początek energochłonnego sezonu zimowego, szukają więc rozwiązań pozwalających na </w:t>
      </w:r>
      <w:r w:rsidR="00566A70">
        <w:t xml:space="preserve">uzyskanie </w:t>
      </w:r>
      <w:r w:rsidR="007F757C">
        <w:t>oszczędności w tej kwestii. Jedn</w:t>
      </w:r>
      <w:r w:rsidR="000751FF">
        <w:t xml:space="preserve">ą z opcji </w:t>
      </w:r>
      <w:r w:rsidR="007F757C">
        <w:t xml:space="preserve">jest zmiana sprzedawcy energii i wynegocjowanie korzystniejszych warunków umowy. </w:t>
      </w:r>
    </w:p>
    <w:p w14:paraId="7ECD131D" w14:textId="7DA4D8C2" w:rsidR="005A3C0E" w:rsidRPr="005C1D58" w:rsidRDefault="00115646">
      <w:pPr>
        <w:rPr>
          <w:b/>
          <w:bCs/>
        </w:rPr>
      </w:pPr>
      <w:r w:rsidRPr="005C1D58">
        <w:rPr>
          <w:b/>
          <w:bCs/>
        </w:rPr>
        <w:t>Przedsiębiorcy mają wybór i z niego korzystają</w:t>
      </w:r>
    </w:p>
    <w:p w14:paraId="786E4874" w14:textId="42C9981B" w:rsidR="005A3C0E" w:rsidRDefault="005F3A55">
      <w:r>
        <w:t xml:space="preserve">Od początku 2021 r. </w:t>
      </w:r>
      <w:r w:rsidRPr="005F3A55">
        <w:t>zmiany</w:t>
      </w:r>
      <w:r>
        <w:t xml:space="preserve"> sprzedawcy energii</w:t>
      </w:r>
      <w:r w:rsidRPr="005F3A55">
        <w:t xml:space="preserve"> dokonało 22 tys. odbiorców</w:t>
      </w:r>
      <w:r>
        <w:t xml:space="preserve">, w tym </w:t>
      </w:r>
      <w:r w:rsidRPr="005F3A55">
        <w:t xml:space="preserve">prawie 5 tys. </w:t>
      </w:r>
      <w:r w:rsidR="006C03E7">
        <w:t xml:space="preserve">klientów </w:t>
      </w:r>
      <w:r w:rsidRPr="005F3A55">
        <w:t>biznesowych</w:t>
      </w:r>
      <w:r>
        <w:t xml:space="preserve"> – </w:t>
      </w:r>
      <w:r w:rsidR="00F87988">
        <w:t>dane</w:t>
      </w:r>
      <w:r>
        <w:t xml:space="preserve"> Urzędu Regulacji Energetyki. </w:t>
      </w:r>
      <w:r w:rsidR="00AF3290">
        <w:t xml:space="preserve">Dla porównania, w poprzednim półroczu zdecydowało się na to jedynie 1889 przedsiębiorców. </w:t>
      </w:r>
      <w:r w:rsidR="006C03E7">
        <w:t xml:space="preserve">Rok do roku odnotowano </w:t>
      </w:r>
      <w:r w:rsidR="000751FF">
        <w:t xml:space="preserve">natomiast </w:t>
      </w:r>
      <w:r w:rsidR="006C03E7">
        <w:t xml:space="preserve">wzrost na poziomie 5%. </w:t>
      </w:r>
    </w:p>
    <w:p w14:paraId="7FFACFDB" w14:textId="6F8C0AFB" w:rsidR="00F87988" w:rsidRDefault="00F87988">
      <w:r>
        <w:t xml:space="preserve">Z danych Axpo Polska wynika jednak, że największy ruch klientów biznesowych na rynku dopiero przed nami. W ciągu ostatnich trzech lat, to w ostatnim kwartale spółka podpisywała najwięcej umów z nowymi klientami. Ich odsetek stanowił 1/3 wszystkich zawieranych w tym czasie kontraktów. </w:t>
      </w:r>
    </w:p>
    <w:p w14:paraId="1C29569E" w14:textId="377941BF" w:rsidR="004867CE" w:rsidRDefault="004867CE">
      <w:r>
        <w:t xml:space="preserve">- </w:t>
      </w:r>
      <w:r w:rsidR="00FD2840">
        <w:rPr>
          <w:i/>
          <w:iCs/>
        </w:rPr>
        <w:t xml:space="preserve">Przedsiębiorcy wiedzą, że </w:t>
      </w:r>
      <w:r w:rsidR="00C625C5">
        <w:rPr>
          <w:i/>
          <w:iCs/>
        </w:rPr>
        <w:t>z</w:t>
      </w:r>
      <w:bookmarkStart w:id="0" w:name="_GoBack"/>
      <w:bookmarkEnd w:id="0"/>
      <w:r w:rsidR="000751FF" w:rsidRPr="000751FF">
        <w:rPr>
          <w:i/>
          <w:iCs/>
        </w:rPr>
        <w:t xml:space="preserve">miana sprzedawcy może przynieść </w:t>
      </w:r>
      <w:r w:rsidR="00FD2840">
        <w:rPr>
          <w:i/>
          <w:iCs/>
        </w:rPr>
        <w:t xml:space="preserve">im </w:t>
      </w:r>
      <w:r w:rsidR="000751FF" w:rsidRPr="000751FF">
        <w:rPr>
          <w:i/>
          <w:iCs/>
        </w:rPr>
        <w:t>wiele korzyści</w:t>
      </w:r>
      <w:r w:rsidR="00680B2D">
        <w:rPr>
          <w:i/>
          <w:iCs/>
        </w:rPr>
        <w:t xml:space="preserve">, </w:t>
      </w:r>
      <w:r w:rsidR="00FD2840">
        <w:rPr>
          <w:i/>
          <w:iCs/>
        </w:rPr>
        <w:t xml:space="preserve">dlatego coraz chętniej się na to decydują. </w:t>
      </w:r>
      <w:r w:rsidR="00E90E87">
        <w:rPr>
          <w:i/>
          <w:iCs/>
        </w:rPr>
        <w:t>Przestrzegamy jednak</w:t>
      </w:r>
      <w:r w:rsidR="00FD2840">
        <w:rPr>
          <w:i/>
          <w:iCs/>
        </w:rPr>
        <w:t>, by</w:t>
      </w:r>
      <w:r w:rsidR="000751FF" w:rsidRPr="000751FF">
        <w:rPr>
          <w:i/>
          <w:iCs/>
        </w:rPr>
        <w:t xml:space="preserve"> przed podpisaniem umowy </w:t>
      </w:r>
      <w:r w:rsidR="00FD2840">
        <w:rPr>
          <w:i/>
          <w:iCs/>
        </w:rPr>
        <w:t xml:space="preserve">z nową spółką, </w:t>
      </w:r>
      <w:r w:rsidR="000751FF" w:rsidRPr="000751FF">
        <w:rPr>
          <w:i/>
          <w:iCs/>
        </w:rPr>
        <w:t>bardzo dokładnie</w:t>
      </w:r>
      <w:r w:rsidR="00FD2840">
        <w:rPr>
          <w:i/>
          <w:iCs/>
        </w:rPr>
        <w:t xml:space="preserve"> </w:t>
      </w:r>
      <w:r w:rsidR="000751FF" w:rsidRPr="000751FF">
        <w:rPr>
          <w:i/>
          <w:iCs/>
        </w:rPr>
        <w:t>przeczytać</w:t>
      </w:r>
      <w:r w:rsidR="00FD2840">
        <w:rPr>
          <w:i/>
          <w:iCs/>
        </w:rPr>
        <w:t xml:space="preserve"> wszystkie zapisy</w:t>
      </w:r>
      <w:r w:rsidR="000751FF" w:rsidRPr="000751FF">
        <w:rPr>
          <w:i/>
          <w:iCs/>
        </w:rPr>
        <w:t xml:space="preserve">. </w:t>
      </w:r>
      <w:r w:rsidR="00CD7ADC" w:rsidRPr="00CD7ADC">
        <w:rPr>
          <w:i/>
          <w:iCs/>
        </w:rPr>
        <w:t>Na bieżąco monitorujemy rynek energii i widzimy, że sprzedawcy zabezpieczają się, wprowadzając</w:t>
      </w:r>
      <w:r w:rsidR="00FD2840">
        <w:rPr>
          <w:i/>
          <w:iCs/>
        </w:rPr>
        <w:t xml:space="preserve"> m.in. </w:t>
      </w:r>
      <w:r w:rsidR="00CD7ADC" w:rsidRPr="00CD7ADC">
        <w:rPr>
          <w:i/>
          <w:iCs/>
        </w:rPr>
        <w:t>możliwość zmiany cen z trakcie obowiązywania umowy.</w:t>
      </w:r>
      <w:r w:rsidR="00CD7ADC">
        <w:rPr>
          <w:i/>
          <w:iCs/>
        </w:rPr>
        <w:t xml:space="preserve"> </w:t>
      </w:r>
      <w:r w:rsidR="000751FF" w:rsidRPr="000751FF">
        <w:rPr>
          <w:i/>
          <w:iCs/>
        </w:rPr>
        <w:t xml:space="preserve">Jest to szczególnie niekorzystne </w:t>
      </w:r>
      <w:r w:rsidR="000751FF">
        <w:rPr>
          <w:i/>
          <w:iCs/>
        </w:rPr>
        <w:t>dla</w:t>
      </w:r>
      <w:r w:rsidR="000751FF" w:rsidRPr="000751FF">
        <w:rPr>
          <w:i/>
          <w:iCs/>
        </w:rPr>
        <w:t xml:space="preserve"> firm, które planują budżety z dużym wyprzedzeniem i nie mogą pozwolić sobie na tego typu niespodzianki</w:t>
      </w:r>
      <w:r w:rsidR="000751FF">
        <w:t xml:space="preserve"> – dodaje</w:t>
      </w:r>
      <w:r w:rsidR="005330FB">
        <w:t xml:space="preserve"> </w:t>
      </w:r>
      <w:r w:rsidR="007C1653">
        <w:t>Katarzyna Bienias, Członek Zarządu, Dyrektor sprzedaży w segmencie MŚP w Axpo Polska</w:t>
      </w:r>
    </w:p>
    <w:p w14:paraId="515C3A05" w14:textId="77777777" w:rsidR="00E90E87" w:rsidRDefault="00E90E87">
      <w:r>
        <w:t xml:space="preserve">Obecnie przedsiębiorcy mają możliwość dokonania zmiany sprzedawcy energii także online, bez wychodzenia z domu. Przykładem takiej platformy jest </w:t>
      </w:r>
      <w:hyperlink r:id="rId8" w:history="1">
        <w:r w:rsidRPr="004D709F">
          <w:rPr>
            <w:rStyle w:val="Hyperlink"/>
          </w:rPr>
          <w:t>www.wybieram.axpo.pl</w:t>
        </w:r>
      </w:hyperlink>
      <w:r>
        <w:t xml:space="preserve">. </w:t>
      </w:r>
    </w:p>
    <w:p w14:paraId="114F8CC9" w14:textId="387A92BD" w:rsidR="00E90E87" w:rsidRDefault="00E90E87">
      <w:r>
        <w:t>Jednak ułatwienie procesu nie zwalnia z konieczności dokładnego zapoznania się z umową. Eksperci wskazują cztery podstawowe zapisy, na które przedsiębiorca powinien zwrócić uwagę.</w:t>
      </w:r>
    </w:p>
    <w:p w14:paraId="5355488D" w14:textId="1518A462" w:rsidR="006C03E7" w:rsidRPr="006C03E7" w:rsidRDefault="006C03E7">
      <w:pPr>
        <w:rPr>
          <w:u w:val="single"/>
        </w:rPr>
      </w:pPr>
      <w:r w:rsidRPr="006C03E7">
        <w:rPr>
          <w:u w:val="single"/>
        </w:rPr>
        <w:t xml:space="preserve">4 niekorzystne </w:t>
      </w:r>
      <w:r>
        <w:rPr>
          <w:u w:val="single"/>
        </w:rPr>
        <w:t xml:space="preserve">dla klienta </w:t>
      </w:r>
      <w:r w:rsidRPr="006C03E7">
        <w:rPr>
          <w:u w:val="single"/>
        </w:rPr>
        <w:t>zapisy w umowie na sprzedaż energii</w:t>
      </w:r>
      <w:r w:rsidR="00AC27A8">
        <w:rPr>
          <w:u w:val="single"/>
        </w:rPr>
        <w:t>:</w:t>
      </w:r>
    </w:p>
    <w:p w14:paraId="002F01B9" w14:textId="04370755" w:rsidR="00543897" w:rsidRPr="004867CE" w:rsidRDefault="006C03E7" w:rsidP="006C03E7">
      <w:pPr>
        <w:pStyle w:val="ListParagraph"/>
        <w:numPr>
          <w:ilvl w:val="0"/>
          <w:numId w:val="1"/>
        </w:numPr>
        <w:rPr>
          <w:b/>
          <w:bCs/>
        </w:rPr>
      </w:pPr>
      <w:r w:rsidRPr="006C03E7">
        <w:rPr>
          <w:b/>
          <w:bCs/>
        </w:rPr>
        <w:t>Waloryzacja jednostkowych cen energii elektrycznej</w:t>
      </w:r>
      <w:r>
        <w:t xml:space="preserve"> </w:t>
      </w:r>
      <w:r w:rsidR="004867CE">
        <w:t xml:space="preserve">–Niektóre spółki obrotu energią </w:t>
      </w:r>
      <w:r w:rsidR="00DA683D">
        <w:t xml:space="preserve">w trakcie obowiązywania umowy dopuszczają możliwość podniesienia klientom cen energii zgodnie ze wskaźnikiem inflacji towarów i usług konsumpcyjnych. Obecnie inflacja osiąga rekordowe wartości, co przy takim zapisie w umowie przełożyłoby się na spore wzrosty </w:t>
      </w:r>
      <w:r w:rsidR="00DA683D">
        <w:lastRenderedPageBreak/>
        <w:t xml:space="preserve">kosztów prądu w firmie. </w:t>
      </w:r>
      <w:r w:rsidR="004B281F">
        <w:br/>
      </w:r>
    </w:p>
    <w:p w14:paraId="41612FE4" w14:textId="4A6DBE45" w:rsidR="004867CE" w:rsidRPr="004B281F" w:rsidRDefault="00DA683D" w:rsidP="006C03E7">
      <w:pPr>
        <w:pStyle w:val="ListParagraph"/>
        <w:numPr>
          <w:ilvl w:val="0"/>
          <w:numId w:val="1"/>
        </w:numPr>
        <w:rPr>
          <w:b/>
          <w:bCs/>
        </w:rPr>
      </w:pPr>
      <w:r w:rsidRPr="00DA683D">
        <w:rPr>
          <w:b/>
          <w:bCs/>
        </w:rPr>
        <w:t>Zmiana jednostkowych cen energii elektrycznej o równowartość różnicy w cenach kontraktów BASE_Y</w:t>
      </w:r>
      <w:r>
        <w:rPr>
          <w:b/>
          <w:bCs/>
        </w:rPr>
        <w:t xml:space="preserve"> </w:t>
      </w:r>
      <w:r>
        <w:t xml:space="preserve">– Przy tego typu zapisie w umowie cena może ulec zmianie, gdy wzrosną także ceny na Towarowej Giełdzie Energii. Obecnie </w:t>
      </w:r>
      <w:r w:rsidR="000D6CCB">
        <w:t xml:space="preserve">na rynku obserwowane są ciągłe ich podwyżki </w:t>
      </w:r>
      <w:r>
        <w:t>przez coraz większe koszty uprawnień do emisji CO2.</w:t>
      </w:r>
      <w:r w:rsidR="00CD7ADC" w:rsidRPr="00CD7ADC">
        <w:t xml:space="preserve"> </w:t>
      </w:r>
      <w:r w:rsidR="00CD7ADC">
        <w:t>Od początku roku ceny BASE wzrosły już o 46%.</w:t>
      </w:r>
      <w:r>
        <w:t xml:space="preserve"> </w:t>
      </w:r>
      <w:r w:rsidR="004B281F">
        <w:t xml:space="preserve">Przedsiębiorca powinien wybierać takie umowy, które gwarantują mu niezmienność cen, bez względu na </w:t>
      </w:r>
      <w:r w:rsidR="00AC27A8">
        <w:t xml:space="preserve">wahania cen na </w:t>
      </w:r>
      <w:r w:rsidR="004B281F">
        <w:t>TGE.</w:t>
      </w:r>
      <w:r w:rsidR="004B281F">
        <w:br/>
      </w:r>
    </w:p>
    <w:p w14:paraId="2661C50A" w14:textId="3519D88D" w:rsidR="00543897" w:rsidRPr="000D6CCB" w:rsidRDefault="004B281F" w:rsidP="0054389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Cena energii zależna od zmiany wolumenu zużycia </w:t>
      </w:r>
      <w:r>
        <w:t xml:space="preserve">– Jeżeli w umowie znajdzie się podobny zapis, to przedsiębiorca musi się liczyć z możliwością podniesienia cen prądu przez sprzedawcę, gdy zużycie energii ulegnie zmianie. W firmach </w:t>
      </w:r>
      <w:r w:rsidR="000D6CCB">
        <w:t>zdarzają się</w:t>
      </w:r>
      <w:r>
        <w:t xml:space="preserve"> okresy, kiedy zapotrzebowanie na energię jest mniejsze</w:t>
      </w:r>
      <w:r w:rsidR="000D6CCB">
        <w:t>, przedsiębiorca nie powinien ponosić z tego tytułu dodatkowych kosztów.</w:t>
      </w:r>
      <w:r w:rsidR="000D6CCB">
        <w:br/>
      </w:r>
    </w:p>
    <w:p w14:paraId="71FF8660" w14:textId="77777777" w:rsidR="00AC27A8" w:rsidRPr="00CD7ADC" w:rsidRDefault="004B281F" w:rsidP="00543897">
      <w:pPr>
        <w:pStyle w:val="ListParagraph"/>
        <w:numPr>
          <w:ilvl w:val="0"/>
          <w:numId w:val="1"/>
        </w:numPr>
        <w:rPr>
          <w:b/>
          <w:bCs/>
        </w:rPr>
      </w:pPr>
      <w:r w:rsidRPr="004B281F">
        <w:rPr>
          <w:b/>
          <w:bCs/>
        </w:rPr>
        <w:t>Możliwość</w:t>
      </w:r>
      <w:r w:rsidR="00543897" w:rsidRPr="004B281F">
        <w:rPr>
          <w:b/>
          <w:bCs/>
        </w:rPr>
        <w:t xml:space="preserve"> przeniesienia praw i obowiązków </w:t>
      </w:r>
      <w:r w:rsidRPr="004B281F">
        <w:rPr>
          <w:b/>
          <w:bCs/>
        </w:rPr>
        <w:t>na inny podmiot</w:t>
      </w:r>
      <w:r>
        <w:t xml:space="preserve"> – Ten zapis oznacza, że spółka obrotu energią ma możliwość przekazania danego klienta innej spółce bez jego zgody. W takiej sytuacji przedsiębiorca może mieć trudności z dochodzeniem swoich praw, np. ze składaniem reklamacji. </w:t>
      </w:r>
    </w:p>
    <w:p w14:paraId="254EA915" w14:textId="77777777" w:rsidR="00AC27A8" w:rsidRPr="00CD7ADC" w:rsidRDefault="00AC27A8" w:rsidP="00CD7ADC">
      <w:pPr>
        <w:pStyle w:val="ListParagraph"/>
        <w:rPr>
          <w:b/>
          <w:bCs/>
        </w:rPr>
      </w:pPr>
    </w:p>
    <w:p w14:paraId="20905E9E" w14:textId="72D30AB5" w:rsidR="00543897" w:rsidRPr="00AC27A8" w:rsidRDefault="004B281F" w:rsidP="00CD7ADC">
      <w:pPr>
        <w:ind w:left="360"/>
        <w:rPr>
          <w:b/>
          <w:bCs/>
        </w:rPr>
      </w:pPr>
      <w:r>
        <w:t>Dlatego też należy wybierać stabilnych i wiarygodnych sprzedawców energii, którzy od dłuższego czasu działają na polskim rynku</w:t>
      </w:r>
      <w:r w:rsidR="000D6CCB">
        <w:t xml:space="preserve"> i nie proponują tego typu zapisów.</w:t>
      </w:r>
    </w:p>
    <w:p w14:paraId="5874694B" w14:textId="77777777" w:rsidR="00543897" w:rsidRDefault="00543897"/>
    <w:sectPr w:rsidR="0054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87A63" w14:textId="77777777" w:rsidR="00EF279A" w:rsidRDefault="00EF279A" w:rsidP="00DA683D">
      <w:pPr>
        <w:spacing w:after="0" w:line="240" w:lineRule="auto"/>
      </w:pPr>
      <w:r>
        <w:separator/>
      </w:r>
    </w:p>
  </w:endnote>
  <w:endnote w:type="continuationSeparator" w:id="0">
    <w:p w14:paraId="3F8811B4" w14:textId="77777777" w:rsidR="00EF279A" w:rsidRDefault="00EF279A" w:rsidP="00DA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D6259" w14:textId="77777777" w:rsidR="00EF279A" w:rsidRDefault="00EF279A" w:rsidP="00DA683D">
      <w:pPr>
        <w:spacing w:after="0" w:line="240" w:lineRule="auto"/>
      </w:pPr>
      <w:r>
        <w:separator/>
      </w:r>
    </w:p>
  </w:footnote>
  <w:footnote w:type="continuationSeparator" w:id="0">
    <w:p w14:paraId="768C99F0" w14:textId="77777777" w:rsidR="00EF279A" w:rsidRDefault="00EF279A" w:rsidP="00DA683D">
      <w:pPr>
        <w:spacing w:after="0" w:line="240" w:lineRule="auto"/>
      </w:pPr>
      <w:r>
        <w:continuationSeparator/>
      </w:r>
    </w:p>
  </w:footnote>
  <w:footnote w:id="1">
    <w:p w14:paraId="17639652" w14:textId="21F7025F" w:rsidR="00F87988" w:rsidRDefault="00F87988">
      <w:pPr>
        <w:pStyle w:val="FootnoteText"/>
      </w:pPr>
      <w:r>
        <w:rPr>
          <w:rStyle w:val="FootnoteReference"/>
        </w:rPr>
        <w:footnoteRef/>
      </w:r>
      <w:r>
        <w:t xml:space="preserve"> Dane Urzędu Regulacji Energetyki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23441"/>
    <w:multiLevelType w:val="hybridMultilevel"/>
    <w:tmpl w:val="DCBA6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F7B9F"/>
    <w:multiLevelType w:val="hybridMultilevel"/>
    <w:tmpl w:val="4AC023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97"/>
    <w:rsid w:val="00007962"/>
    <w:rsid w:val="000751FF"/>
    <w:rsid w:val="000D6CCB"/>
    <w:rsid w:val="000F6871"/>
    <w:rsid w:val="00112877"/>
    <w:rsid w:val="00115646"/>
    <w:rsid w:val="0012587A"/>
    <w:rsid w:val="001C3BB2"/>
    <w:rsid w:val="00244F15"/>
    <w:rsid w:val="002B6FEB"/>
    <w:rsid w:val="002F71AA"/>
    <w:rsid w:val="00416A12"/>
    <w:rsid w:val="004520E4"/>
    <w:rsid w:val="004867CE"/>
    <w:rsid w:val="004B281F"/>
    <w:rsid w:val="00521BBD"/>
    <w:rsid w:val="005330FB"/>
    <w:rsid w:val="00543897"/>
    <w:rsid w:val="00566A70"/>
    <w:rsid w:val="005A3C0E"/>
    <w:rsid w:val="005C1D58"/>
    <w:rsid w:val="005F3A55"/>
    <w:rsid w:val="00680B2D"/>
    <w:rsid w:val="006C03E7"/>
    <w:rsid w:val="007C1653"/>
    <w:rsid w:val="007F757C"/>
    <w:rsid w:val="00867370"/>
    <w:rsid w:val="00936D0D"/>
    <w:rsid w:val="00984E9F"/>
    <w:rsid w:val="009A3D15"/>
    <w:rsid w:val="009B6CD3"/>
    <w:rsid w:val="00AC27A8"/>
    <w:rsid w:val="00AF3290"/>
    <w:rsid w:val="00B10C12"/>
    <w:rsid w:val="00B76F5F"/>
    <w:rsid w:val="00C625C5"/>
    <w:rsid w:val="00CA4333"/>
    <w:rsid w:val="00CD7ADC"/>
    <w:rsid w:val="00DA683D"/>
    <w:rsid w:val="00E458C1"/>
    <w:rsid w:val="00E90E87"/>
    <w:rsid w:val="00EF279A"/>
    <w:rsid w:val="00F87988"/>
    <w:rsid w:val="00FC4127"/>
    <w:rsid w:val="00FD2840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812B"/>
  <w15:chartTrackingRefBased/>
  <w15:docId w15:val="{521375F1-FF1F-42C3-8E81-917AF9C5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897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68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68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683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2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7A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79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79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79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0E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0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bieram.axp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E4F6-5D26-47FC-9792-7B0350FA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Chodacka</dc:creator>
  <cp:keywords/>
  <dc:description/>
  <cp:lastModifiedBy>Krupa Joanna AXPOPL TOP-M</cp:lastModifiedBy>
  <cp:revision>7</cp:revision>
  <dcterms:created xsi:type="dcterms:W3CDTF">2021-09-13T09:30:00Z</dcterms:created>
  <dcterms:modified xsi:type="dcterms:W3CDTF">2021-09-21T20:24:00Z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78580688</vt:i4>
  </property>
  <property fmtid="{D5CDD505-2E9C-101B-9397-08002B2CF9AE}" pid="4" name="_EmailSubject">
    <vt:lpwstr>Zmiana sprzedawcy - na co uważać w umowie</vt:lpwstr>
  </property>
  <property fmtid="{D5CDD505-2E9C-101B-9397-08002B2CF9AE}" pid="5" name="_AuthorEmail">
    <vt:lpwstr>Joanna.Krupa@axpo.com</vt:lpwstr>
  </property>
  <property fmtid="{D5CDD505-2E9C-101B-9397-08002B2CF9AE}" pid="6" name="_AuthorEmailDisplayName">
    <vt:lpwstr>Krupa Joanna AXPOPL TOP-M</vt:lpwstr>
  </property>
</Properties>
</file>