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78D" w14:textId="3B885729" w:rsidR="00FE04F9" w:rsidRPr="00EA4C67" w:rsidRDefault="00822FC0" w:rsidP="00461429">
      <w:pPr>
        <w:jc w:val="both"/>
        <w:rPr>
          <w:b/>
          <w:bCs/>
        </w:rPr>
      </w:pPr>
      <w:r w:rsidRPr="00EA4C67">
        <w:rPr>
          <w:b/>
          <w:bCs/>
        </w:rPr>
        <w:t>Pracodawca ubezpieczy od największych obaw</w:t>
      </w:r>
    </w:p>
    <w:p w14:paraId="4C0D5BB1" w14:textId="37837B94" w:rsidR="003378BE" w:rsidRDefault="003378BE" w:rsidP="00461429">
      <w:pPr>
        <w:jc w:val="both"/>
      </w:pPr>
    </w:p>
    <w:p w14:paraId="4A28B448" w14:textId="620F9FBF" w:rsidR="003378BE" w:rsidRPr="0038712F" w:rsidRDefault="00B84E82" w:rsidP="004614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8712F">
        <w:rPr>
          <w:b/>
          <w:bCs/>
        </w:rPr>
        <w:t xml:space="preserve">Dzięki ubezpieczeniom pracodawcy mogą </w:t>
      </w:r>
      <w:r w:rsidR="00614617" w:rsidRPr="0038712F">
        <w:rPr>
          <w:b/>
          <w:bCs/>
        </w:rPr>
        <w:t xml:space="preserve">zapewnić wsparcie w </w:t>
      </w:r>
      <w:r w:rsidR="004162C0">
        <w:rPr>
          <w:b/>
          <w:bCs/>
        </w:rPr>
        <w:t>przypadku</w:t>
      </w:r>
      <w:r w:rsidR="0038712F" w:rsidRPr="0038712F">
        <w:rPr>
          <w:b/>
          <w:bCs/>
        </w:rPr>
        <w:t xml:space="preserve"> 8 z 10 naszych największych obaw.</w:t>
      </w:r>
    </w:p>
    <w:p w14:paraId="133F600D" w14:textId="702E12F3" w:rsidR="003378BE" w:rsidRPr="00461429" w:rsidRDefault="00E03998" w:rsidP="004614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1429">
        <w:rPr>
          <w:b/>
          <w:bCs/>
        </w:rPr>
        <w:t>Grupowe polisy na życ</w:t>
      </w:r>
      <w:r w:rsidR="007002E8" w:rsidRPr="00461429">
        <w:rPr>
          <w:b/>
          <w:bCs/>
        </w:rPr>
        <w:t xml:space="preserve">ie mogą uwzględniać pomoc w razie poważnego zachorowania, utraty zdolności do pracy czy </w:t>
      </w:r>
      <w:r w:rsidR="00461429" w:rsidRPr="00461429">
        <w:rPr>
          <w:b/>
          <w:bCs/>
        </w:rPr>
        <w:t>odszkodowanie w razie nieszczęśliwych wypadków.</w:t>
      </w:r>
    </w:p>
    <w:p w14:paraId="390917BA" w14:textId="1131120C" w:rsidR="003378BE" w:rsidRPr="00461429" w:rsidRDefault="00461429" w:rsidP="00461429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1429">
        <w:rPr>
          <w:b/>
          <w:bCs/>
        </w:rPr>
        <w:t>Ubezpieczeni</w:t>
      </w:r>
      <w:r w:rsidR="008D3196">
        <w:rPr>
          <w:b/>
          <w:bCs/>
        </w:rPr>
        <w:t>a</w:t>
      </w:r>
      <w:r w:rsidRPr="00461429">
        <w:rPr>
          <w:b/>
          <w:bCs/>
        </w:rPr>
        <w:t xml:space="preserve"> pracownicz</w:t>
      </w:r>
      <w:r w:rsidR="008D3196">
        <w:rPr>
          <w:b/>
          <w:bCs/>
        </w:rPr>
        <w:t>e</w:t>
      </w:r>
      <w:r w:rsidRPr="00461429">
        <w:rPr>
          <w:b/>
          <w:bCs/>
        </w:rPr>
        <w:t xml:space="preserve"> </w:t>
      </w:r>
      <w:r w:rsidR="00805BB0" w:rsidRPr="00461429">
        <w:rPr>
          <w:b/>
          <w:bCs/>
        </w:rPr>
        <w:t xml:space="preserve">są </w:t>
      </w:r>
      <w:r w:rsidRPr="00461429">
        <w:rPr>
          <w:b/>
          <w:bCs/>
        </w:rPr>
        <w:t xml:space="preserve">cały czas rozwijane – coraz częściej uwzględniają </w:t>
      </w:r>
      <w:proofErr w:type="spellStart"/>
      <w:r w:rsidRPr="00461429">
        <w:rPr>
          <w:b/>
          <w:bCs/>
        </w:rPr>
        <w:t>assistance</w:t>
      </w:r>
      <w:proofErr w:type="spellEnd"/>
      <w:r w:rsidRPr="00461429">
        <w:rPr>
          <w:b/>
          <w:bCs/>
        </w:rPr>
        <w:t xml:space="preserve"> domowe czy </w:t>
      </w:r>
      <w:proofErr w:type="spellStart"/>
      <w:r w:rsidRPr="00461429">
        <w:rPr>
          <w:b/>
          <w:bCs/>
        </w:rPr>
        <w:t>concierge</w:t>
      </w:r>
      <w:proofErr w:type="spellEnd"/>
      <w:r w:rsidRPr="00461429">
        <w:rPr>
          <w:b/>
          <w:bCs/>
        </w:rPr>
        <w:t>.</w:t>
      </w:r>
    </w:p>
    <w:p w14:paraId="47DD6B81" w14:textId="69E84F8A" w:rsidR="003378BE" w:rsidRDefault="003378BE" w:rsidP="003378BE"/>
    <w:p w14:paraId="4DBA4571" w14:textId="474A3A6B" w:rsidR="00060525" w:rsidRDefault="002A5AE1" w:rsidP="005112A5">
      <w:pPr>
        <w:jc w:val="both"/>
      </w:pPr>
      <w:r>
        <w:t>Przysłowiowe licho nie śpi, czego dobitnie doświadczyliśmy w ciągu ostatnich kilkunastu miesięcy. Czego jednak obawiamy się najbardziej? Na to pytanie postanowiła odpowiedzieć Polska Izba Ubezpieczeń</w:t>
      </w:r>
      <w:r w:rsidR="00B3497F">
        <w:t xml:space="preserve"> – </w:t>
      </w:r>
      <w:r>
        <w:t>tworząc</w:t>
      </w:r>
      <w:r w:rsidR="00B3497F">
        <w:t xml:space="preserve"> Mapę Ryzyka Polaków, </w:t>
      </w:r>
      <w:r w:rsidR="008D66C7">
        <w:t xml:space="preserve">pokazującą równocześnie, w których przypadkach </w:t>
      </w:r>
      <w:r w:rsidR="00D2448E">
        <w:t xml:space="preserve">ubezpieczenia mogą pomóc nam zmierzyć się z przeciwnościami losu. Co się okazało? </w:t>
      </w:r>
      <w:r w:rsidR="0020656E">
        <w:t xml:space="preserve">W </w:t>
      </w:r>
      <w:r w:rsidR="00736EA8">
        <w:t xml:space="preserve">momencie ziszczenia </w:t>
      </w:r>
      <w:r w:rsidR="00887F12">
        <w:t>większości</w:t>
      </w:r>
      <w:r w:rsidR="00736EA8">
        <w:t xml:space="preserve"> </w:t>
      </w:r>
      <w:r w:rsidR="004A0725">
        <w:t xml:space="preserve">naszych </w:t>
      </w:r>
      <w:r w:rsidR="00736EA8">
        <w:t xml:space="preserve">największych obaw </w:t>
      </w:r>
      <w:r w:rsidR="005112A5">
        <w:t>możemy liczyć na wsparcie ubezpieczycieli</w:t>
      </w:r>
      <w:r w:rsidR="00887F12">
        <w:t>, a są nimi</w:t>
      </w:r>
      <w:r w:rsidR="00060525">
        <w:t xml:space="preserve"> (w kolejności)</w:t>
      </w:r>
      <w:r w:rsidR="007E293A">
        <w:t xml:space="preserve">: </w:t>
      </w:r>
    </w:p>
    <w:p w14:paraId="6BCA79B0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śmierć najbliższej osoby,</w:t>
      </w:r>
    </w:p>
    <w:p w14:paraId="51AB4CD2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 xml:space="preserve">brak pieniędzy na leczenie poważnej choroby, </w:t>
      </w:r>
    </w:p>
    <w:p w14:paraId="33AF061B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 xml:space="preserve">ciężka choroba najbliższej osoby, </w:t>
      </w:r>
    </w:p>
    <w:p w14:paraId="5C8A1046" w14:textId="5E99CE3E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 xml:space="preserve">nowotwór, </w:t>
      </w:r>
    </w:p>
    <w:p w14:paraId="379F3ECC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 xml:space="preserve">brak pieniędzy na starość, </w:t>
      </w:r>
    </w:p>
    <w:p w14:paraId="7338EB21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utrata sprawności,</w:t>
      </w:r>
    </w:p>
    <w:p w14:paraId="69A134B7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brak dostępu do opieki medycznej,</w:t>
      </w:r>
    </w:p>
    <w:p w14:paraId="687047B0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wypadek samochodowy,</w:t>
      </w:r>
    </w:p>
    <w:p w14:paraId="367B2AC4" w14:textId="77777777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ocieplenie klimatu,</w:t>
      </w:r>
    </w:p>
    <w:p w14:paraId="48AE1920" w14:textId="2E247666" w:rsidR="00501F72" w:rsidRDefault="00501F72" w:rsidP="00501F72">
      <w:pPr>
        <w:pStyle w:val="Akapitzlist"/>
        <w:numPr>
          <w:ilvl w:val="0"/>
          <w:numId w:val="2"/>
        </w:numPr>
        <w:jc w:val="both"/>
      </w:pPr>
      <w:r>
        <w:t>silny wiatr/huragan.</w:t>
      </w:r>
    </w:p>
    <w:p w14:paraId="104051C1" w14:textId="4D8A06CD" w:rsidR="003378BE" w:rsidRDefault="00850F90" w:rsidP="003378BE">
      <w:r>
        <w:t xml:space="preserve"> </w:t>
      </w:r>
    </w:p>
    <w:p w14:paraId="3B773C03" w14:textId="7B1D6159" w:rsidR="00EA4C67" w:rsidRDefault="00EA4C67" w:rsidP="00EA4C67">
      <w:pPr>
        <w:jc w:val="both"/>
      </w:pPr>
      <w:r>
        <w:t>–</w:t>
      </w:r>
      <w:r w:rsidR="00501F72">
        <w:t xml:space="preserve"> </w:t>
      </w:r>
      <w:r w:rsidR="00501F72" w:rsidRPr="00EA4C67">
        <w:rPr>
          <w:i/>
          <w:iCs/>
        </w:rPr>
        <w:t xml:space="preserve">Nie dość, że większość z tych </w:t>
      </w:r>
      <w:proofErr w:type="spellStart"/>
      <w:r w:rsidR="00501F72" w:rsidRPr="00EA4C67">
        <w:rPr>
          <w:i/>
          <w:iCs/>
        </w:rPr>
        <w:t>ryzyk</w:t>
      </w:r>
      <w:proofErr w:type="spellEnd"/>
      <w:r w:rsidR="00501F72" w:rsidRPr="00EA4C67">
        <w:rPr>
          <w:i/>
          <w:iCs/>
        </w:rPr>
        <w:t xml:space="preserve"> jest </w:t>
      </w:r>
      <w:proofErr w:type="spellStart"/>
      <w:r w:rsidR="00501F72" w:rsidRPr="00EA4C67">
        <w:rPr>
          <w:i/>
          <w:iCs/>
        </w:rPr>
        <w:t>ubezpiecza</w:t>
      </w:r>
      <w:r w:rsidR="00AA78C0" w:rsidRPr="00EA4C67">
        <w:rPr>
          <w:i/>
          <w:iCs/>
        </w:rPr>
        <w:t>l</w:t>
      </w:r>
      <w:r w:rsidR="00501F72" w:rsidRPr="00EA4C67">
        <w:rPr>
          <w:i/>
          <w:iCs/>
        </w:rPr>
        <w:t>nych</w:t>
      </w:r>
      <w:proofErr w:type="spellEnd"/>
      <w:r w:rsidR="00501F72" w:rsidRPr="00EA4C67">
        <w:rPr>
          <w:i/>
          <w:iCs/>
        </w:rPr>
        <w:t xml:space="preserve">, to </w:t>
      </w:r>
      <w:r w:rsidR="00AA78C0" w:rsidRPr="00EA4C67">
        <w:rPr>
          <w:i/>
          <w:iCs/>
        </w:rPr>
        <w:t xml:space="preserve">jeszcze w przypadku 8 z nich </w:t>
      </w:r>
      <w:r w:rsidR="00BA7507" w:rsidRPr="00EA4C67">
        <w:rPr>
          <w:i/>
          <w:iCs/>
        </w:rPr>
        <w:t xml:space="preserve">na wsparcie możemy liczyć w ramach ubezpieczeń grupowych, do których dostęp zapewniają pracodawcy. </w:t>
      </w:r>
      <w:r w:rsidR="00E41060" w:rsidRPr="00EA4C67">
        <w:rPr>
          <w:i/>
          <w:iCs/>
        </w:rPr>
        <w:t>To</w:t>
      </w:r>
      <w:r w:rsidR="00F568CF" w:rsidRPr="00EA4C67">
        <w:rPr>
          <w:i/>
          <w:iCs/>
        </w:rPr>
        <w:t xml:space="preserve">, że pracodawca może zwiększyć </w:t>
      </w:r>
      <w:r w:rsidR="00037BB1" w:rsidRPr="00EA4C67">
        <w:rPr>
          <w:i/>
          <w:iCs/>
        </w:rPr>
        <w:t>nasze poczucie bezpieczeństwa</w:t>
      </w:r>
      <w:r w:rsidR="008D3196">
        <w:rPr>
          <w:i/>
          <w:iCs/>
        </w:rPr>
        <w:t>,</w:t>
      </w:r>
      <w:r w:rsidR="00037BB1" w:rsidRPr="00EA4C67">
        <w:rPr>
          <w:i/>
          <w:iCs/>
        </w:rPr>
        <w:t xml:space="preserve"> jest szczególnie ważne obecnie, kiedy oprócz „zwykłych” przeciwności losu, musimy zmierzyć</w:t>
      </w:r>
      <w:r w:rsidR="00887F12">
        <w:rPr>
          <w:i/>
          <w:iCs/>
        </w:rPr>
        <w:t xml:space="preserve"> się</w:t>
      </w:r>
      <w:r w:rsidR="00037BB1" w:rsidRPr="00EA4C67">
        <w:rPr>
          <w:i/>
          <w:iCs/>
        </w:rPr>
        <w:t xml:space="preserve"> ze szczególną sytuacją w związku z trwającą pandemią. Dlatego nie dziwi mnie obserwowany przez nas od kilku miesięcy sukcesywny wzrost zainteresowania pracodawców grupowymi ubezpieczeniami </w:t>
      </w:r>
      <w:r w:rsidR="00AE42E3" w:rsidRPr="00EA4C67">
        <w:rPr>
          <w:i/>
          <w:iCs/>
        </w:rPr>
        <w:t xml:space="preserve">zdrowotnymi oraz na życie. </w:t>
      </w:r>
      <w:r w:rsidR="00EB4945" w:rsidRPr="00EA4C67">
        <w:rPr>
          <w:i/>
          <w:iCs/>
        </w:rPr>
        <w:t>Co więcej, zawierane obecnie lub przedłużane umowy, mają też coraz szerszy zakres</w:t>
      </w:r>
      <w:r w:rsidR="00887F12">
        <w:rPr>
          <w:i/>
          <w:iCs/>
        </w:rPr>
        <w:t xml:space="preserve"> lub wyższe sumy ubezpieczenia dla najważniejszych świadczeń</w:t>
      </w:r>
      <w:r w:rsidR="00EB4945">
        <w:t xml:space="preserve"> – zauważa </w:t>
      </w:r>
      <w:r>
        <w:t xml:space="preserve">Tomasz Kaniewski, </w:t>
      </w:r>
      <w:r w:rsidRPr="00ED6733">
        <w:t>Dyrektor Biura Ubezpieczeń na Życie EIB SA.</w:t>
      </w:r>
    </w:p>
    <w:p w14:paraId="4333BDFD" w14:textId="2A056514" w:rsidR="00501F72" w:rsidRDefault="00501F72" w:rsidP="003378BE"/>
    <w:p w14:paraId="2C037520" w14:textId="45F08286" w:rsidR="00AE6B7F" w:rsidRPr="00600FC5" w:rsidRDefault="00AE6B7F" w:rsidP="003378BE">
      <w:pPr>
        <w:rPr>
          <w:b/>
          <w:bCs/>
        </w:rPr>
      </w:pPr>
      <w:r w:rsidRPr="00600FC5">
        <w:rPr>
          <w:b/>
          <w:bCs/>
        </w:rPr>
        <w:t>Jak ubezpieczenia pracownicze pomagają nam przezwyciężyć trudne sytuacje?</w:t>
      </w:r>
    </w:p>
    <w:p w14:paraId="36CC24C6" w14:textId="5DE6D293" w:rsidR="00AE6B7F" w:rsidRDefault="00BB600A" w:rsidP="002313E7">
      <w:pPr>
        <w:jc w:val="both"/>
      </w:pPr>
      <w:r>
        <w:t xml:space="preserve">Podstawowymi ubezpieczeniami </w:t>
      </w:r>
      <w:r w:rsidR="007813DA">
        <w:t xml:space="preserve">zawieranymi w formie grupowej są polisy </w:t>
      </w:r>
      <w:r w:rsidR="00F6619B">
        <w:t>zdrowotne</w:t>
      </w:r>
      <w:r w:rsidR="007813DA">
        <w:t xml:space="preserve"> i na życie. </w:t>
      </w:r>
      <w:r w:rsidR="00F6619B">
        <w:t xml:space="preserve">Mogą one jednak być uzupełnione umowami bądź klauzulami dodatkowymi, które znacząco rozszerzają podstawowy zakres ubezpieczenia, czasem nawet o elementy nie </w:t>
      </w:r>
      <w:r w:rsidR="00627484">
        <w:t xml:space="preserve">od razu </w:t>
      </w:r>
      <w:r w:rsidR="00F6619B">
        <w:t xml:space="preserve">kojarzone </w:t>
      </w:r>
      <w:r w:rsidR="002643E4">
        <w:t>z nazwą ubezpieczenia. Jak to wygląda w praktyce i na które nasze największe obawy odp</w:t>
      </w:r>
      <w:r w:rsidR="00E76729">
        <w:t>owiadają ubezpieczenia grupowe?</w:t>
      </w:r>
    </w:p>
    <w:p w14:paraId="2925222F" w14:textId="109D351A" w:rsidR="00E76729" w:rsidRDefault="00E76729" w:rsidP="003378BE"/>
    <w:p w14:paraId="7A0AD99E" w14:textId="05A0FDD5" w:rsidR="00E76729" w:rsidRPr="000E6917" w:rsidRDefault="005E466F" w:rsidP="00E76729">
      <w:pPr>
        <w:pStyle w:val="Akapitzlist"/>
        <w:numPr>
          <w:ilvl w:val="0"/>
          <w:numId w:val="3"/>
        </w:numPr>
        <w:rPr>
          <w:b/>
          <w:bCs/>
        </w:rPr>
      </w:pPr>
      <w:r w:rsidRPr="000E6917">
        <w:rPr>
          <w:b/>
          <w:bCs/>
        </w:rPr>
        <w:t xml:space="preserve">Zakresem </w:t>
      </w:r>
      <w:r w:rsidR="00CD7CED" w:rsidRPr="000E6917">
        <w:rPr>
          <w:b/>
          <w:bCs/>
        </w:rPr>
        <w:t>grupowych „życiówek” można objąć ponad połowę naszych obaw</w:t>
      </w:r>
    </w:p>
    <w:p w14:paraId="0C36834A" w14:textId="746EE462" w:rsidR="00587DCA" w:rsidRDefault="000E6917" w:rsidP="003B7675">
      <w:pPr>
        <w:pStyle w:val="Akapitzlist"/>
        <w:jc w:val="both"/>
      </w:pPr>
      <w:r>
        <w:t xml:space="preserve">Jak sama nazwa wskazuje, podstawowym zadaniem </w:t>
      </w:r>
      <w:r w:rsidR="006F0AA2">
        <w:t>tych polis</w:t>
      </w:r>
      <w:r>
        <w:t xml:space="preserve"> jest zapewnienie wsparcia finans</w:t>
      </w:r>
      <w:r w:rsidR="00AE0AF9">
        <w:t>owego najbliższym w razie</w:t>
      </w:r>
      <w:r w:rsidR="00653BC7">
        <w:t xml:space="preserve"> </w:t>
      </w:r>
      <w:r w:rsidR="00AE0AF9">
        <w:t xml:space="preserve">śmierci </w:t>
      </w:r>
      <w:r w:rsidR="0060733B">
        <w:t xml:space="preserve">ubezpieczonych </w:t>
      </w:r>
      <w:r w:rsidR="00AE0AF9">
        <w:t xml:space="preserve">(a </w:t>
      </w:r>
      <w:r w:rsidR="006F0AA2">
        <w:t>ubezpieczyć</w:t>
      </w:r>
      <w:r w:rsidR="00653BC7">
        <w:t xml:space="preserve"> w ramach polisy firmowej</w:t>
      </w:r>
      <w:r w:rsidR="006F0AA2">
        <w:t xml:space="preserve"> możemy zarówno siebie, jak i naszą rodzinę czy partnerów życiowych</w:t>
      </w:r>
      <w:r w:rsidR="00653BC7">
        <w:t>).</w:t>
      </w:r>
      <w:r w:rsidR="00A569CD">
        <w:t xml:space="preserve"> To minimum, które bardzo często uzupełniane jest o wypłatę środków także w razie: poważnego zachorowania, zdiagnozowania nowotworu, utraty zdolności do pracy</w:t>
      </w:r>
      <w:r w:rsidR="00021B82">
        <w:t xml:space="preserve">. Co więcej, często można w </w:t>
      </w:r>
      <w:r w:rsidR="0095228E">
        <w:t xml:space="preserve">umowie uwzględnić też finansowanie leczenia albo odszkodowanie za hospitalizację. </w:t>
      </w:r>
      <w:r w:rsidR="00DB0343">
        <w:t xml:space="preserve">Większość polis uwzględnia też </w:t>
      </w:r>
      <w:r w:rsidR="002F10B6">
        <w:t xml:space="preserve">podstawowy zakres </w:t>
      </w:r>
      <w:r w:rsidR="00887F12">
        <w:t>ubezpieczenia</w:t>
      </w:r>
      <w:r w:rsidR="002F10B6">
        <w:t xml:space="preserve"> </w:t>
      </w:r>
      <w:r w:rsidR="00DB0343">
        <w:t xml:space="preserve">NNW, czyli </w:t>
      </w:r>
      <w:r w:rsidR="00887F12">
        <w:t>od</w:t>
      </w:r>
      <w:r w:rsidR="002F10B6">
        <w:t xml:space="preserve"> </w:t>
      </w:r>
      <w:r w:rsidR="00DB0343">
        <w:t>następstw nieszczęśliwych wypadków, czasem nawet tak drobnych, jak zacięcie przy k</w:t>
      </w:r>
      <w:r w:rsidR="003B7675">
        <w:t xml:space="preserve">rojeniu, o poważniejszych jak złamania </w:t>
      </w:r>
      <w:r w:rsidR="00074C35">
        <w:t xml:space="preserve">czy wypadek samochodowy </w:t>
      </w:r>
      <w:r w:rsidR="003B7675">
        <w:t>nie wspominając.</w:t>
      </w:r>
    </w:p>
    <w:p w14:paraId="231206F1" w14:textId="77777777" w:rsidR="00587DCA" w:rsidRDefault="00587DCA" w:rsidP="00587DCA"/>
    <w:p w14:paraId="1EA9981B" w14:textId="11836DAF" w:rsidR="002A6E6D" w:rsidRDefault="002A6E6D" w:rsidP="00B16F80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0E6917">
        <w:rPr>
          <w:b/>
          <w:bCs/>
        </w:rPr>
        <w:t xml:space="preserve">Ubezpieczenia zdrowotne zapewniają dostęp do </w:t>
      </w:r>
      <w:r w:rsidR="00587DCA" w:rsidRPr="000E6917">
        <w:rPr>
          <w:b/>
          <w:bCs/>
        </w:rPr>
        <w:t>tysięcy placówek</w:t>
      </w:r>
      <w:r w:rsidR="00C001FD">
        <w:rPr>
          <w:b/>
          <w:bCs/>
        </w:rPr>
        <w:t xml:space="preserve"> prywatnych</w:t>
      </w:r>
      <w:r w:rsidR="00587DCA" w:rsidRPr="000E6917">
        <w:rPr>
          <w:b/>
          <w:bCs/>
        </w:rPr>
        <w:t xml:space="preserve"> w Polsce, a czasem nawet za granicą</w:t>
      </w:r>
    </w:p>
    <w:p w14:paraId="69048B03" w14:textId="3CDE890E" w:rsidR="002313E7" w:rsidRPr="002313E7" w:rsidRDefault="002313E7" w:rsidP="00C001FD">
      <w:pPr>
        <w:pStyle w:val="Akapitzlist"/>
        <w:jc w:val="both"/>
      </w:pPr>
      <w:r>
        <w:t xml:space="preserve">W przypadku tego ubezpieczenia sama nazwa w zasadzie już w pełni wyjaśnia charakter </w:t>
      </w:r>
      <w:r w:rsidR="00841A7B">
        <w:t xml:space="preserve">i cel zawarcia polisy. </w:t>
      </w:r>
      <w:r w:rsidR="000F1CBB">
        <w:t>Dostęp do niepublicznej służby zdrowia</w:t>
      </w:r>
      <w:r w:rsidR="0056168D">
        <w:t xml:space="preserve"> w Polsce</w:t>
      </w:r>
      <w:r w:rsidR="000F1CBB">
        <w:t>, wobec sytuacji</w:t>
      </w:r>
      <w:r w:rsidR="00DE3A6E">
        <w:t>,</w:t>
      </w:r>
      <w:r w:rsidR="000F1CBB">
        <w:t xml:space="preserve"> w jakiej znalazł się NFZ przez pandemię, jest szczególnie istotny dla pracowników. </w:t>
      </w:r>
      <w:r w:rsidR="00841A7B">
        <w:t xml:space="preserve">Jednak </w:t>
      </w:r>
      <w:r w:rsidR="00B16F80">
        <w:t xml:space="preserve">czasem pracodawcy decydują się pójść </w:t>
      </w:r>
      <w:r w:rsidR="0056168D">
        <w:t xml:space="preserve">nawet </w:t>
      </w:r>
      <w:r w:rsidR="00B16F80">
        <w:t xml:space="preserve">o krok dalej. </w:t>
      </w:r>
      <w:r w:rsidR="00A70558">
        <w:t xml:space="preserve">Niektóre specjalistyczne ubezpieczenia oferują </w:t>
      </w:r>
      <w:r w:rsidR="0056168D">
        <w:t>możliwość skorzystania z pomocy</w:t>
      </w:r>
      <w:r w:rsidR="00193C98">
        <w:t xml:space="preserve"> </w:t>
      </w:r>
      <w:r w:rsidR="00267D2E">
        <w:t>prywatnej służby medycznej nie tylko</w:t>
      </w:r>
      <w:r w:rsidR="00A70558">
        <w:t xml:space="preserve"> w Polsce, ale umożliwiają też podjęcie leczenia, albo chociaż </w:t>
      </w:r>
      <w:r w:rsidR="00C001FD">
        <w:t xml:space="preserve">diagnozy, za granicą. </w:t>
      </w:r>
    </w:p>
    <w:p w14:paraId="6084DFC4" w14:textId="6CAD7789" w:rsidR="00AE6B7F" w:rsidRDefault="00AE6B7F" w:rsidP="003378BE"/>
    <w:p w14:paraId="55CFB230" w14:textId="559D8BB8" w:rsidR="0067771A" w:rsidRDefault="00F126F2" w:rsidP="00EA3826">
      <w:pPr>
        <w:jc w:val="both"/>
      </w:pPr>
      <w:r>
        <w:t xml:space="preserve">– </w:t>
      </w:r>
      <w:r w:rsidR="0067771A" w:rsidRPr="00EA3826">
        <w:rPr>
          <w:i/>
          <w:iCs/>
        </w:rPr>
        <w:t xml:space="preserve">Oprócz tych polis grupowych, </w:t>
      </w:r>
      <w:r w:rsidR="00C21983" w:rsidRPr="00EA3826">
        <w:rPr>
          <w:i/>
          <w:iCs/>
        </w:rPr>
        <w:t xml:space="preserve">które zapewniają bardzo ważne wsparcie, pracodawcy mogą z pomocą rynku ubezpieczeń </w:t>
      </w:r>
      <w:r w:rsidR="006F4188" w:rsidRPr="00EA3826">
        <w:rPr>
          <w:i/>
          <w:iCs/>
        </w:rPr>
        <w:t>zadbać też o dodatkowe zabezpieczenie emerytalne zatrudnionych. Podstawowym obecnie narzędziem są PPK, które mogą być zarządzane przez ubezpieczycieli</w:t>
      </w:r>
      <w:r w:rsidR="00075A3E" w:rsidRPr="00EA3826">
        <w:rPr>
          <w:i/>
          <w:iCs/>
        </w:rPr>
        <w:t xml:space="preserve">. Drugim rozwiązaniem jest </w:t>
      </w:r>
      <w:r w:rsidRPr="00EA3826">
        <w:rPr>
          <w:i/>
          <w:iCs/>
        </w:rPr>
        <w:t xml:space="preserve">pośredniczenie pomiędzy pracownikiem a ubezpieczycielem w rozszerzeniu ubezpieczenia na życie o elementy oszczędnościowej, choć jest to rozwiązanie zdecydowanie rzadziej spotykane. Warto też zauważyć, że nawet jeśli </w:t>
      </w:r>
      <w:r w:rsidR="00EA3826" w:rsidRPr="00EA3826">
        <w:rPr>
          <w:i/>
          <w:iCs/>
        </w:rPr>
        <w:t>zatrudnieni</w:t>
      </w:r>
      <w:r w:rsidRPr="00EA3826">
        <w:rPr>
          <w:i/>
          <w:iCs/>
        </w:rPr>
        <w:t xml:space="preserve"> samodzielnie lub w części opłaca</w:t>
      </w:r>
      <w:r w:rsidR="00EA3826" w:rsidRPr="00EA3826">
        <w:rPr>
          <w:i/>
          <w:iCs/>
        </w:rPr>
        <w:t>ją</w:t>
      </w:r>
      <w:r w:rsidRPr="00EA3826">
        <w:rPr>
          <w:i/>
          <w:iCs/>
        </w:rPr>
        <w:t xml:space="preserve"> składkę za swoje ubezpieczenie</w:t>
      </w:r>
      <w:r w:rsidR="00EA3826" w:rsidRPr="00EA3826">
        <w:rPr>
          <w:i/>
          <w:iCs/>
        </w:rPr>
        <w:t xml:space="preserve"> pracownicze, to fakt, że są częścią grupy zebranej przez pracodawcę</w:t>
      </w:r>
      <w:r w:rsidR="004F151E">
        <w:rPr>
          <w:i/>
          <w:iCs/>
        </w:rPr>
        <w:t>,</w:t>
      </w:r>
      <w:r w:rsidR="00EA3826" w:rsidRPr="00EA3826">
        <w:rPr>
          <w:i/>
          <w:iCs/>
        </w:rPr>
        <w:t xml:space="preserve"> ma odzwierciedlenie w jej wysokości. Ubezpieczenia zbiorowe zawsze są tańsze od polis zawieranych indywidualnie</w:t>
      </w:r>
      <w:r w:rsidR="00EA3826">
        <w:t xml:space="preserve"> – dodaje Tomasz Kaniewski z EIB SA.</w:t>
      </w:r>
    </w:p>
    <w:p w14:paraId="0104D5D6" w14:textId="318C12D0" w:rsidR="00AE6B7F" w:rsidRDefault="00AE6B7F" w:rsidP="003378BE"/>
    <w:p w14:paraId="1DE5A843" w14:textId="1B4EB041" w:rsidR="00AE6B7F" w:rsidRPr="006F091C" w:rsidRDefault="00AE6B7F" w:rsidP="003378BE">
      <w:pPr>
        <w:rPr>
          <w:b/>
          <w:bCs/>
        </w:rPr>
      </w:pPr>
      <w:r w:rsidRPr="006F091C">
        <w:rPr>
          <w:b/>
          <w:bCs/>
        </w:rPr>
        <w:t>A może pracodawca ubezpieczy nam też mieszkanie?</w:t>
      </w:r>
    </w:p>
    <w:p w14:paraId="34CC8056" w14:textId="444277F0" w:rsidR="00AE6B7F" w:rsidRDefault="006F091C" w:rsidP="003D5E80">
      <w:pPr>
        <w:jc w:val="both"/>
      </w:pPr>
      <w:r>
        <w:t xml:space="preserve">Biorąc pod uwagę sytuację na rynku pracy, </w:t>
      </w:r>
      <w:r w:rsidR="00771225">
        <w:t xml:space="preserve">coraz więcej pracodawców rozwija ubezpieczenie grupowe jeszcze bardziej poza standardowe ramy. Przykładowo, </w:t>
      </w:r>
      <w:r w:rsidR="003E01DC">
        <w:t xml:space="preserve">uzupełniają oni ubezpieczenie na życie </w:t>
      </w:r>
      <w:r w:rsidR="001C6F46">
        <w:t>o</w:t>
      </w:r>
      <w:r w:rsidR="003E01DC">
        <w:t xml:space="preserve"> </w:t>
      </w:r>
      <w:proofErr w:type="spellStart"/>
      <w:r w:rsidR="003E01DC">
        <w:t>assistance</w:t>
      </w:r>
      <w:proofErr w:type="spellEnd"/>
      <w:r w:rsidR="003E01DC">
        <w:t xml:space="preserve"> domow</w:t>
      </w:r>
      <w:r w:rsidR="001C6F46">
        <w:t>e</w:t>
      </w:r>
      <w:r w:rsidR="003E01DC">
        <w:t xml:space="preserve"> czy usłu</w:t>
      </w:r>
      <w:r w:rsidR="001C6F46">
        <w:t>g</w:t>
      </w:r>
      <w:r w:rsidR="003E01DC">
        <w:t xml:space="preserve">i </w:t>
      </w:r>
      <w:proofErr w:type="spellStart"/>
      <w:r w:rsidR="003E01DC">
        <w:t>concierge</w:t>
      </w:r>
      <w:proofErr w:type="spellEnd"/>
      <w:r w:rsidR="003E01DC">
        <w:t xml:space="preserve"> (w czasie lockdownów był</w:t>
      </w:r>
      <w:r w:rsidR="003D5E80">
        <w:t xml:space="preserve">a to pomoc </w:t>
      </w:r>
      <w:r w:rsidR="003E01DC">
        <w:t>szczególnie przydatn</w:t>
      </w:r>
      <w:r w:rsidR="003D5E80">
        <w:t>a</w:t>
      </w:r>
      <w:r w:rsidR="003E01DC">
        <w:t>)</w:t>
      </w:r>
      <w:r w:rsidR="001D1FF4">
        <w:t xml:space="preserve">. </w:t>
      </w:r>
      <w:r w:rsidR="00A15BA3">
        <w:t>Ciekawe czy za jakiś czas nie pójdą jeszcze o krok dalej i nie umożliwią pracownikom ubezpieczeni</w:t>
      </w:r>
      <w:r w:rsidR="001C6F46">
        <w:t>a</w:t>
      </w:r>
      <w:r w:rsidR="00A15BA3">
        <w:t xml:space="preserve"> ich domów i mieszkań za swoim pośrednictwem</w:t>
      </w:r>
      <w:r w:rsidR="00EF5C0D">
        <w:t>.</w:t>
      </w:r>
    </w:p>
    <w:p w14:paraId="1E849F70" w14:textId="60E554F7" w:rsidR="00EF5C0D" w:rsidRDefault="00EF5C0D" w:rsidP="003D5E80">
      <w:pPr>
        <w:jc w:val="both"/>
      </w:pPr>
    </w:p>
    <w:p w14:paraId="100F00C5" w14:textId="342C6487" w:rsidR="00600FC5" w:rsidRDefault="00EF5C0D" w:rsidP="001C6F46">
      <w:pPr>
        <w:jc w:val="right"/>
      </w:pPr>
      <w:r>
        <w:t>Źródło: EIB SA.</w:t>
      </w:r>
    </w:p>
    <w:sectPr w:rsidR="0060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7E"/>
    <w:multiLevelType w:val="hybridMultilevel"/>
    <w:tmpl w:val="0C021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8BA"/>
    <w:multiLevelType w:val="hybridMultilevel"/>
    <w:tmpl w:val="EE48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4FD2"/>
    <w:multiLevelType w:val="hybridMultilevel"/>
    <w:tmpl w:val="D50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3F"/>
    <w:rsid w:val="00021B82"/>
    <w:rsid w:val="00037BB1"/>
    <w:rsid w:val="00060525"/>
    <w:rsid w:val="00062041"/>
    <w:rsid w:val="00074C35"/>
    <w:rsid w:val="00075A3E"/>
    <w:rsid w:val="000E6917"/>
    <w:rsid w:val="000F1CBB"/>
    <w:rsid w:val="0010492B"/>
    <w:rsid w:val="00161472"/>
    <w:rsid w:val="00193C98"/>
    <w:rsid w:val="001C2F3F"/>
    <w:rsid w:val="001C6F46"/>
    <w:rsid w:val="001C7FAF"/>
    <w:rsid w:val="001D1FF4"/>
    <w:rsid w:val="001E5EEF"/>
    <w:rsid w:val="00203F6C"/>
    <w:rsid w:val="0020656E"/>
    <w:rsid w:val="002313E7"/>
    <w:rsid w:val="002328D5"/>
    <w:rsid w:val="002643E4"/>
    <w:rsid w:val="00267D2E"/>
    <w:rsid w:val="002A1639"/>
    <w:rsid w:val="002A5AE1"/>
    <w:rsid w:val="002A6E6D"/>
    <w:rsid w:val="002F10B6"/>
    <w:rsid w:val="003378BE"/>
    <w:rsid w:val="003719E8"/>
    <w:rsid w:val="0038712F"/>
    <w:rsid w:val="003B27CC"/>
    <w:rsid w:val="003B7675"/>
    <w:rsid w:val="003D5E80"/>
    <w:rsid w:val="003E01DC"/>
    <w:rsid w:val="004021DF"/>
    <w:rsid w:val="004162C0"/>
    <w:rsid w:val="00461429"/>
    <w:rsid w:val="004A0725"/>
    <w:rsid w:val="004F151E"/>
    <w:rsid w:val="00501F72"/>
    <w:rsid w:val="005112A5"/>
    <w:rsid w:val="0056168D"/>
    <w:rsid w:val="00587DCA"/>
    <w:rsid w:val="005E466F"/>
    <w:rsid w:val="00600FC5"/>
    <w:rsid w:val="0060733B"/>
    <w:rsid w:val="00614617"/>
    <w:rsid w:val="00627484"/>
    <w:rsid w:val="00653BC7"/>
    <w:rsid w:val="0067771A"/>
    <w:rsid w:val="006B4324"/>
    <w:rsid w:val="006F091C"/>
    <w:rsid w:val="006F0AA2"/>
    <w:rsid w:val="006F4188"/>
    <w:rsid w:val="007002E8"/>
    <w:rsid w:val="00736EA8"/>
    <w:rsid w:val="00771225"/>
    <w:rsid w:val="007813DA"/>
    <w:rsid w:val="007A1E37"/>
    <w:rsid w:val="007B0261"/>
    <w:rsid w:val="007E293A"/>
    <w:rsid w:val="00805BB0"/>
    <w:rsid w:val="00822FC0"/>
    <w:rsid w:val="00841A7B"/>
    <w:rsid w:val="00850F90"/>
    <w:rsid w:val="00887F12"/>
    <w:rsid w:val="008C7183"/>
    <w:rsid w:val="008D3196"/>
    <w:rsid w:val="008D66C7"/>
    <w:rsid w:val="009002D2"/>
    <w:rsid w:val="0095228E"/>
    <w:rsid w:val="00A15BA3"/>
    <w:rsid w:val="00A569CD"/>
    <w:rsid w:val="00A70558"/>
    <w:rsid w:val="00AA78C0"/>
    <w:rsid w:val="00AE0AF9"/>
    <w:rsid w:val="00AE42E3"/>
    <w:rsid w:val="00AE6B7F"/>
    <w:rsid w:val="00B16F80"/>
    <w:rsid w:val="00B3497F"/>
    <w:rsid w:val="00B84E82"/>
    <w:rsid w:val="00BA7507"/>
    <w:rsid w:val="00BB600A"/>
    <w:rsid w:val="00BF47E2"/>
    <w:rsid w:val="00C001FD"/>
    <w:rsid w:val="00C21983"/>
    <w:rsid w:val="00CD7CED"/>
    <w:rsid w:val="00D2448E"/>
    <w:rsid w:val="00D538D5"/>
    <w:rsid w:val="00DB0343"/>
    <w:rsid w:val="00DE3A6E"/>
    <w:rsid w:val="00E03998"/>
    <w:rsid w:val="00E36364"/>
    <w:rsid w:val="00E41060"/>
    <w:rsid w:val="00E76729"/>
    <w:rsid w:val="00EA3826"/>
    <w:rsid w:val="00EA4C67"/>
    <w:rsid w:val="00EB4945"/>
    <w:rsid w:val="00EF5C0D"/>
    <w:rsid w:val="00F126F2"/>
    <w:rsid w:val="00F568CF"/>
    <w:rsid w:val="00F6619B"/>
    <w:rsid w:val="00FC28E0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6C8F"/>
  <w15:chartTrackingRefBased/>
  <w15:docId w15:val="{BE4380EC-59AE-48A7-B88E-29515FC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A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8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C6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C6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67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E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56D5B3E528D045B2BE0422B0CC7E33" ma:contentTypeVersion="10" ma:contentTypeDescription="Utwórz nowy dokument." ma:contentTypeScope="" ma:versionID="64778f0cd3a6cc27176424ad8278a367">
  <xsd:schema xmlns:xsd="http://www.w3.org/2001/XMLSchema" xmlns:xs="http://www.w3.org/2001/XMLSchema" xmlns:p="http://schemas.microsoft.com/office/2006/metadata/properties" xmlns:ns3="fba3899c-1909-46bf-97a2-ee685bb13629" targetNamespace="http://schemas.microsoft.com/office/2006/metadata/properties" ma:root="true" ma:fieldsID="35c271d2fe0d3a2364b486b73cc436da" ns3:_="">
    <xsd:import namespace="fba3899c-1909-46bf-97a2-ee685bb13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899c-1909-46bf-97a2-ee685bb13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59D62-AF2C-4F54-AF42-83E796B63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3899c-1909-46bf-97a2-ee685bb13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7086-9C81-43A7-A6EA-E8A8B306D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168AC-B195-418E-BC7E-6CEF56047CB8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ba3899c-1909-46bf-97a2-ee685bb13629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4</cp:revision>
  <dcterms:created xsi:type="dcterms:W3CDTF">2021-09-28T08:29:00Z</dcterms:created>
  <dcterms:modified xsi:type="dcterms:W3CDTF">2021-09-29T07:38:00Z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0x010100CC56D5B3E528D045B2BE0422B0CC7E33</vt:lpwstr>
  </property>
</Properties>
</file>