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1DC736FC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263BB5" w:rsidRPr="00263BB5">
        <w:rPr>
          <w:sz w:val="22"/>
        </w:rPr>
        <w:t>0</w:t>
      </w:r>
      <w:r w:rsidR="004D0625">
        <w:rPr>
          <w:sz w:val="22"/>
        </w:rPr>
        <w:t>7</w:t>
      </w:r>
      <w:r w:rsidR="00263BB5" w:rsidRPr="00263BB5">
        <w:rPr>
          <w:sz w:val="22"/>
        </w:rPr>
        <w:t>.</w:t>
      </w:r>
      <w:r w:rsidR="00CA59D7">
        <w:rPr>
          <w:sz w:val="22"/>
        </w:rPr>
        <w:t>10</w:t>
      </w:r>
      <w:r w:rsidR="00263BB5" w:rsidRPr="00263BB5">
        <w:rPr>
          <w:sz w:val="22"/>
        </w:rPr>
        <w:t xml:space="preserve">.2021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6B1BFD6" w14:textId="331B3AA7" w:rsidR="00C06041" w:rsidRDefault="00263BB5" w:rsidP="00C06041">
      <w:pPr>
        <w:jc w:val="both"/>
        <w:rPr>
          <w:b/>
          <w:bCs/>
          <w:sz w:val="28"/>
          <w:szCs w:val="28"/>
        </w:rPr>
      </w:pPr>
      <w:bookmarkStart w:id="0" w:name="_Hlk84413615"/>
      <w:r w:rsidRPr="00263BB5">
        <w:rPr>
          <w:b/>
          <w:bCs/>
          <w:sz w:val="28"/>
          <w:szCs w:val="28"/>
        </w:rPr>
        <w:t xml:space="preserve">O </w:t>
      </w:r>
      <w:r w:rsidR="00CA59D7">
        <w:rPr>
          <w:b/>
          <w:bCs/>
          <w:sz w:val="28"/>
          <w:szCs w:val="28"/>
        </w:rPr>
        <w:t>24</w:t>
      </w:r>
      <w:r w:rsidRPr="00263BB5">
        <w:rPr>
          <w:b/>
          <w:bCs/>
          <w:sz w:val="28"/>
          <w:szCs w:val="28"/>
        </w:rPr>
        <w:t>,</w:t>
      </w:r>
      <w:r w:rsidR="00CA59D7">
        <w:rPr>
          <w:b/>
          <w:bCs/>
          <w:sz w:val="28"/>
          <w:szCs w:val="28"/>
        </w:rPr>
        <w:t>9</w:t>
      </w:r>
      <w:r w:rsidRPr="00263BB5">
        <w:rPr>
          <w:b/>
          <w:bCs/>
          <w:sz w:val="28"/>
          <w:szCs w:val="28"/>
        </w:rPr>
        <w:t xml:space="preserve">% wzrosła wartość zapytań o kredyty mieszkaniowe </w:t>
      </w:r>
      <w:bookmarkEnd w:id="0"/>
      <w:r w:rsidRPr="00263BB5">
        <w:rPr>
          <w:b/>
          <w:bCs/>
          <w:sz w:val="28"/>
          <w:szCs w:val="28"/>
        </w:rPr>
        <w:t xml:space="preserve">– najnowszy, </w:t>
      </w:r>
      <w:r w:rsidR="00CA59D7">
        <w:rPr>
          <w:b/>
          <w:bCs/>
          <w:sz w:val="28"/>
          <w:szCs w:val="28"/>
        </w:rPr>
        <w:t>wrześniowy</w:t>
      </w:r>
      <w:r w:rsidRPr="00263BB5">
        <w:rPr>
          <w:b/>
          <w:bCs/>
          <w:sz w:val="28"/>
          <w:szCs w:val="28"/>
        </w:rPr>
        <w:t xml:space="preserve"> odczyt BIK Indeksu Popytu na Kredyty Mieszkaniowe</w:t>
      </w:r>
    </w:p>
    <w:p w14:paraId="7FB34160" w14:textId="77777777" w:rsidR="00D628F5" w:rsidRPr="003A1C15" w:rsidRDefault="00D628F5" w:rsidP="00C06041">
      <w:pPr>
        <w:jc w:val="both"/>
        <w:rPr>
          <w:b/>
          <w:bCs/>
        </w:rPr>
      </w:pPr>
    </w:p>
    <w:p w14:paraId="378CD048" w14:textId="76813153" w:rsidR="00263BB5" w:rsidRPr="00263BB5" w:rsidRDefault="00263BB5" w:rsidP="00263BB5">
      <w:pPr>
        <w:jc w:val="both"/>
        <w:rPr>
          <w:b/>
          <w:bCs/>
          <w:sz w:val="23"/>
          <w:szCs w:val="23"/>
        </w:rPr>
      </w:pPr>
      <w:bookmarkStart w:id="1" w:name="_Hlk73698368"/>
      <w:r w:rsidRPr="00263BB5">
        <w:rPr>
          <w:b/>
          <w:bCs/>
          <w:sz w:val="23"/>
          <w:szCs w:val="23"/>
        </w:rPr>
        <w:t xml:space="preserve">Wartość BIK Indeksu Popytu na Kredyty Mieszkaniowe (BIK Indeks – PKM) informuje o rocznej dynamice wartości wnioskowanych kredytów mieszkaniowych. Kolejny dodatni odczyt Indeksu jest nadal wysoki i wynosi </w:t>
      </w:r>
      <w:r w:rsidR="00AD63A3">
        <w:rPr>
          <w:b/>
          <w:bCs/>
          <w:sz w:val="23"/>
          <w:szCs w:val="23"/>
        </w:rPr>
        <w:t>24</w:t>
      </w:r>
      <w:r w:rsidRPr="00263BB5">
        <w:rPr>
          <w:b/>
          <w:bCs/>
          <w:sz w:val="23"/>
          <w:szCs w:val="23"/>
        </w:rPr>
        <w:t>,</w:t>
      </w:r>
      <w:r w:rsidR="00AD63A3">
        <w:rPr>
          <w:b/>
          <w:bCs/>
          <w:sz w:val="23"/>
          <w:szCs w:val="23"/>
        </w:rPr>
        <w:t>9</w:t>
      </w:r>
      <w:r w:rsidRPr="00263BB5">
        <w:rPr>
          <w:b/>
          <w:bCs/>
          <w:sz w:val="23"/>
          <w:szCs w:val="23"/>
        </w:rPr>
        <w:t>%. Wartość Indeksu oznacza, że w</w:t>
      </w:r>
      <w:r w:rsidR="00AD63A3">
        <w:rPr>
          <w:b/>
          <w:bCs/>
          <w:sz w:val="23"/>
          <w:szCs w:val="23"/>
        </w:rPr>
        <w:t>e wrześniu</w:t>
      </w:r>
      <w:r w:rsidRPr="00263BB5">
        <w:rPr>
          <w:b/>
          <w:bCs/>
          <w:sz w:val="23"/>
          <w:szCs w:val="23"/>
        </w:rPr>
        <w:t xml:space="preserve"> 2021 r., w przeliczeniu na dzień roboczy, banki i SKOK-i przesłały do BIK zapytania o kredyty mieszkaniowe na kwotę wyższą o </w:t>
      </w:r>
      <w:r w:rsidR="00AD63A3">
        <w:rPr>
          <w:b/>
          <w:bCs/>
          <w:sz w:val="23"/>
          <w:szCs w:val="23"/>
        </w:rPr>
        <w:t>24</w:t>
      </w:r>
      <w:r w:rsidRPr="00263BB5">
        <w:rPr>
          <w:b/>
          <w:bCs/>
          <w:sz w:val="23"/>
          <w:szCs w:val="23"/>
        </w:rPr>
        <w:t>,</w:t>
      </w:r>
      <w:r w:rsidR="00AD63A3">
        <w:rPr>
          <w:b/>
          <w:bCs/>
          <w:sz w:val="23"/>
          <w:szCs w:val="23"/>
        </w:rPr>
        <w:t>9</w:t>
      </w:r>
      <w:r w:rsidRPr="00263BB5">
        <w:rPr>
          <w:b/>
          <w:bCs/>
          <w:sz w:val="23"/>
          <w:szCs w:val="23"/>
        </w:rPr>
        <w:t xml:space="preserve">% w porównaniu z </w:t>
      </w:r>
      <w:r w:rsidR="00AD63A3">
        <w:rPr>
          <w:b/>
          <w:bCs/>
          <w:sz w:val="23"/>
          <w:szCs w:val="23"/>
        </w:rPr>
        <w:t>wrześniem</w:t>
      </w:r>
      <w:r w:rsidRPr="00263BB5">
        <w:rPr>
          <w:b/>
          <w:bCs/>
          <w:sz w:val="23"/>
          <w:szCs w:val="23"/>
        </w:rPr>
        <w:t xml:space="preserve"> 2020 r. </w:t>
      </w:r>
    </w:p>
    <w:bookmarkEnd w:id="1"/>
    <w:p w14:paraId="3DEEE995" w14:textId="77777777" w:rsidR="00C06041" w:rsidRPr="006A2C5F" w:rsidRDefault="00C06041" w:rsidP="00C06041">
      <w:pPr>
        <w:jc w:val="both"/>
        <w:rPr>
          <w:sz w:val="23"/>
          <w:szCs w:val="23"/>
        </w:rPr>
      </w:pPr>
    </w:p>
    <w:p w14:paraId="6E54AA54" w14:textId="06F10DAE" w:rsidR="00263BB5" w:rsidRDefault="00263BB5" w:rsidP="00263BB5">
      <w:pPr>
        <w:jc w:val="both"/>
        <w:rPr>
          <w:sz w:val="22"/>
        </w:rPr>
      </w:pPr>
      <w:bookmarkStart w:id="2" w:name="_Hlk84413576"/>
      <w:r w:rsidRPr="00263BB5">
        <w:rPr>
          <w:sz w:val="22"/>
        </w:rPr>
        <w:t>W</w:t>
      </w:r>
      <w:r w:rsidR="00AD63A3">
        <w:rPr>
          <w:sz w:val="22"/>
        </w:rPr>
        <w:t>e</w:t>
      </w:r>
      <w:r w:rsidRPr="00263BB5">
        <w:rPr>
          <w:sz w:val="22"/>
        </w:rPr>
        <w:t xml:space="preserve"> </w:t>
      </w:r>
      <w:r w:rsidR="00AD63A3">
        <w:rPr>
          <w:sz w:val="22"/>
        </w:rPr>
        <w:t>wrześniu</w:t>
      </w:r>
      <w:r w:rsidRPr="00263BB5">
        <w:rPr>
          <w:sz w:val="22"/>
        </w:rPr>
        <w:t xml:space="preserve"> 2021 r. o kredyt mieszkaniowy wnioskowało łącznie 4</w:t>
      </w:r>
      <w:r w:rsidR="0048408C">
        <w:rPr>
          <w:sz w:val="22"/>
        </w:rPr>
        <w:t>1</w:t>
      </w:r>
      <w:r w:rsidRPr="00263BB5">
        <w:rPr>
          <w:sz w:val="22"/>
        </w:rPr>
        <w:t>,</w:t>
      </w:r>
      <w:r w:rsidR="00AD63A3">
        <w:rPr>
          <w:sz w:val="22"/>
        </w:rPr>
        <w:t>25</w:t>
      </w:r>
      <w:r w:rsidRPr="00263BB5">
        <w:rPr>
          <w:sz w:val="22"/>
        </w:rPr>
        <w:t xml:space="preserve"> tys. potencjalnych kredytobiorców,</w:t>
      </w:r>
      <w:bookmarkEnd w:id="2"/>
      <w:r w:rsidRPr="00263BB5">
        <w:rPr>
          <w:sz w:val="22"/>
        </w:rPr>
        <w:t xml:space="preserve"> w porównaniu do 3</w:t>
      </w:r>
      <w:r w:rsidR="00AD63A3">
        <w:rPr>
          <w:sz w:val="22"/>
        </w:rPr>
        <w:t>7</w:t>
      </w:r>
      <w:r w:rsidRPr="00263BB5">
        <w:rPr>
          <w:sz w:val="22"/>
        </w:rPr>
        <w:t>,</w:t>
      </w:r>
      <w:r w:rsidR="003F64AF">
        <w:rPr>
          <w:sz w:val="22"/>
        </w:rPr>
        <w:t>6</w:t>
      </w:r>
      <w:r w:rsidR="00584732">
        <w:rPr>
          <w:sz w:val="22"/>
        </w:rPr>
        <w:t>9</w:t>
      </w:r>
      <w:r w:rsidRPr="00263BB5">
        <w:rPr>
          <w:sz w:val="22"/>
        </w:rPr>
        <w:t xml:space="preserve"> tys. rok wcześniej – jest </w:t>
      </w:r>
      <w:bookmarkStart w:id="3" w:name="_Hlk84413592"/>
      <w:r w:rsidRPr="00263BB5">
        <w:rPr>
          <w:sz w:val="22"/>
        </w:rPr>
        <w:t>to wzrost o +</w:t>
      </w:r>
      <w:r w:rsidR="00AD63A3">
        <w:rPr>
          <w:sz w:val="22"/>
        </w:rPr>
        <w:t>9</w:t>
      </w:r>
      <w:r w:rsidRPr="00263BB5">
        <w:rPr>
          <w:sz w:val="22"/>
        </w:rPr>
        <w:t>,</w:t>
      </w:r>
      <w:r w:rsidR="00AD63A3">
        <w:rPr>
          <w:sz w:val="22"/>
        </w:rPr>
        <w:t>5</w:t>
      </w:r>
      <w:r w:rsidRPr="00263BB5">
        <w:rPr>
          <w:sz w:val="22"/>
        </w:rPr>
        <w:t xml:space="preserve">%. </w:t>
      </w:r>
      <w:bookmarkEnd w:id="3"/>
      <w:r w:rsidR="00B010F5">
        <w:rPr>
          <w:sz w:val="22"/>
        </w:rPr>
        <w:t>Jednak w</w:t>
      </w:r>
      <w:r w:rsidRPr="00263BB5">
        <w:rPr>
          <w:sz w:val="22"/>
        </w:rPr>
        <w:t xml:space="preserve"> porównaniu do </w:t>
      </w:r>
      <w:r w:rsidR="00AD63A3">
        <w:rPr>
          <w:sz w:val="22"/>
        </w:rPr>
        <w:t>sierpnia</w:t>
      </w:r>
      <w:r w:rsidRPr="00263BB5">
        <w:rPr>
          <w:sz w:val="22"/>
        </w:rPr>
        <w:t xml:space="preserve"> br. </w:t>
      </w:r>
      <w:r w:rsidR="006A2C5F">
        <w:rPr>
          <w:sz w:val="22"/>
        </w:rPr>
        <w:t xml:space="preserve">było ich mniej </w:t>
      </w:r>
      <w:r w:rsidRPr="00263BB5">
        <w:rPr>
          <w:sz w:val="22"/>
        </w:rPr>
        <w:t xml:space="preserve">o </w:t>
      </w:r>
      <w:r w:rsidR="00AD63A3">
        <w:rPr>
          <w:sz w:val="22"/>
        </w:rPr>
        <w:t>1</w:t>
      </w:r>
      <w:r w:rsidRPr="00263BB5">
        <w:rPr>
          <w:sz w:val="22"/>
        </w:rPr>
        <w:t>,</w:t>
      </w:r>
      <w:r w:rsidR="00AD63A3">
        <w:rPr>
          <w:sz w:val="22"/>
        </w:rPr>
        <w:t>5</w:t>
      </w:r>
      <w:r w:rsidRPr="00263BB5">
        <w:rPr>
          <w:sz w:val="22"/>
        </w:rPr>
        <w:t xml:space="preserve">%. Średnia wartość wnioskowanego kredytu </w:t>
      </w:r>
      <w:r w:rsidR="006A2C5F" w:rsidRPr="00263BB5">
        <w:rPr>
          <w:sz w:val="22"/>
        </w:rPr>
        <w:t>w</w:t>
      </w:r>
      <w:r w:rsidR="00AD63A3">
        <w:rPr>
          <w:sz w:val="22"/>
        </w:rPr>
        <w:t>e</w:t>
      </w:r>
      <w:r w:rsidR="006A2C5F" w:rsidRPr="00263BB5">
        <w:rPr>
          <w:sz w:val="22"/>
        </w:rPr>
        <w:t xml:space="preserve"> </w:t>
      </w:r>
      <w:r w:rsidR="00AD63A3">
        <w:rPr>
          <w:sz w:val="22"/>
        </w:rPr>
        <w:t>wrześniu</w:t>
      </w:r>
      <w:r w:rsidR="006A2C5F" w:rsidRPr="00263BB5">
        <w:rPr>
          <w:sz w:val="22"/>
        </w:rPr>
        <w:t xml:space="preserve"> </w:t>
      </w:r>
      <w:r w:rsidR="006A2C5F">
        <w:rPr>
          <w:sz w:val="22"/>
        </w:rPr>
        <w:t xml:space="preserve">br. </w:t>
      </w:r>
      <w:r w:rsidRPr="00263BB5">
        <w:rPr>
          <w:sz w:val="22"/>
        </w:rPr>
        <w:t>wyniosła 3</w:t>
      </w:r>
      <w:r w:rsidR="004C17A7">
        <w:rPr>
          <w:sz w:val="22"/>
        </w:rPr>
        <w:t>3</w:t>
      </w:r>
      <w:r w:rsidR="00AD63A3">
        <w:rPr>
          <w:sz w:val="22"/>
        </w:rPr>
        <w:t>3</w:t>
      </w:r>
      <w:r w:rsidRPr="00263BB5">
        <w:rPr>
          <w:sz w:val="22"/>
        </w:rPr>
        <w:t>,</w:t>
      </w:r>
      <w:r w:rsidR="00AD63A3">
        <w:rPr>
          <w:sz w:val="22"/>
        </w:rPr>
        <w:t>0</w:t>
      </w:r>
      <w:r w:rsidRPr="00263BB5">
        <w:rPr>
          <w:sz w:val="22"/>
        </w:rPr>
        <w:t xml:space="preserve"> tys. zł i </w:t>
      </w:r>
      <w:r w:rsidR="00B010F5">
        <w:rPr>
          <w:sz w:val="22"/>
        </w:rPr>
        <w:t>była</w:t>
      </w:r>
      <w:r w:rsidRPr="00263BB5">
        <w:rPr>
          <w:sz w:val="22"/>
        </w:rPr>
        <w:t xml:space="preserve"> wyższa o 1</w:t>
      </w:r>
      <w:r w:rsidR="00AD63A3">
        <w:rPr>
          <w:sz w:val="22"/>
        </w:rPr>
        <w:t>4</w:t>
      </w:r>
      <w:r w:rsidRPr="00263BB5">
        <w:rPr>
          <w:sz w:val="22"/>
        </w:rPr>
        <w:t>,</w:t>
      </w:r>
      <w:r w:rsidR="00AD63A3">
        <w:rPr>
          <w:sz w:val="22"/>
        </w:rPr>
        <w:t>1</w:t>
      </w:r>
      <w:r w:rsidRPr="00263BB5">
        <w:rPr>
          <w:sz w:val="22"/>
        </w:rPr>
        <w:t xml:space="preserve">% </w:t>
      </w:r>
      <w:r w:rsidR="00B010F5">
        <w:rPr>
          <w:sz w:val="22"/>
        </w:rPr>
        <w:t>w relacji do</w:t>
      </w:r>
      <w:r w:rsidRPr="00263BB5">
        <w:rPr>
          <w:sz w:val="22"/>
        </w:rPr>
        <w:t xml:space="preserve"> wartości z </w:t>
      </w:r>
      <w:r w:rsidR="00584732">
        <w:rPr>
          <w:sz w:val="22"/>
        </w:rPr>
        <w:t>wrześ</w:t>
      </w:r>
      <w:r w:rsidR="004C17A7">
        <w:rPr>
          <w:sz w:val="22"/>
        </w:rPr>
        <w:t>nia</w:t>
      </w:r>
      <w:r w:rsidRPr="00263BB5">
        <w:rPr>
          <w:sz w:val="22"/>
        </w:rPr>
        <w:t xml:space="preserve"> 2020 r.</w:t>
      </w:r>
    </w:p>
    <w:p w14:paraId="4FA80B6E" w14:textId="77777777" w:rsidR="006F0FA9" w:rsidRPr="00263BB5" w:rsidRDefault="006F0FA9" w:rsidP="00263BB5">
      <w:pPr>
        <w:jc w:val="both"/>
        <w:rPr>
          <w:sz w:val="22"/>
        </w:rPr>
      </w:pPr>
    </w:p>
    <w:p w14:paraId="67BCD84B" w14:textId="67D770AD" w:rsidR="00897945" w:rsidRDefault="00263BB5" w:rsidP="00263BB5">
      <w:pPr>
        <w:jc w:val="both"/>
        <w:rPr>
          <w:i/>
          <w:sz w:val="22"/>
        </w:rPr>
      </w:pPr>
      <w:r w:rsidRPr="00263BB5">
        <w:rPr>
          <w:i/>
          <w:sz w:val="22"/>
        </w:rPr>
        <w:t>- Na wartość Indeksu pozytywnie wpłynął przede wszystkim wzrost średniej kwoty wnioskowanego kredytu</w:t>
      </w:r>
      <w:r w:rsidR="00B21D57">
        <w:rPr>
          <w:i/>
          <w:sz w:val="22"/>
        </w:rPr>
        <w:t xml:space="preserve"> mieszkaniowego</w:t>
      </w:r>
      <w:r w:rsidRPr="00263BB5">
        <w:rPr>
          <w:i/>
          <w:sz w:val="22"/>
        </w:rPr>
        <w:t xml:space="preserve">, która po raz kolejny </w:t>
      </w:r>
      <w:r w:rsidR="00B010F5">
        <w:rPr>
          <w:i/>
          <w:sz w:val="22"/>
        </w:rPr>
        <w:t xml:space="preserve">odnotowała </w:t>
      </w:r>
      <w:r w:rsidR="004C17A7">
        <w:rPr>
          <w:i/>
          <w:sz w:val="22"/>
        </w:rPr>
        <w:t>historyczny rekord</w:t>
      </w:r>
      <w:r w:rsidRPr="00263BB5">
        <w:rPr>
          <w:i/>
          <w:sz w:val="22"/>
        </w:rPr>
        <w:t>. W</w:t>
      </w:r>
      <w:r w:rsidR="00584732">
        <w:rPr>
          <w:i/>
          <w:sz w:val="22"/>
        </w:rPr>
        <w:t>e</w:t>
      </w:r>
      <w:r w:rsidRPr="00263BB5">
        <w:rPr>
          <w:i/>
          <w:sz w:val="22"/>
        </w:rPr>
        <w:t xml:space="preserve"> </w:t>
      </w:r>
      <w:r w:rsidR="00584732">
        <w:rPr>
          <w:i/>
          <w:sz w:val="22"/>
        </w:rPr>
        <w:t>wrześniu</w:t>
      </w:r>
      <w:r w:rsidR="00584732" w:rsidRPr="00263BB5">
        <w:rPr>
          <w:i/>
          <w:sz w:val="22"/>
        </w:rPr>
        <w:t xml:space="preserve"> </w:t>
      </w:r>
      <w:r w:rsidRPr="00263BB5">
        <w:rPr>
          <w:i/>
          <w:sz w:val="22"/>
        </w:rPr>
        <w:t xml:space="preserve">2021 r. średnia kwota wnioskowanego kredytu </w:t>
      </w:r>
      <w:r w:rsidR="00B21D57">
        <w:rPr>
          <w:i/>
          <w:sz w:val="22"/>
        </w:rPr>
        <w:t>była</w:t>
      </w:r>
      <w:r w:rsidRPr="00263BB5">
        <w:rPr>
          <w:i/>
          <w:sz w:val="22"/>
        </w:rPr>
        <w:t xml:space="preserve"> o 4</w:t>
      </w:r>
      <w:r w:rsidR="00AD63A3">
        <w:rPr>
          <w:i/>
          <w:sz w:val="22"/>
        </w:rPr>
        <w:t>1</w:t>
      </w:r>
      <w:r w:rsidRPr="00263BB5">
        <w:rPr>
          <w:i/>
          <w:sz w:val="22"/>
        </w:rPr>
        <w:t>,</w:t>
      </w:r>
      <w:r w:rsidR="00584732">
        <w:rPr>
          <w:i/>
          <w:sz w:val="22"/>
        </w:rPr>
        <w:t>2</w:t>
      </w:r>
      <w:r w:rsidRPr="00263BB5">
        <w:rPr>
          <w:i/>
          <w:sz w:val="22"/>
        </w:rPr>
        <w:t xml:space="preserve"> tys. zł wyższa niż rok temu. Na wartość Indeksu pozytywnie wpłynął również wzrost liczby wnioskodawców</w:t>
      </w:r>
      <w:r w:rsidR="00B010F5">
        <w:rPr>
          <w:i/>
          <w:sz w:val="22"/>
        </w:rPr>
        <w:t>.</w:t>
      </w:r>
      <w:r w:rsidRPr="00263BB5">
        <w:rPr>
          <w:i/>
          <w:sz w:val="22"/>
        </w:rPr>
        <w:t xml:space="preserve"> </w:t>
      </w:r>
      <w:r w:rsidR="00B010F5">
        <w:rPr>
          <w:i/>
          <w:sz w:val="22"/>
        </w:rPr>
        <w:t>W</w:t>
      </w:r>
      <w:r w:rsidRPr="00263BB5">
        <w:rPr>
          <w:i/>
          <w:sz w:val="22"/>
        </w:rPr>
        <w:t xml:space="preserve"> porównaniu do </w:t>
      </w:r>
      <w:r w:rsidR="00584732">
        <w:rPr>
          <w:i/>
          <w:sz w:val="22"/>
        </w:rPr>
        <w:t>września</w:t>
      </w:r>
      <w:r w:rsidR="00584732" w:rsidRPr="00263BB5">
        <w:rPr>
          <w:i/>
          <w:sz w:val="22"/>
        </w:rPr>
        <w:t xml:space="preserve"> </w:t>
      </w:r>
      <w:r w:rsidRPr="00263BB5">
        <w:rPr>
          <w:i/>
          <w:sz w:val="22"/>
        </w:rPr>
        <w:t>2020 r.</w:t>
      </w:r>
      <w:r w:rsidR="00B21D57">
        <w:rPr>
          <w:i/>
          <w:sz w:val="22"/>
        </w:rPr>
        <w:t xml:space="preserve"> </w:t>
      </w:r>
      <w:r w:rsidRPr="00263BB5">
        <w:rPr>
          <w:i/>
          <w:sz w:val="22"/>
        </w:rPr>
        <w:t>o kredyt</w:t>
      </w:r>
      <w:r w:rsidR="00B21D57">
        <w:rPr>
          <w:i/>
          <w:sz w:val="22"/>
        </w:rPr>
        <w:t xml:space="preserve"> mieszkaniowy </w:t>
      </w:r>
      <w:r w:rsidRPr="00263BB5">
        <w:rPr>
          <w:i/>
          <w:sz w:val="22"/>
        </w:rPr>
        <w:t xml:space="preserve">wnioskowało o </w:t>
      </w:r>
      <w:r w:rsidR="00AD63A3">
        <w:rPr>
          <w:i/>
          <w:sz w:val="22"/>
        </w:rPr>
        <w:t>3</w:t>
      </w:r>
      <w:r w:rsidRPr="00263BB5">
        <w:rPr>
          <w:i/>
          <w:sz w:val="22"/>
        </w:rPr>
        <w:t>,</w:t>
      </w:r>
      <w:r w:rsidR="00AD63A3">
        <w:rPr>
          <w:i/>
          <w:sz w:val="22"/>
        </w:rPr>
        <w:t>5</w:t>
      </w:r>
      <w:r w:rsidR="005842F8">
        <w:rPr>
          <w:i/>
          <w:sz w:val="22"/>
        </w:rPr>
        <w:t>7</w:t>
      </w:r>
      <w:r w:rsidRPr="00263BB5">
        <w:rPr>
          <w:i/>
          <w:sz w:val="22"/>
        </w:rPr>
        <w:t xml:space="preserve"> tys. więcej osób. </w:t>
      </w:r>
    </w:p>
    <w:p w14:paraId="411747EF" w14:textId="445D0B8E" w:rsidR="00263BB5" w:rsidRPr="00263BB5" w:rsidRDefault="00263BB5" w:rsidP="00263BB5">
      <w:pPr>
        <w:jc w:val="both"/>
        <w:rPr>
          <w:sz w:val="22"/>
        </w:rPr>
      </w:pPr>
      <w:r w:rsidRPr="00263BB5">
        <w:rPr>
          <w:i/>
          <w:sz w:val="22"/>
        </w:rPr>
        <w:t>Analizując obecną wartość Indeksu</w:t>
      </w:r>
      <w:r w:rsidR="00CF5C68">
        <w:rPr>
          <w:i/>
          <w:sz w:val="22"/>
        </w:rPr>
        <w:t>,</w:t>
      </w:r>
      <w:r w:rsidRPr="00263BB5">
        <w:rPr>
          <w:i/>
          <w:sz w:val="22"/>
        </w:rPr>
        <w:t xml:space="preserve"> </w:t>
      </w:r>
      <w:r w:rsidR="00897945">
        <w:rPr>
          <w:i/>
          <w:sz w:val="22"/>
        </w:rPr>
        <w:t xml:space="preserve">należy </w:t>
      </w:r>
      <w:r w:rsidR="00CF5C68">
        <w:rPr>
          <w:i/>
          <w:sz w:val="22"/>
        </w:rPr>
        <w:t xml:space="preserve">odnieść się do </w:t>
      </w:r>
      <w:r w:rsidR="00AD63A3">
        <w:rPr>
          <w:i/>
          <w:sz w:val="22"/>
        </w:rPr>
        <w:t>wrześni</w:t>
      </w:r>
      <w:r w:rsidR="00CF5C68">
        <w:rPr>
          <w:i/>
          <w:sz w:val="22"/>
        </w:rPr>
        <w:t>a</w:t>
      </w:r>
      <w:r w:rsidRPr="00263BB5">
        <w:rPr>
          <w:i/>
          <w:sz w:val="22"/>
        </w:rPr>
        <w:t xml:space="preserve"> </w:t>
      </w:r>
      <w:r w:rsidR="00897945">
        <w:rPr>
          <w:i/>
          <w:sz w:val="22"/>
        </w:rPr>
        <w:t>ub.r.</w:t>
      </w:r>
      <w:r w:rsidR="00CF5C68">
        <w:rPr>
          <w:i/>
          <w:sz w:val="22"/>
        </w:rPr>
        <w:t>, gdy</w:t>
      </w:r>
      <w:r w:rsidRPr="00263BB5">
        <w:rPr>
          <w:i/>
          <w:sz w:val="22"/>
        </w:rPr>
        <w:t xml:space="preserve"> </w:t>
      </w:r>
      <w:r w:rsidR="00AD63A3">
        <w:rPr>
          <w:i/>
          <w:sz w:val="22"/>
        </w:rPr>
        <w:t>odnotowaliśmy pierwszy w okresie pandemii</w:t>
      </w:r>
      <w:r w:rsidR="004C17A7">
        <w:rPr>
          <w:i/>
          <w:sz w:val="22"/>
        </w:rPr>
        <w:t xml:space="preserve"> </w:t>
      </w:r>
      <w:r w:rsidR="00AD63A3">
        <w:rPr>
          <w:i/>
          <w:sz w:val="22"/>
        </w:rPr>
        <w:t>dodatni</w:t>
      </w:r>
      <w:r w:rsidRPr="00263BB5">
        <w:rPr>
          <w:i/>
          <w:sz w:val="22"/>
        </w:rPr>
        <w:t xml:space="preserve"> </w:t>
      </w:r>
      <w:r w:rsidR="004C17A7">
        <w:rPr>
          <w:i/>
          <w:sz w:val="22"/>
        </w:rPr>
        <w:t>(</w:t>
      </w:r>
      <w:r w:rsidR="001149A6">
        <w:rPr>
          <w:i/>
          <w:sz w:val="22"/>
        </w:rPr>
        <w:t>+</w:t>
      </w:r>
      <w:r w:rsidR="00AD63A3">
        <w:rPr>
          <w:i/>
          <w:sz w:val="22"/>
        </w:rPr>
        <w:t>5</w:t>
      </w:r>
      <w:r w:rsidR="004C17A7">
        <w:rPr>
          <w:i/>
          <w:sz w:val="22"/>
        </w:rPr>
        <w:t>,</w:t>
      </w:r>
      <w:r w:rsidR="00AD63A3">
        <w:rPr>
          <w:i/>
          <w:sz w:val="22"/>
        </w:rPr>
        <w:t>4</w:t>
      </w:r>
      <w:r w:rsidR="004C17A7">
        <w:rPr>
          <w:i/>
          <w:sz w:val="22"/>
        </w:rPr>
        <w:t xml:space="preserve">%) </w:t>
      </w:r>
      <w:r w:rsidRPr="00263BB5">
        <w:rPr>
          <w:i/>
          <w:sz w:val="22"/>
        </w:rPr>
        <w:t xml:space="preserve">odczyt Indeksu. Liczba osób wnioskujących </w:t>
      </w:r>
      <w:r w:rsidR="00B21D57">
        <w:rPr>
          <w:i/>
          <w:sz w:val="22"/>
        </w:rPr>
        <w:t xml:space="preserve">wówczas </w:t>
      </w:r>
      <w:r w:rsidRPr="00263BB5">
        <w:rPr>
          <w:i/>
          <w:sz w:val="22"/>
        </w:rPr>
        <w:t xml:space="preserve">o kredyt była o </w:t>
      </w:r>
      <w:r w:rsidR="001149A6">
        <w:rPr>
          <w:i/>
          <w:sz w:val="22"/>
        </w:rPr>
        <w:t>5</w:t>
      </w:r>
      <w:r w:rsidRPr="00263BB5">
        <w:rPr>
          <w:i/>
          <w:sz w:val="22"/>
        </w:rPr>
        <w:t>,</w:t>
      </w:r>
      <w:r w:rsidR="001149A6">
        <w:rPr>
          <w:i/>
          <w:sz w:val="22"/>
        </w:rPr>
        <w:t>3</w:t>
      </w:r>
      <w:r w:rsidRPr="00263BB5">
        <w:rPr>
          <w:i/>
          <w:sz w:val="22"/>
        </w:rPr>
        <w:t xml:space="preserve">% </w:t>
      </w:r>
      <w:r w:rsidR="001149A6">
        <w:rPr>
          <w:i/>
          <w:sz w:val="22"/>
        </w:rPr>
        <w:t>wyższa</w:t>
      </w:r>
      <w:r w:rsidRPr="00263BB5">
        <w:rPr>
          <w:i/>
          <w:sz w:val="22"/>
        </w:rPr>
        <w:t xml:space="preserve"> niż w</w:t>
      </w:r>
      <w:r w:rsidR="005842F8">
        <w:rPr>
          <w:i/>
          <w:sz w:val="22"/>
        </w:rPr>
        <w:t>e wrześniu</w:t>
      </w:r>
      <w:r w:rsidRPr="00263BB5">
        <w:rPr>
          <w:i/>
          <w:sz w:val="22"/>
        </w:rPr>
        <w:t xml:space="preserve"> 2019 r.</w:t>
      </w:r>
      <w:r w:rsidR="001149A6">
        <w:rPr>
          <w:i/>
          <w:sz w:val="22"/>
        </w:rPr>
        <w:t xml:space="preserve"> </w:t>
      </w:r>
      <w:r w:rsidR="00CF5C68">
        <w:rPr>
          <w:i/>
          <w:sz w:val="22"/>
        </w:rPr>
        <w:t>W</w:t>
      </w:r>
      <w:r w:rsidR="001149A6">
        <w:rPr>
          <w:i/>
          <w:sz w:val="22"/>
        </w:rPr>
        <w:t xml:space="preserve">łaśnie wzrost liczby wnioskujących głównie przyczynił się </w:t>
      </w:r>
      <w:r w:rsidR="005842F8">
        <w:rPr>
          <w:i/>
          <w:sz w:val="22"/>
        </w:rPr>
        <w:t xml:space="preserve">wtedy </w:t>
      </w:r>
      <w:r w:rsidR="001149A6">
        <w:rPr>
          <w:i/>
          <w:sz w:val="22"/>
        </w:rPr>
        <w:t>do dodatniego odczyt</w:t>
      </w:r>
      <w:r w:rsidR="005842F8">
        <w:rPr>
          <w:i/>
          <w:sz w:val="22"/>
        </w:rPr>
        <w:t>u</w:t>
      </w:r>
      <w:r w:rsidR="001149A6">
        <w:rPr>
          <w:i/>
          <w:sz w:val="22"/>
        </w:rPr>
        <w:t xml:space="preserve"> Indeksu. Był to początek trendu wzrostu popytu w dobie pandemii</w:t>
      </w:r>
      <w:r w:rsidR="004C17A7">
        <w:rPr>
          <w:i/>
          <w:sz w:val="22"/>
        </w:rPr>
        <w:t xml:space="preserve"> </w:t>
      </w:r>
      <w:r w:rsidRPr="00263BB5">
        <w:rPr>
          <w:i/>
          <w:sz w:val="22"/>
        </w:rPr>
        <w:t xml:space="preserve">– </w:t>
      </w:r>
      <w:r w:rsidR="00CF5C68">
        <w:rPr>
          <w:sz w:val="22"/>
        </w:rPr>
        <w:t>wyjaśnia</w:t>
      </w:r>
      <w:r w:rsidRPr="00263BB5">
        <w:rPr>
          <w:sz w:val="22"/>
        </w:rPr>
        <w:t xml:space="preserve"> prof. Waldemar Rogowski, główny analityk Biura Informacji Kredytowej.</w:t>
      </w:r>
    </w:p>
    <w:p w14:paraId="57758340" w14:textId="77777777" w:rsidR="00897945" w:rsidRDefault="00897945" w:rsidP="00263BB5">
      <w:pPr>
        <w:jc w:val="both"/>
        <w:rPr>
          <w:i/>
          <w:sz w:val="22"/>
        </w:rPr>
      </w:pPr>
    </w:p>
    <w:p w14:paraId="16384C43" w14:textId="75073D98" w:rsidR="00897945" w:rsidRDefault="00263BB5" w:rsidP="00263BB5">
      <w:pPr>
        <w:jc w:val="both"/>
        <w:rPr>
          <w:i/>
          <w:sz w:val="22"/>
        </w:rPr>
      </w:pPr>
      <w:r w:rsidRPr="00263BB5">
        <w:rPr>
          <w:i/>
          <w:sz w:val="22"/>
        </w:rPr>
        <w:t xml:space="preserve">- W stosunku do </w:t>
      </w:r>
      <w:r w:rsidR="004C17A7">
        <w:rPr>
          <w:i/>
          <w:sz w:val="22"/>
        </w:rPr>
        <w:t>grudnia</w:t>
      </w:r>
      <w:r w:rsidRPr="00263BB5">
        <w:rPr>
          <w:i/>
          <w:sz w:val="22"/>
        </w:rPr>
        <w:t xml:space="preserve"> </w:t>
      </w:r>
      <w:r w:rsidR="004C17A7">
        <w:rPr>
          <w:i/>
          <w:sz w:val="22"/>
        </w:rPr>
        <w:t>2020 r.</w:t>
      </w:r>
      <w:r w:rsidRPr="00263BB5">
        <w:rPr>
          <w:i/>
          <w:sz w:val="22"/>
        </w:rPr>
        <w:t>, średnia kwota wnioskowanego kredytu wzrosła o 2</w:t>
      </w:r>
      <w:r w:rsidR="001149A6">
        <w:rPr>
          <w:i/>
          <w:sz w:val="22"/>
        </w:rPr>
        <w:t>5</w:t>
      </w:r>
      <w:r w:rsidRPr="00263BB5">
        <w:rPr>
          <w:i/>
          <w:sz w:val="22"/>
        </w:rPr>
        <w:t>,</w:t>
      </w:r>
      <w:r w:rsidR="001149A6">
        <w:rPr>
          <w:i/>
          <w:sz w:val="22"/>
        </w:rPr>
        <w:t>5</w:t>
      </w:r>
      <w:r w:rsidRPr="00263BB5">
        <w:rPr>
          <w:i/>
          <w:sz w:val="22"/>
        </w:rPr>
        <w:t xml:space="preserve"> tys. zł (</w:t>
      </w:r>
      <w:r w:rsidR="001149A6">
        <w:rPr>
          <w:i/>
          <w:sz w:val="22"/>
        </w:rPr>
        <w:t>8</w:t>
      </w:r>
      <w:r w:rsidR="004C17A7">
        <w:rPr>
          <w:i/>
          <w:sz w:val="22"/>
        </w:rPr>
        <w:t>,</w:t>
      </w:r>
      <w:r w:rsidR="001149A6">
        <w:rPr>
          <w:i/>
          <w:sz w:val="22"/>
        </w:rPr>
        <w:t>3</w:t>
      </w:r>
      <w:r w:rsidRPr="00263BB5">
        <w:rPr>
          <w:i/>
          <w:sz w:val="22"/>
        </w:rPr>
        <w:t xml:space="preserve">%). Wzrost średniej kwoty wnioskowanego kredytu </w:t>
      </w:r>
      <w:r w:rsidR="004C17A7">
        <w:rPr>
          <w:i/>
          <w:sz w:val="22"/>
        </w:rPr>
        <w:t>wynika z coraz wyższych cen nieruchomości</w:t>
      </w:r>
      <w:r w:rsidR="00777AED">
        <w:rPr>
          <w:i/>
          <w:sz w:val="22"/>
        </w:rPr>
        <w:t>. Rośnie zarówno cena m</w:t>
      </w:r>
      <w:r w:rsidR="00777AED" w:rsidRPr="00777AED">
        <w:rPr>
          <w:i/>
          <w:sz w:val="22"/>
          <w:vertAlign w:val="superscript"/>
        </w:rPr>
        <w:t>2</w:t>
      </w:r>
      <w:r w:rsidR="00777AED">
        <w:rPr>
          <w:i/>
          <w:sz w:val="22"/>
        </w:rPr>
        <w:t xml:space="preserve"> PUM-u</w:t>
      </w:r>
      <w:r w:rsidR="00DE08B4">
        <w:rPr>
          <w:i/>
          <w:sz w:val="22"/>
        </w:rPr>
        <w:t>,</w:t>
      </w:r>
      <w:r w:rsidR="00777AED">
        <w:rPr>
          <w:i/>
          <w:sz w:val="22"/>
        </w:rPr>
        <w:t xml:space="preserve"> jak i</w:t>
      </w:r>
      <w:r w:rsidR="004C17A7">
        <w:rPr>
          <w:i/>
          <w:sz w:val="22"/>
        </w:rPr>
        <w:t xml:space="preserve"> kupowane są większe nieruchomości i w lepszych lokalizacjach</w:t>
      </w:r>
      <w:r w:rsidR="00777AED">
        <w:rPr>
          <w:i/>
          <w:sz w:val="22"/>
        </w:rPr>
        <w:t>,</w:t>
      </w:r>
      <w:r w:rsidR="004C17A7">
        <w:rPr>
          <w:i/>
          <w:sz w:val="22"/>
        </w:rPr>
        <w:t xml:space="preserve"> czyli droższe</w:t>
      </w:r>
      <w:r w:rsidR="001149A6">
        <w:rPr>
          <w:i/>
          <w:sz w:val="22"/>
        </w:rPr>
        <w:t>, a co za tym idzie finansowane wyższym kredytem</w:t>
      </w:r>
      <w:r w:rsidR="004C17A7">
        <w:rPr>
          <w:i/>
          <w:sz w:val="22"/>
        </w:rPr>
        <w:t xml:space="preserve">. </w:t>
      </w:r>
      <w:r w:rsidR="00777AED">
        <w:rPr>
          <w:i/>
          <w:sz w:val="22"/>
        </w:rPr>
        <w:t xml:space="preserve">Pomimo </w:t>
      </w:r>
      <w:r w:rsidR="001149A6">
        <w:rPr>
          <w:i/>
          <w:sz w:val="22"/>
        </w:rPr>
        <w:t xml:space="preserve">nadal panującego </w:t>
      </w:r>
      <w:r w:rsidR="00777AED">
        <w:rPr>
          <w:i/>
          <w:sz w:val="22"/>
        </w:rPr>
        <w:t>dużego optymizmu</w:t>
      </w:r>
      <w:r w:rsidR="001149A6">
        <w:rPr>
          <w:i/>
          <w:sz w:val="22"/>
        </w:rPr>
        <w:t xml:space="preserve"> na rynku kredytów mieszkaniowych</w:t>
      </w:r>
      <w:r w:rsidR="00777AED">
        <w:rPr>
          <w:i/>
          <w:sz w:val="22"/>
        </w:rPr>
        <w:t xml:space="preserve">, należy zwrócić uwagę, że </w:t>
      </w:r>
      <w:r w:rsidR="00DE08B4">
        <w:rPr>
          <w:i/>
          <w:sz w:val="22"/>
        </w:rPr>
        <w:t>od marca</w:t>
      </w:r>
      <w:r w:rsidR="00624C8E">
        <w:rPr>
          <w:i/>
          <w:sz w:val="22"/>
        </w:rPr>
        <w:t xml:space="preserve"> br. </w:t>
      </w:r>
      <w:r w:rsidR="00777AED">
        <w:rPr>
          <w:i/>
          <w:sz w:val="22"/>
        </w:rPr>
        <w:t xml:space="preserve">mamy </w:t>
      </w:r>
      <w:r w:rsidR="00DE08B4">
        <w:rPr>
          <w:i/>
          <w:sz w:val="22"/>
        </w:rPr>
        <w:t xml:space="preserve">stopniowy </w:t>
      </w:r>
      <w:r w:rsidR="00777AED">
        <w:rPr>
          <w:i/>
          <w:sz w:val="22"/>
        </w:rPr>
        <w:t xml:space="preserve">spadek liczby wnioskodawców w ujęciu m/m. Popyt w ujęciu </w:t>
      </w:r>
      <w:r w:rsidR="001149A6">
        <w:rPr>
          <w:i/>
          <w:sz w:val="22"/>
        </w:rPr>
        <w:t>liczby wnioskujących</w:t>
      </w:r>
      <w:r w:rsidR="00777AED">
        <w:rPr>
          <w:i/>
          <w:sz w:val="22"/>
        </w:rPr>
        <w:t xml:space="preserve"> traci więc impet. T</w:t>
      </w:r>
      <w:r w:rsidR="00897945">
        <w:rPr>
          <w:i/>
          <w:sz w:val="22"/>
        </w:rPr>
        <w:t>ym,</w:t>
      </w:r>
      <w:r w:rsidR="00777AED">
        <w:rPr>
          <w:i/>
          <w:sz w:val="22"/>
        </w:rPr>
        <w:t xml:space="preserve"> co nadal utrzymuje wysoki odczyt Indeksu</w:t>
      </w:r>
      <w:r w:rsidR="00897945">
        <w:rPr>
          <w:i/>
          <w:sz w:val="22"/>
        </w:rPr>
        <w:t>,</w:t>
      </w:r>
      <w:r w:rsidR="00777AED">
        <w:rPr>
          <w:i/>
          <w:sz w:val="22"/>
        </w:rPr>
        <w:t xml:space="preserve"> jest przede wszystkim średnia kwota wnioskowanego kredytu, która w ujęciu m/m rośnie już od 15 miesięcy</w:t>
      </w:r>
      <w:r w:rsidR="00897945">
        <w:rPr>
          <w:i/>
          <w:sz w:val="22"/>
        </w:rPr>
        <w:t>,</w:t>
      </w:r>
      <w:r w:rsidR="00777AED">
        <w:rPr>
          <w:i/>
          <w:sz w:val="22"/>
        </w:rPr>
        <w:t xml:space="preserve"> czyli od czerwca 2020 r. </w:t>
      </w:r>
      <w:r w:rsidR="001149A6">
        <w:rPr>
          <w:i/>
          <w:sz w:val="22"/>
        </w:rPr>
        <w:br/>
        <w:t>I ponownie we wrześniu pobiła kolejny historyczny rekord.</w:t>
      </w:r>
      <w:r w:rsidR="00777AED">
        <w:rPr>
          <w:i/>
          <w:sz w:val="22"/>
        </w:rPr>
        <w:t xml:space="preserve"> </w:t>
      </w:r>
    </w:p>
    <w:p w14:paraId="2419F3AB" w14:textId="68A66DB4" w:rsidR="00263BB5" w:rsidRDefault="001149A6" w:rsidP="00263BB5">
      <w:pPr>
        <w:jc w:val="both"/>
        <w:rPr>
          <w:sz w:val="22"/>
        </w:rPr>
      </w:pPr>
      <w:r>
        <w:rPr>
          <w:i/>
          <w:sz w:val="22"/>
        </w:rPr>
        <w:lastRenderedPageBreak/>
        <w:t>C</w:t>
      </w:r>
      <w:r w:rsidR="00263BB5" w:rsidRPr="00263BB5">
        <w:rPr>
          <w:i/>
          <w:sz w:val="22"/>
        </w:rPr>
        <w:t>zynnik</w:t>
      </w:r>
      <w:r>
        <w:rPr>
          <w:i/>
          <w:sz w:val="22"/>
        </w:rPr>
        <w:t>iem, który może negatywnie wpływać na popyt na kredyt oprócz oczywiście wysokich cen nieruchomości i niskiej podaży nieruchomości na rynku,</w:t>
      </w:r>
      <w:r w:rsidR="00263BB5" w:rsidRPr="00263BB5">
        <w:rPr>
          <w:i/>
          <w:sz w:val="22"/>
        </w:rPr>
        <w:t xml:space="preserve"> może być zmiana podejścia do liczenia zdolności kredytowej dla kredytów powyżej 25 lat. Pomimo możliwego dłuższego okresu na jaki kredyt może zostać udzielony (np. na 30 lat)</w:t>
      </w:r>
      <w:r w:rsidR="00897945">
        <w:rPr>
          <w:i/>
          <w:sz w:val="22"/>
        </w:rPr>
        <w:t>,</w:t>
      </w:r>
      <w:r w:rsidR="00263BB5" w:rsidRPr="00263BB5">
        <w:rPr>
          <w:i/>
          <w:sz w:val="22"/>
        </w:rPr>
        <w:t xml:space="preserve"> to  zdolność kredytowa </w:t>
      </w:r>
      <w:r>
        <w:rPr>
          <w:i/>
          <w:sz w:val="22"/>
        </w:rPr>
        <w:t>jest</w:t>
      </w:r>
      <w:r w:rsidR="00263BB5" w:rsidRPr="00263BB5">
        <w:rPr>
          <w:i/>
          <w:sz w:val="22"/>
        </w:rPr>
        <w:t xml:space="preserve"> liczona tak, jakby był on udzielony na maksimum 25 lat. W konsekwencji powoduje to wzrost wartości raty kapitałowej a tym samym ogranicz</w:t>
      </w:r>
      <w:r w:rsidR="00DE2663">
        <w:rPr>
          <w:i/>
          <w:sz w:val="22"/>
        </w:rPr>
        <w:t>a</w:t>
      </w:r>
      <w:r w:rsidR="00263BB5" w:rsidRPr="00263BB5">
        <w:rPr>
          <w:i/>
          <w:sz w:val="22"/>
        </w:rPr>
        <w:t xml:space="preserve"> możliwość udzielenia wyższego kredytu przy tych samych dochodach.</w:t>
      </w:r>
      <w:r w:rsidR="00DE2663">
        <w:rPr>
          <w:i/>
          <w:sz w:val="22"/>
        </w:rPr>
        <w:t xml:space="preserve"> Bieżący wrześniowy odczyt Indeksu zamyka już w mojej opinii okres odreagowania po spadkach wartości Indeksu odnotowanych w okresie marzec – sierpień 2020 r. W kolejnych miesiącach Indeks powinien wrócić do swojego naturalnego poziomu </w:t>
      </w:r>
      <w:r w:rsidR="00263BB5" w:rsidRPr="00263BB5">
        <w:rPr>
          <w:sz w:val="22"/>
        </w:rPr>
        <w:t>– dodaje prof. Rogowski.</w:t>
      </w:r>
    </w:p>
    <w:p w14:paraId="7933573F" w14:textId="2A328CE5" w:rsidR="0048408C" w:rsidRDefault="0048408C" w:rsidP="00263BB5">
      <w:pPr>
        <w:jc w:val="both"/>
        <w:rPr>
          <w:sz w:val="22"/>
        </w:rPr>
      </w:pPr>
    </w:p>
    <w:p w14:paraId="5B656595" w14:textId="380B817F" w:rsidR="0048408C" w:rsidRDefault="003C79A3">
      <w:pPr>
        <w:spacing w:after="160" w:line="259" w:lineRule="auto"/>
        <w:rPr>
          <w:sz w:val="22"/>
        </w:rPr>
      </w:pPr>
      <w:r>
        <w:rPr>
          <w:noProof/>
          <w:sz w:val="22"/>
          <w:lang w:eastAsia="pl-PL"/>
        </w:rPr>
        <w:drawing>
          <wp:inline distT="0" distB="0" distL="0" distR="0" wp14:anchorId="2849D92E" wp14:editId="0F564055">
            <wp:extent cx="5679583" cy="3334962"/>
            <wp:effectExtent l="19050" t="19050" r="16510" b="184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90" cy="3341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7E462C" w14:textId="77777777" w:rsidR="00263BB5" w:rsidRPr="00263BB5" w:rsidRDefault="00263BB5" w:rsidP="00263BB5">
      <w:pPr>
        <w:jc w:val="both"/>
        <w:rPr>
          <w:sz w:val="22"/>
        </w:rPr>
      </w:pPr>
      <w:r w:rsidRPr="00263BB5">
        <w:rPr>
          <w:sz w:val="22"/>
        </w:rPr>
        <w:t xml:space="preserve">Aktualne informacje o rynku kredytowym prezentujemy na stronie </w:t>
      </w:r>
      <w:hyperlink r:id="rId10" w:history="1">
        <w:r w:rsidRPr="00263BB5">
          <w:rPr>
            <w:rStyle w:val="Hipercze"/>
            <w:sz w:val="22"/>
          </w:rPr>
          <w:t xml:space="preserve">Analizy rynkowe </w:t>
        </w:r>
      </w:hyperlink>
      <w:r w:rsidRPr="00263BB5">
        <w:rPr>
          <w:sz w:val="22"/>
        </w:rPr>
        <w:t xml:space="preserve">oraz w </w:t>
      </w:r>
      <w:hyperlink r:id="rId11" w:history="1">
        <w:r w:rsidRPr="00263BB5">
          <w:rPr>
            <w:rStyle w:val="Hipercze"/>
            <w:sz w:val="22"/>
          </w:rPr>
          <w:t>Newsletterze kredytowym BIK</w:t>
        </w:r>
      </w:hyperlink>
      <w:r w:rsidRPr="00263BB5">
        <w:rPr>
          <w:sz w:val="22"/>
        </w:rPr>
        <w:t>.</w:t>
      </w:r>
    </w:p>
    <w:p w14:paraId="31AA80C6" w14:textId="77777777" w:rsidR="00263BB5" w:rsidRP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>Metodyka indeksu:</w:t>
      </w:r>
    </w:p>
    <w:p w14:paraId="751B0BE9" w14:textId="77777777" w:rsidR="00263BB5" w:rsidRPr="00263BB5" w:rsidRDefault="00263BB5" w:rsidP="00263BB5">
      <w:pPr>
        <w:jc w:val="both"/>
        <w:rPr>
          <w:i/>
          <w:sz w:val="18"/>
          <w:szCs w:val="18"/>
        </w:rPr>
      </w:pPr>
      <w:r w:rsidRPr="00263BB5">
        <w:rPr>
          <w:i/>
          <w:sz w:val="18"/>
          <w:szCs w:val="18"/>
        </w:rPr>
        <w:t xml:space="preserve">Wskaźnik BIK Indeks - PKM obliczany jest w przeliczeniu na dzień roboczy po wyłączeniu zapytań o kredyty mieszkaniowe </w:t>
      </w:r>
      <w:r w:rsidRPr="00263BB5">
        <w:rPr>
          <w:i/>
          <w:sz w:val="18"/>
          <w:szCs w:val="18"/>
        </w:rPr>
        <w:br/>
        <w:t>na kwoty przekraczające 1 mln zł oraz zapytań o tego samego klienta w kolejnych 90 dniach. Metodyka indeksu została opracowana przez Biuro Informacji Kredytowej we współpracy z Instytutem Rozwoju Gospodarczego SGH. Indeks publikowany jest co miesiąc.</w:t>
      </w:r>
    </w:p>
    <w:p w14:paraId="260627CF" w14:textId="77777777" w:rsidR="002B3FE4" w:rsidRDefault="002B3FE4" w:rsidP="002B3FE4">
      <w:pPr>
        <w:jc w:val="both"/>
      </w:pPr>
    </w:p>
    <w:p w14:paraId="5531FAD4" w14:textId="77777777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 xml:space="preserve">Biuro Informacji Kredytowej S.A. </w:t>
      </w:r>
      <w:r w:rsidRPr="00C06041">
        <w:rPr>
          <w:bCs/>
          <w:color w:val="595959"/>
          <w:sz w:val="16"/>
          <w:szCs w:val="16"/>
        </w:rPr>
        <w:t xml:space="preserve">– jedyne biuro kredytowe w Polsce, które poprzez internetowy portal </w:t>
      </w:r>
      <w:hyperlink r:id="rId12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 w:rsidRPr="00C06041">
        <w:rPr>
          <w:bCs/>
          <w:color w:val="595959"/>
          <w:sz w:val="16"/>
          <w:szCs w:val="16"/>
        </w:rPr>
        <w:t xml:space="preserve"> oraz aplikację mobilną </w:t>
      </w:r>
      <w:hyperlink r:id="rId13" w:history="1">
        <w:r w:rsidRPr="00C06041">
          <w:rPr>
            <w:rStyle w:val="Hipercze"/>
            <w:bCs/>
            <w:sz w:val="16"/>
            <w:szCs w:val="16"/>
          </w:rPr>
          <w:t>Mój BIK</w:t>
        </w:r>
      </w:hyperlink>
      <w:r w:rsidRPr="00C06041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4" w:history="1">
        <w:r w:rsidRPr="00C06041">
          <w:rPr>
            <w:rStyle w:val="Hipercze"/>
            <w:bCs/>
            <w:sz w:val="16"/>
            <w:szCs w:val="16"/>
          </w:rPr>
          <w:t>Alertom BIK</w:t>
        </w:r>
      </w:hyperlink>
      <w:r w:rsidRPr="00C06041">
        <w:rPr>
          <w:bCs/>
          <w:color w:val="595959"/>
          <w:sz w:val="16"/>
          <w:szCs w:val="16"/>
        </w:rPr>
        <w:t xml:space="preserve"> ostrzega przed każdą próbą wyłudzenia kredytu. </w:t>
      </w:r>
    </w:p>
    <w:p w14:paraId="79706D8E" w14:textId="3D681D2A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C06041">
        <w:rPr>
          <w:bCs/>
          <w:color w:val="595959"/>
          <w:sz w:val="16"/>
          <w:szCs w:val="16"/>
        </w:rPr>
        <w:t>pozabankowych</w:t>
      </w:r>
      <w:proofErr w:type="spellEnd"/>
      <w:r w:rsidRPr="00C06041">
        <w:rPr>
          <w:bCs/>
          <w:color w:val="595959"/>
          <w:sz w:val="16"/>
          <w:szCs w:val="16"/>
        </w:rPr>
        <w:t xml:space="preserve">. Baza BIK zawiera informacje o 159 mln rachunków należących do 25 mln klientów indywidualnych oraz 1,4 mln firm, w tym o 845 tys. </w:t>
      </w:r>
      <w:proofErr w:type="spellStart"/>
      <w:r w:rsidRPr="00C06041">
        <w:rPr>
          <w:bCs/>
          <w:color w:val="595959"/>
          <w:sz w:val="16"/>
          <w:szCs w:val="16"/>
        </w:rPr>
        <w:t>mikroprzedsiębiorców</w:t>
      </w:r>
      <w:proofErr w:type="spellEnd"/>
      <w:r w:rsidRPr="00C06041">
        <w:rPr>
          <w:bCs/>
          <w:color w:val="595959"/>
          <w:sz w:val="16"/>
          <w:szCs w:val="16"/>
        </w:rPr>
        <w:t xml:space="preserve"> prowadzących działalność gospodarczą. BIK posiada najwyższe </w:t>
      </w:r>
      <w:bookmarkStart w:id="4" w:name="_Hlk65245199"/>
      <w:r w:rsidRPr="00C06041">
        <w:rPr>
          <w:bCs/>
          <w:color w:val="595959"/>
          <w:sz w:val="16"/>
          <w:szCs w:val="16"/>
        </w:rPr>
        <w:t xml:space="preserve">kompetencje w zakresie </w:t>
      </w:r>
      <w:hyperlink r:id="rId15" w:history="1">
        <w:r w:rsidRPr="00C06041">
          <w:rPr>
            <w:rStyle w:val="Hipercze"/>
            <w:bCs/>
            <w:sz w:val="16"/>
            <w:szCs w:val="16"/>
          </w:rPr>
          <w:t>Analiz rynkowych</w:t>
        </w:r>
      </w:hyperlink>
      <w:r w:rsidRPr="00C06041">
        <w:rPr>
          <w:bCs/>
          <w:color w:val="595959"/>
          <w:sz w:val="16"/>
          <w:szCs w:val="16"/>
        </w:rPr>
        <w:t xml:space="preserve"> i nowoczesnych technologii.</w:t>
      </w:r>
      <w:bookmarkEnd w:id="4"/>
      <w:r w:rsidRPr="00C06041">
        <w:rPr>
          <w:bCs/>
          <w:color w:val="595959"/>
          <w:sz w:val="16"/>
          <w:szCs w:val="16"/>
        </w:rPr>
        <w:t xml:space="preserve"> Wspiera bezpieczeństwo instytucji finansowych i ich klientów, udostępniając bezpieczny system wymiany informacji kredytowych i gospodarczych oraz nowatorskie rozwiązania </w:t>
      </w:r>
      <w:proofErr w:type="spellStart"/>
      <w:r w:rsidRPr="00C06041">
        <w:rPr>
          <w:bCs/>
          <w:color w:val="595959"/>
          <w:sz w:val="16"/>
          <w:szCs w:val="16"/>
        </w:rPr>
        <w:t>antyfraudowe</w:t>
      </w:r>
      <w:proofErr w:type="spellEnd"/>
      <w:r w:rsidRPr="00C06041">
        <w:rPr>
          <w:bCs/>
          <w:color w:val="595959"/>
          <w:sz w:val="16"/>
          <w:szCs w:val="16"/>
        </w:rPr>
        <w:t>. Łączy cechy nowoczesnej firmy technologicznej z atrybutami instytucji zaufania publicznego. Od kilkunastu lat BIK jest aktywnym członkiem międzynarodowego Stowarzyszenia ACCIS (</w:t>
      </w:r>
      <w:proofErr w:type="spellStart"/>
      <w:r w:rsidRPr="00C06041">
        <w:rPr>
          <w:bCs/>
          <w:color w:val="595959"/>
          <w:sz w:val="16"/>
          <w:szCs w:val="16"/>
        </w:rPr>
        <w:t>Association</w:t>
      </w:r>
      <w:proofErr w:type="spellEnd"/>
      <w:r w:rsidRPr="00C06041">
        <w:rPr>
          <w:bCs/>
          <w:color w:val="595959"/>
          <w:sz w:val="16"/>
          <w:szCs w:val="16"/>
        </w:rPr>
        <w:t xml:space="preserve"> of Consumer </w:t>
      </w:r>
      <w:proofErr w:type="spellStart"/>
      <w:r w:rsidRPr="00C06041">
        <w:rPr>
          <w:bCs/>
          <w:color w:val="595959"/>
          <w:sz w:val="16"/>
          <w:szCs w:val="16"/>
        </w:rPr>
        <w:t>Credit</w:t>
      </w:r>
      <w:proofErr w:type="spellEnd"/>
      <w:r w:rsidRPr="00C06041">
        <w:rPr>
          <w:bCs/>
          <w:color w:val="595959"/>
          <w:sz w:val="16"/>
          <w:szCs w:val="16"/>
        </w:rPr>
        <w:t xml:space="preserve"> Information Suppliers), 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D446D7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lastRenderedPageBreak/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FF2EFC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6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D7C9" w14:textId="77777777" w:rsidR="00FF2EFC" w:rsidRDefault="00FF2EFC" w:rsidP="00866834">
      <w:r>
        <w:separator/>
      </w:r>
    </w:p>
    <w:p w14:paraId="5854F86F" w14:textId="77777777" w:rsidR="00FF2EFC" w:rsidRDefault="00FF2EFC"/>
  </w:endnote>
  <w:endnote w:type="continuationSeparator" w:id="0">
    <w:p w14:paraId="74C32C9F" w14:textId="77777777" w:rsidR="00FF2EFC" w:rsidRDefault="00FF2EFC" w:rsidP="00866834">
      <w:r>
        <w:continuationSeparator/>
      </w:r>
    </w:p>
    <w:p w14:paraId="7E93D4AE" w14:textId="77777777" w:rsidR="00FF2EFC" w:rsidRDefault="00FF2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jsQIAAEkFAAAOAAAAZHJzL2Uyb0RvYy54bWysVEtv2zAMvg/YfxB02Gmt7byb1SmyFNkK&#10;pG2AdOhZkaXYgC2qktI4G/bfR8l2unY7DbvIFEnx8fGjL6/qqiTPwtgCVEqT85gSoThkhdql9NvD&#10;8mxCiXVMZawEJVJ6FJZezd6/uzzoqehBDmUmDMEgyk4POqW5c3oaRZbnomL2HLRQaJRgKubwanZR&#10;ZtgBo1dl1IvjUXQAk2kDXFiL2uvGSGchvpSCu3sprXCkTCnW5sJpwrn1ZzS7ZNOdYToveFsG+4cq&#10;KlYoTHoKdc0cI3tT/BGqKrgBC9Kdc6gikLLgIvSA3STxm242OdMi9ILgWH2Cyf6/sPzueW1IkeHs&#10;EkoUq3BGt5ub9eKWiZ4YyPF4gkfCBWMTuWUj2aMkE5YjhD8+PO3BffrKbL6ATDS36VkSDyaTYRzH&#10;/Y+tgyh2uWvNkwFypDU8FpnLW/3wYnjSr0vGRSVU96ZxWQI4YRq5DXCjMlG3AZrP2hQVM8dXXhsk&#10;AbKz9Uvatw+gW018SrwSssuJyp+eHAdtp4jRRiNKrv4MNQLV6S0q/cxraSr/xWkStCPNjidqidoR&#10;jsrxcBT3EzRxtPXG/XgYuBe9vNbGui8CKuKFlBqsOjCKPa+sw0rQtXPxyRQsi7IM9C0VOaR01MeQ&#10;ryz4olT40PfQ1OolV2/rtrEtZEfsy0CzFlbzZYHJV8y6NTO4B1gv7ra7x0OWgEmglSjJwXz/m977&#10;Iz3RSskB9yql9mnPjKCkvFFI3ItkMPCLGC4omCD0hgNkDCXbTq321QJwZ5GUWFYQvbMrO1EaqB5x&#10;9+c+HZqY4pg0pdtOXDi8oQH/HVzM50HGndPMrdRGcx/ao+UxfagfmdEt8A5Hdgfd6rHpG/wb3wbn&#10;+d6BLMJwPLINnC3guK9hZu2/xf8Qfr8Hr5c/4OwXAA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FGzoOOxAgAASQ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842F8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842F8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fupjB/kztqehWw+j+MoBuWYOTI37gGXjjts7/BQ1YC4IEiUl&#10;6G9/0zt/pClaKTnifmXUPB6YFpTU1xIJfI70cgvpDyhoLwzSEVKHkl2vlodmCbi7CT4jinvROdu6&#10;FwsNzQO+AQuXDk1Mckya0V0vLi2e0IBvCBeLhZdx9xSza7lV3IV2oDlo79sHplXA3+LkbqFfQTZ7&#10;NYbOt4N7cbBQVH5GDuAOzoA77q0fXXhj3MPw69l7vbyE85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+JZF0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842F8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842F8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C4B0" w14:textId="77777777" w:rsidR="00FF2EFC" w:rsidRDefault="00FF2EFC" w:rsidP="00866834">
      <w:r>
        <w:separator/>
      </w:r>
    </w:p>
    <w:p w14:paraId="4E765D38" w14:textId="77777777" w:rsidR="00FF2EFC" w:rsidRDefault="00FF2EFC"/>
  </w:footnote>
  <w:footnote w:type="continuationSeparator" w:id="0">
    <w:p w14:paraId="778C3F48" w14:textId="77777777" w:rsidR="00FF2EFC" w:rsidRDefault="00FF2EFC" w:rsidP="00866834">
      <w:r>
        <w:continuationSeparator/>
      </w:r>
    </w:p>
    <w:p w14:paraId="5A649BAD" w14:textId="77777777" w:rsidR="00FF2EFC" w:rsidRDefault="00FF2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740"/>
    <w:rsid w:val="0001284E"/>
    <w:rsid w:val="00016952"/>
    <w:rsid w:val="0002470B"/>
    <w:rsid w:val="00070141"/>
    <w:rsid w:val="00070438"/>
    <w:rsid w:val="00072781"/>
    <w:rsid w:val="00077647"/>
    <w:rsid w:val="000B0755"/>
    <w:rsid w:val="000E3C74"/>
    <w:rsid w:val="0010407D"/>
    <w:rsid w:val="001149A6"/>
    <w:rsid w:val="0013027F"/>
    <w:rsid w:val="0014528E"/>
    <w:rsid w:val="00162D9C"/>
    <w:rsid w:val="001661AF"/>
    <w:rsid w:val="001718BB"/>
    <w:rsid w:val="00171AC4"/>
    <w:rsid w:val="0017730C"/>
    <w:rsid w:val="00184906"/>
    <w:rsid w:val="001872A7"/>
    <w:rsid w:val="001A01EF"/>
    <w:rsid w:val="001A1682"/>
    <w:rsid w:val="001B043C"/>
    <w:rsid w:val="001E4E47"/>
    <w:rsid w:val="001F6BED"/>
    <w:rsid w:val="0022264D"/>
    <w:rsid w:val="00231524"/>
    <w:rsid w:val="0023511B"/>
    <w:rsid w:val="002436C3"/>
    <w:rsid w:val="00263BB5"/>
    <w:rsid w:val="002971C2"/>
    <w:rsid w:val="002B3EAC"/>
    <w:rsid w:val="002B3FE4"/>
    <w:rsid w:val="002D190A"/>
    <w:rsid w:val="002D1CE5"/>
    <w:rsid w:val="002D48BE"/>
    <w:rsid w:val="002D745D"/>
    <w:rsid w:val="002F2719"/>
    <w:rsid w:val="002F39DD"/>
    <w:rsid w:val="002F4540"/>
    <w:rsid w:val="002F7017"/>
    <w:rsid w:val="00300DB3"/>
    <w:rsid w:val="00301E1C"/>
    <w:rsid w:val="00315358"/>
    <w:rsid w:val="0031648A"/>
    <w:rsid w:val="00335F9F"/>
    <w:rsid w:val="003446F2"/>
    <w:rsid w:val="00346C00"/>
    <w:rsid w:val="0035787B"/>
    <w:rsid w:val="00364977"/>
    <w:rsid w:val="00372135"/>
    <w:rsid w:val="00387C34"/>
    <w:rsid w:val="0039529F"/>
    <w:rsid w:val="003C79A3"/>
    <w:rsid w:val="003F4BA3"/>
    <w:rsid w:val="003F64AF"/>
    <w:rsid w:val="00414487"/>
    <w:rsid w:val="004216FB"/>
    <w:rsid w:val="004335ED"/>
    <w:rsid w:val="00451F91"/>
    <w:rsid w:val="00464740"/>
    <w:rsid w:val="0048408C"/>
    <w:rsid w:val="00490399"/>
    <w:rsid w:val="004A2397"/>
    <w:rsid w:val="004C17A7"/>
    <w:rsid w:val="004C4026"/>
    <w:rsid w:val="004D0625"/>
    <w:rsid w:val="004F00FD"/>
    <w:rsid w:val="004F5805"/>
    <w:rsid w:val="004F5815"/>
    <w:rsid w:val="0050297C"/>
    <w:rsid w:val="00526CDD"/>
    <w:rsid w:val="005377DC"/>
    <w:rsid w:val="00541CDA"/>
    <w:rsid w:val="005468AD"/>
    <w:rsid w:val="005842F8"/>
    <w:rsid w:val="00584732"/>
    <w:rsid w:val="00590159"/>
    <w:rsid w:val="005C0301"/>
    <w:rsid w:val="005D030A"/>
    <w:rsid w:val="005D1495"/>
    <w:rsid w:val="00624C8E"/>
    <w:rsid w:val="00637C84"/>
    <w:rsid w:val="00644A0E"/>
    <w:rsid w:val="00657B6A"/>
    <w:rsid w:val="00673B10"/>
    <w:rsid w:val="00674254"/>
    <w:rsid w:val="006747BD"/>
    <w:rsid w:val="00685450"/>
    <w:rsid w:val="006A2C5F"/>
    <w:rsid w:val="006A65EC"/>
    <w:rsid w:val="006A6B2C"/>
    <w:rsid w:val="006B7D8F"/>
    <w:rsid w:val="006C4F1D"/>
    <w:rsid w:val="006D2EFB"/>
    <w:rsid w:val="006D6DE5"/>
    <w:rsid w:val="006E30FE"/>
    <w:rsid w:val="006E34DC"/>
    <w:rsid w:val="006E5990"/>
    <w:rsid w:val="006F09D5"/>
    <w:rsid w:val="006F0FA9"/>
    <w:rsid w:val="006F72EF"/>
    <w:rsid w:val="0070349D"/>
    <w:rsid w:val="007042E5"/>
    <w:rsid w:val="007051F8"/>
    <w:rsid w:val="0072379F"/>
    <w:rsid w:val="00725618"/>
    <w:rsid w:val="00777AED"/>
    <w:rsid w:val="00794B24"/>
    <w:rsid w:val="00795992"/>
    <w:rsid w:val="007A002C"/>
    <w:rsid w:val="007B58FC"/>
    <w:rsid w:val="007D0B3B"/>
    <w:rsid w:val="00805DF6"/>
    <w:rsid w:val="00806733"/>
    <w:rsid w:val="00821F16"/>
    <w:rsid w:val="008301AA"/>
    <w:rsid w:val="00841A2A"/>
    <w:rsid w:val="0084396A"/>
    <w:rsid w:val="00854B7B"/>
    <w:rsid w:val="00866834"/>
    <w:rsid w:val="00867CB5"/>
    <w:rsid w:val="00873CF9"/>
    <w:rsid w:val="008917A1"/>
    <w:rsid w:val="00897945"/>
    <w:rsid w:val="008B2062"/>
    <w:rsid w:val="008B4DBE"/>
    <w:rsid w:val="008C1729"/>
    <w:rsid w:val="008C75DD"/>
    <w:rsid w:val="008E04B2"/>
    <w:rsid w:val="008F209D"/>
    <w:rsid w:val="009154F2"/>
    <w:rsid w:val="0092387C"/>
    <w:rsid w:val="00933A79"/>
    <w:rsid w:val="00943829"/>
    <w:rsid w:val="00954066"/>
    <w:rsid w:val="00954F60"/>
    <w:rsid w:val="00970D51"/>
    <w:rsid w:val="00996627"/>
    <w:rsid w:val="009C0766"/>
    <w:rsid w:val="009C56EE"/>
    <w:rsid w:val="009D3E46"/>
    <w:rsid w:val="009D4C4D"/>
    <w:rsid w:val="009D75D3"/>
    <w:rsid w:val="009E4A7E"/>
    <w:rsid w:val="009F5B2B"/>
    <w:rsid w:val="00A11066"/>
    <w:rsid w:val="00A11219"/>
    <w:rsid w:val="00A3057A"/>
    <w:rsid w:val="00A350A7"/>
    <w:rsid w:val="00A36F46"/>
    <w:rsid w:val="00A4363C"/>
    <w:rsid w:val="00A72BE7"/>
    <w:rsid w:val="00A7543E"/>
    <w:rsid w:val="00A82827"/>
    <w:rsid w:val="00A85D65"/>
    <w:rsid w:val="00A87FFE"/>
    <w:rsid w:val="00A94C25"/>
    <w:rsid w:val="00AA1576"/>
    <w:rsid w:val="00AA4FB6"/>
    <w:rsid w:val="00AB44FD"/>
    <w:rsid w:val="00AB6344"/>
    <w:rsid w:val="00AC2258"/>
    <w:rsid w:val="00AD112C"/>
    <w:rsid w:val="00AD3E35"/>
    <w:rsid w:val="00AD63A3"/>
    <w:rsid w:val="00AE025A"/>
    <w:rsid w:val="00AE67A6"/>
    <w:rsid w:val="00AE7D12"/>
    <w:rsid w:val="00AF3176"/>
    <w:rsid w:val="00B010F5"/>
    <w:rsid w:val="00B21D57"/>
    <w:rsid w:val="00B35B63"/>
    <w:rsid w:val="00B524A7"/>
    <w:rsid w:val="00B60E67"/>
    <w:rsid w:val="00B61F8A"/>
    <w:rsid w:val="00B976FD"/>
    <w:rsid w:val="00BB3391"/>
    <w:rsid w:val="00BD6260"/>
    <w:rsid w:val="00BF191F"/>
    <w:rsid w:val="00BF7242"/>
    <w:rsid w:val="00C06041"/>
    <w:rsid w:val="00C15FB1"/>
    <w:rsid w:val="00C22D2A"/>
    <w:rsid w:val="00C25E6E"/>
    <w:rsid w:val="00C277A7"/>
    <w:rsid w:val="00C5064F"/>
    <w:rsid w:val="00CA59D7"/>
    <w:rsid w:val="00CC4824"/>
    <w:rsid w:val="00CD113F"/>
    <w:rsid w:val="00CD3939"/>
    <w:rsid w:val="00CE03AC"/>
    <w:rsid w:val="00CF3E86"/>
    <w:rsid w:val="00CF51E1"/>
    <w:rsid w:val="00CF5C68"/>
    <w:rsid w:val="00D005B3"/>
    <w:rsid w:val="00D06D36"/>
    <w:rsid w:val="00D141CD"/>
    <w:rsid w:val="00D37160"/>
    <w:rsid w:val="00D40690"/>
    <w:rsid w:val="00D42905"/>
    <w:rsid w:val="00D446D7"/>
    <w:rsid w:val="00D628F5"/>
    <w:rsid w:val="00D6359F"/>
    <w:rsid w:val="00D85799"/>
    <w:rsid w:val="00D92A09"/>
    <w:rsid w:val="00DC698D"/>
    <w:rsid w:val="00DD60D6"/>
    <w:rsid w:val="00DD77D2"/>
    <w:rsid w:val="00DE08B4"/>
    <w:rsid w:val="00DE2663"/>
    <w:rsid w:val="00DE42E7"/>
    <w:rsid w:val="00E03125"/>
    <w:rsid w:val="00E07D82"/>
    <w:rsid w:val="00E12E34"/>
    <w:rsid w:val="00E14964"/>
    <w:rsid w:val="00E20CD9"/>
    <w:rsid w:val="00E23BC8"/>
    <w:rsid w:val="00E339B5"/>
    <w:rsid w:val="00E53739"/>
    <w:rsid w:val="00E81E48"/>
    <w:rsid w:val="00E86BFC"/>
    <w:rsid w:val="00E86ED1"/>
    <w:rsid w:val="00EE176C"/>
    <w:rsid w:val="00EE493C"/>
    <w:rsid w:val="00EF3CDE"/>
    <w:rsid w:val="00F13DDF"/>
    <w:rsid w:val="00F21E8C"/>
    <w:rsid w:val="00F26ECD"/>
    <w:rsid w:val="00F323D1"/>
    <w:rsid w:val="00F63136"/>
    <w:rsid w:val="00F85535"/>
    <w:rsid w:val="00FB1A13"/>
    <w:rsid w:val="00FB31CA"/>
    <w:rsid w:val="00FD52BA"/>
    <w:rsid w:val="00FF2EFC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30EC16DE-76C3-4A3F-A82D-6E5ECB2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moj-bi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ik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ksandra.stankiewicz-billewicz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bik.pl/publikacje/43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ik.pl/klienci-indywidualni/alerty-bik?utm_source=gazeta.pl&amp;utm_medium=artykul&amp;utm_campaign=alert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D6701E1-99C8-4118-AA64-2B968AEA1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172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Krzyśpiak Katarzyna</dc:creator>
  <cp:lastModifiedBy>Stankiewicz-Billewicz Aleksandra</cp:lastModifiedBy>
  <cp:revision>7</cp:revision>
  <cp:lastPrinted>2021-05-26T12:27:00Z</cp:lastPrinted>
  <dcterms:created xsi:type="dcterms:W3CDTF">2021-10-05T11:56:00Z</dcterms:created>
  <dcterms:modified xsi:type="dcterms:W3CDTF">2021-10-06T10:58:00Z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2021-08-02T13:54:34Z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47209306-dd2e-4202-8aa7-1ef0a944a1fb</vt:lpwstr>
  </property>
  <property fmtid="{D5CDD505-2E9C-101B-9397-08002B2CF9AE}" pid="8" name="MSIP_Label_1391a466-f120-4668-a5e5-7af4d8a99d82_ContentBits">
    <vt:lpwstr>2</vt:lpwstr>
  </property>
  <property fmtid="{D5CDD505-2E9C-101B-9397-08002B2CF9AE}" pid="9" name="docIndexRef">
    <vt:lpwstr>47a98884-07cc-4311-9b83-7c4c77d0d957</vt:lpwstr>
  </property>
  <property fmtid="{D5CDD505-2E9C-101B-9397-08002B2CF9AE}" pid="10" name="bjSaver">
    <vt:lpwstr>0HCT74yt1GSU3tsbIV9HGFPYHbfLce85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12" name="bjDocumentLabelXML-0">
    <vt:lpwstr>ames.com/2008/01/sie/internal/label"&gt;&lt;element uid="id_classification_nonbusiness" value="" /&gt;&lt;/sisl&gt;</vt:lpwstr>
  </property>
  <property fmtid="{D5CDD505-2E9C-101B-9397-08002B2CF9AE}" pid="13" name="bjDocumentSecurityLabel">
    <vt:lpwstr>Jawne</vt:lpwstr>
  </property>
</Properties>
</file>