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0A4C7" w14:textId="77777777" w:rsidR="00FB4128" w:rsidRPr="00ED3203" w:rsidRDefault="00FB4128" w:rsidP="00FB4128">
      <w:pPr>
        <w:spacing w:line="276" w:lineRule="auto"/>
        <w:rPr>
          <w:rFonts w:ascii="Arial" w:hAnsi="Arial" w:cs="Arial"/>
          <w:sz w:val="20"/>
          <w:szCs w:val="22"/>
        </w:rPr>
      </w:pPr>
      <w:r w:rsidRPr="00ED3203">
        <w:rPr>
          <w:rFonts w:ascii="Arial" w:hAnsi="Arial" w:cs="Arial"/>
          <w:sz w:val="20"/>
          <w:szCs w:val="22"/>
        </w:rPr>
        <w:t>Informacja prasowa</w:t>
      </w:r>
    </w:p>
    <w:p w14:paraId="001E636D" w14:textId="05671EB2" w:rsidR="00FB4128" w:rsidRPr="00ED3203" w:rsidRDefault="00FB4128" w:rsidP="00FB4128">
      <w:pPr>
        <w:spacing w:after="120" w:line="276" w:lineRule="auto"/>
        <w:rPr>
          <w:rFonts w:ascii="Arial" w:hAnsi="Arial" w:cs="Arial"/>
          <w:sz w:val="20"/>
          <w:szCs w:val="22"/>
        </w:rPr>
      </w:pPr>
      <w:r w:rsidRPr="00ED3203">
        <w:rPr>
          <w:rFonts w:ascii="Arial" w:hAnsi="Arial" w:cs="Arial"/>
          <w:sz w:val="20"/>
          <w:szCs w:val="22"/>
        </w:rPr>
        <w:t xml:space="preserve">Wrocław, </w:t>
      </w:r>
      <w:r w:rsidR="00104283">
        <w:rPr>
          <w:rFonts w:ascii="Arial" w:hAnsi="Arial" w:cs="Arial"/>
          <w:sz w:val="20"/>
          <w:szCs w:val="22"/>
        </w:rPr>
        <w:t>20</w:t>
      </w:r>
      <w:bookmarkStart w:id="0" w:name="_GoBack"/>
      <w:bookmarkEnd w:id="0"/>
      <w:r w:rsidR="004521D9">
        <w:rPr>
          <w:rFonts w:ascii="Arial" w:hAnsi="Arial" w:cs="Arial"/>
          <w:sz w:val="20"/>
          <w:szCs w:val="22"/>
        </w:rPr>
        <w:t xml:space="preserve"> października</w:t>
      </w:r>
      <w:r w:rsidR="009B2C16">
        <w:rPr>
          <w:rFonts w:ascii="Arial" w:hAnsi="Arial" w:cs="Arial"/>
          <w:sz w:val="20"/>
          <w:szCs w:val="22"/>
        </w:rPr>
        <w:t xml:space="preserve"> 20</w:t>
      </w:r>
      <w:r w:rsidR="00462841">
        <w:rPr>
          <w:rFonts w:ascii="Arial" w:hAnsi="Arial" w:cs="Arial"/>
          <w:sz w:val="20"/>
          <w:szCs w:val="22"/>
        </w:rPr>
        <w:t>2</w:t>
      </w:r>
      <w:r w:rsidR="00F65CD9">
        <w:rPr>
          <w:rFonts w:ascii="Arial" w:hAnsi="Arial" w:cs="Arial"/>
          <w:sz w:val="20"/>
          <w:szCs w:val="22"/>
        </w:rPr>
        <w:t>1</w:t>
      </w:r>
    </w:p>
    <w:p w14:paraId="7069EF31" w14:textId="409D1438" w:rsidR="00195C3D" w:rsidRPr="00757CAD" w:rsidRDefault="0073610C" w:rsidP="008F2FD0">
      <w:pPr>
        <w:spacing w:before="360" w:after="360" w:line="276" w:lineRule="auto"/>
        <w:rPr>
          <w:rFonts w:ascii="Arial" w:hAnsi="Arial" w:cs="Arial"/>
          <w:b/>
          <w:bCs/>
          <w:color w:val="26744D"/>
          <w:sz w:val="28"/>
          <w:szCs w:val="22"/>
        </w:rPr>
      </w:pPr>
      <w:r w:rsidRPr="00757CAD">
        <w:rPr>
          <w:rFonts w:ascii="Arial" w:hAnsi="Arial" w:cs="Arial"/>
          <w:b/>
          <w:bCs/>
          <w:color w:val="26744D"/>
          <w:sz w:val="28"/>
          <w:szCs w:val="22"/>
        </w:rPr>
        <w:t>Barometr</w:t>
      </w:r>
      <w:r w:rsidR="00F560A3" w:rsidRPr="00757CAD">
        <w:rPr>
          <w:rFonts w:ascii="Arial" w:hAnsi="Arial" w:cs="Arial"/>
          <w:b/>
          <w:bCs/>
          <w:color w:val="26744D"/>
          <w:sz w:val="28"/>
          <w:szCs w:val="22"/>
        </w:rPr>
        <w:t xml:space="preserve"> EFL</w:t>
      </w:r>
      <w:r w:rsidR="00395F6C" w:rsidRPr="00757CAD">
        <w:rPr>
          <w:rFonts w:ascii="Arial" w:hAnsi="Arial" w:cs="Arial"/>
          <w:b/>
          <w:bCs/>
          <w:color w:val="26744D"/>
          <w:sz w:val="28"/>
          <w:szCs w:val="22"/>
        </w:rPr>
        <w:t xml:space="preserve"> na I</w:t>
      </w:r>
      <w:r w:rsidR="004521D9" w:rsidRPr="00757CAD">
        <w:rPr>
          <w:rFonts w:ascii="Arial" w:hAnsi="Arial" w:cs="Arial"/>
          <w:b/>
          <w:bCs/>
          <w:color w:val="26744D"/>
          <w:sz w:val="28"/>
          <w:szCs w:val="22"/>
        </w:rPr>
        <w:t>V</w:t>
      </w:r>
      <w:r w:rsidR="00395F6C" w:rsidRPr="00757CAD">
        <w:rPr>
          <w:rFonts w:ascii="Arial" w:hAnsi="Arial" w:cs="Arial"/>
          <w:b/>
          <w:bCs/>
          <w:color w:val="26744D"/>
          <w:sz w:val="28"/>
          <w:szCs w:val="22"/>
        </w:rPr>
        <w:t xml:space="preserve"> kwartał</w:t>
      </w:r>
      <w:r w:rsidR="008F2FD0" w:rsidRPr="00757CAD">
        <w:rPr>
          <w:rFonts w:ascii="Arial" w:hAnsi="Arial" w:cs="Arial"/>
          <w:b/>
          <w:bCs/>
          <w:color w:val="26744D"/>
          <w:sz w:val="28"/>
          <w:szCs w:val="22"/>
        </w:rPr>
        <w:t xml:space="preserve">: widmo kolejnej fali nie budzi już takich obaw </w:t>
      </w:r>
      <w:r w:rsidR="000A4C6D">
        <w:rPr>
          <w:rFonts w:ascii="Arial" w:hAnsi="Arial" w:cs="Arial"/>
          <w:b/>
          <w:bCs/>
          <w:color w:val="26744D"/>
          <w:sz w:val="28"/>
          <w:szCs w:val="22"/>
        </w:rPr>
        <w:t>w polskich przedsiębiorcach</w:t>
      </w:r>
      <w:r w:rsidR="008F2FD0" w:rsidRPr="00757CAD">
        <w:rPr>
          <w:rFonts w:ascii="Arial" w:hAnsi="Arial" w:cs="Arial"/>
          <w:b/>
          <w:bCs/>
          <w:color w:val="26744D"/>
          <w:sz w:val="28"/>
          <w:szCs w:val="22"/>
        </w:rPr>
        <w:t xml:space="preserve">. Wskaźnik nastrojów </w:t>
      </w:r>
      <w:r w:rsidR="000A4C6D">
        <w:rPr>
          <w:rFonts w:ascii="Arial" w:hAnsi="Arial" w:cs="Arial"/>
          <w:b/>
          <w:bCs/>
          <w:color w:val="26744D"/>
          <w:sz w:val="28"/>
          <w:szCs w:val="22"/>
        </w:rPr>
        <w:t xml:space="preserve">MŚP </w:t>
      </w:r>
      <w:r w:rsidR="008F2FD0" w:rsidRPr="00757CAD">
        <w:rPr>
          <w:rFonts w:ascii="Arial" w:hAnsi="Arial" w:cs="Arial"/>
          <w:b/>
          <w:bCs/>
          <w:color w:val="26744D"/>
          <w:sz w:val="28"/>
          <w:szCs w:val="22"/>
        </w:rPr>
        <w:t>stabilizuje się</w:t>
      </w:r>
    </w:p>
    <w:p w14:paraId="7C513252" w14:textId="650CA63B" w:rsidR="0096616A" w:rsidRDefault="002D024C" w:rsidP="000F25F1">
      <w:pPr>
        <w:spacing w:after="120" w:line="276" w:lineRule="auto"/>
        <w:jc w:val="both"/>
        <w:rPr>
          <w:rFonts w:ascii="Arial" w:hAnsi="Arial" w:cs="Arial"/>
          <w:b/>
          <w:color w:val="26744D"/>
          <w:sz w:val="20"/>
          <w:szCs w:val="22"/>
        </w:rPr>
      </w:pPr>
      <w:r>
        <w:rPr>
          <w:rFonts w:ascii="Arial" w:hAnsi="Arial" w:cs="Arial"/>
          <w:b/>
          <w:color w:val="26744D"/>
          <w:sz w:val="20"/>
          <w:szCs w:val="22"/>
        </w:rPr>
        <w:t xml:space="preserve">Po niemal roku systematycznego poprawiania się nastrojów w </w:t>
      </w:r>
      <w:r w:rsidR="004444E9">
        <w:rPr>
          <w:rFonts w:ascii="Arial" w:hAnsi="Arial" w:cs="Arial"/>
          <w:b/>
          <w:color w:val="26744D"/>
          <w:sz w:val="20"/>
          <w:szCs w:val="22"/>
        </w:rPr>
        <w:t>sektorze</w:t>
      </w:r>
      <w:r>
        <w:rPr>
          <w:rFonts w:ascii="Arial" w:hAnsi="Arial" w:cs="Arial"/>
          <w:b/>
          <w:color w:val="26744D"/>
          <w:sz w:val="20"/>
          <w:szCs w:val="22"/>
        </w:rPr>
        <w:t xml:space="preserve"> MŚP, odczyt </w:t>
      </w:r>
      <w:r w:rsidR="000B664A">
        <w:rPr>
          <w:rFonts w:ascii="Arial" w:hAnsi="Arial" w:cs="Arial"/>
          <w:b/>
          <w:color w:val="26744D"/>
          <w:sz w:val="20"/>
          <w:szCs w:val="22"/>
        </w:rPr>
        <w:t>Barometr</w:t>
      </w:r>
      <w:r>
        <w:rPr>
          <w:rFonts w:ascii="Arial" w:hAnsi="Arial" w:cs="Arial"/>
          <w:b/>
          <w:color w:val="26744D"/>
          <w:sz w:val="20"/>
          <w:szCs w:val="22"/>
        </w:rPr>
        <w:t>u</w:t>
      </w:r>
      <w:r w:rsidR="000B664A">
        <w:rPr>
          <w:rFonts w:ascii="Arial" w:hAnsi="Arial" w:cs="Arial"/>
          <w:b/>
          <w:color w:val="26744D"/>
          <w:sz w:val="20"/>
          <w:szCs w:val="22"/>
        </w:rPr>
        <w:t xml:space="preserve"> EFL</w:t>
      </w:r>
      <w:r>
        <w:rPr>
          <w:rFonts w:ascii="Arial" w:hAnsi="Arial" w:cs="Arial"/>
          <w:b/>
          <w:color w:val="26744D"/>
          <w:sz w:val="20"/>
          <w:szCs w:val="22"/>
        </w:rPr>
        <w:t xml:space="preserve"> na IV kwartał br. wskazuje na </w:t>
      </w:r>
      <w:r w:rsidR="009A0359">
        <w:rPr>
          <w:rFonts w:ascii="Arial" w:hAnsi="Arial" w:cs="Arial"/>
          <w:b/>
          <w:color w:val="26744D"/>
          <w:sz w:val="20"/>
          <w:szCs w:val="22"/>
        </w:rPr>
        <w:t xml:space="preserve">nieznaczny </w:t>
      </w:r>
      <w:r>
        <w:rPr>
          <w:rFonts w:ascii="Arial" w:hAnsi="Arial" w:cs="Arial"/>
          <w:b/>
          <w:color w:val="26744D"/>
          <w:sz w:val="20"/>
          <w:szCs w:val="22"/>
        </w:rPr>
        <w:t>spadek optymizmu</w:t>
      </w:r>
      <w:r w:rsidR="000B664A">
        <w:rPr>
          <w:rFonts w:ascii="Arial" w:hAnsi="Arial" w:cs="Arial"/>
          <w:b/>
          <w:color w:val="26744D"/>
          <w:sz w:val="20"/>
          <w:szCs w:val="22"/>
        </w:rPr>
        <w:t xml:space="preserve">. </w:t>
      </w:r>
      <w:r>
        <w:rPr>
          <w:rFonts w:ascii="Arial" w:hAnsi="Arial" w:cs="Arial"/>
          <w:b/>
          <w:color w:val="26744D"/>
          <w:sz w:val="20"/>
          <w:szCs w:val="22"/>
        </w:rPr>
        <w:t>G</w:t>
      </w:r>
      <w:r w:rsidR="000B664A">
        <w:rPr>
          <w:rFonts w:ascii="Arial" w:hAnsi="Arial" w:cs="Arial"/>
          <w:b/>
          <w:color w:val="26744D"/>
          <w:sz w:val="20"/>
          <w:szCs w:val="22"/>
        </w:rPr>
        <w:t>łówny indeks wyniósł 5</w:t>
      </w:r>
      <w:r>
        <w:rPr>
          <w:rFonts w:ascii="Arial" w:hAnsi="Arial" w:cs="Arial"/>
          <w:b/>
          <w:color w:val="26744D"/>
          <w:sz w:val="20"/>
          <w:szCs w:val="22"/>
        </w:rPr>
        <w:t>0,3</w:t>
      </w:r>
      <w:r w:rsidR="000B664A">
        <w:rPr>
          <w:rFonts w:ascii="Arial" w:hAnsi="Arial" w:cs="Arial"/>
          <w:b/>
          <w:color w:val="26744D"/>
          <w:sz w:val="20"/>
          <w:szCs w:val="22"/>
        </w:rPr>
        <w:t xml:space="preserve"> pkt.</w:t>
      </w:r>
      <w:r>
        <w:rPr>
          <w:rFonts w:ascii="Arial" w:hAnsi="Arial" w:cs="Arial"/>
          <w:b/>
          <w:color w:val="26744D"/>
          <w:sz w:val="20"/>
          <w:szCs w:val="22"/>
        </w:rPr>
        <w:t xml:space="preserve"> i jest 3,2</w:t>
      </w:r>
      <w:r w:rsidR="000B664A">
        <w:rPr>
          <w:rFonts w:ascii="Arial" w:hAnsi="Arial" w:cs="Arial"/>
          <w:b/>
          <w:color w:val="26744D"/>
          <w:sz w:val="20"/>
          <w:szCs w:val="22"/>
        </w:rPr>
        <w:t xml:space="preserve"> pkt. </w:t>
      </w:r>
      <w:r>
        <w:rPr>
          <w:rFonts w:ascii="Arial" w:hAnsi="Arial" w:cs="Arial"/>
          <w:b/>
          <w:color w:val="26744D"/>
          <w:sz w:val="20"/>
          <w:szCs w:val="22"/>
        </w:rPr>
        <w:t>niższy</w:t>
      </w:r>
      <w:r w:rsidR="000B664A">
        <w:rPr>
          <w:rFonts w:ascii="Arial" w:hAnsi="Arial" w:cs="Arial"/>
          <w:b/>
          <w:color w:val="26744D"/>
          <w:sz w:val="20"/>
          <w:szCs w:val="22"/>
        </w:rPr>
        <w:t xml:space="preserve"> niż </w:t>
      </w:r>
      <w:r w:rsidR="00F235C6">
        <w:rPr>
          <w:rFonts w:ascii="Arial" w:hAnsi="Arial" w:cs="Arial"/>
          <w:b/>
          <w:color w:val="26744D"/>
          <w:sz w:val="20"/>
          <w:szCs w:val="22"/>
        </w:rPr>
        <w:t>kwartał wcześniej</w:t>
      </w:r>
      <w:r w:rsidR="000B664A" w:rsidRPr="000B664A">
        <w:rPr>
          <w:rFonts w:ascii="Arial" w:hAnsi="Arial" w:cs="Arial"/>
          <w:b/>
          <w:color w:val="26744D"/>
          <w:sz w:val="20"/>
          <w:szCs w:val="22"/>
        </w:rPr>
        <w:t>.</w:t>
      </w:r>
      <w:r w:rsidR="00F235C6">
        <w:rPr>
          <w:rFonts w:ascii="Arial" w:hAnsi="Arial" w:cs="Arial"/>
          <w:b/>
          <w:color w:val="26744D"/>
          <w:sz w:val="20"/>
          <w:szCs w:val="22"/>
        </w:rPr>
        <w:t xml:space="preserve"> </w:t>
      </w:r>
      <w:r w:rsidR="006530E8">
        <w:rPr>
          <w:rFonts w:ascii="Arial" w:hAnsi="Arial" w:cs="Arial"/>
          <w:b/>
          <w:color w:val="26744D"/>
          <w:sz w:val="20"/>
          <w:szCs w:val="22"/>
        </w:rPr>
        <w:t>W</w:t>
      </w:r>
      <w:r w:rsidR="00E07000">
        <w:rPr>
          <w:rFonts w:ascii="Arial" w:hAnsi="Arial" w:cs="Arial"/>
          <w:b/>
          <w:color w:val="26744D"/>
          <w:sz w:val="20"/>
          <w:szCs w:val="22"/>
        </w:rPr>
        <w:t xml:space="preserve"> szczególności zdecydowanie zmniejszyła się grupa przedsiębiorców prognozujących większą sprzedaż – z 47% w III kwartale br. do 26% w IV kwartale br. </w:t>
      </w:r>
      <w:r w:rsidR="0096616A">
        <w:rPr>
          <w:rFonts w:ascii="Arial" w:hAnsi="Arial" w:cs="Arial"/>
          <w:b/>
          <w:color w:val="26744D"/>
          <w:sz w:val="20"/>
          <w:szCs w:val="22"/>
        </w:rPr>
        <w:t xml:space="preserve">Eksperci EFL zwracają uwagę, że </w:t>
      </w:r>
      <w:r w:rsidR="0096616A" w:rsidRPr="0096616A">
        <w:rPr>
          <w:rFonts w:ascii="Arial" w:hAnsi="Arial" w:cs="Arial"/>
          <w:b/>
          <w:color w:val="26744D"/>
          <w:sz w:val="20"/>
          <w:szCs w:val="22"/>
        </w:rPr>
        <w:t>obecny spadek jest typowy dla ostatniego pomiaru w roku</w:t>
      </w:r>
      <w:r w:rsidR="0096616A">
        <w:rPr>
          <w:rFonts w:ascii="Arial" w:hAnsi="Arial" w:cs="Arial"/>
          <w:b/>
          <w:color w:val="26744D"/>
          <w:sz w:val="20"/>
          <w:szCs w:val="22"/>
        </w:rPr>
        <w:t xml:space="preserve"> i może świadczyć, że</w:t>
      </w:r>
      <w:r w:rsidR="0096616A" w:rsidRPr="0096616A">
        <w:rPr>
          <w:rFonts w:ascii="Arial" w:hAnsi="Arial" w:cs="Arial"/>
          <w:b/>
          <w:color w:val="26744D"/>
          <w:sz w:val="20"/>
          <w:szCs w:val="22"/>
        </w:rPr>
        <w:t xml:space="preserve"> sytuacja </w:t>
      </w:r>
      <w:r w:rsidR="0096616A">
        <w:rPr>
          <w:rFonts w:ascii="Arial" w:hAnsi="Arial" w:cs="Arial"/>
          <w:b/>
          <w:color w:val="26744D"/>
          <w:sz w:val="20"/>
          <w:szCs w:val="22"/>
        </w:rPr>
        <w:t xml:space="preserve">mikro, małych i średnich firm </w:t>
      </w:r>
      <w:r w:rsidR="0096616A" w:rsidRPr="0096616A">
        <w:rPr>
          <w:rFonts w:ascii="Arial" w:hAnsi="Arial" w:cs="Arial"/>
          <w:b/>
          <w:color w:val="26744D"/>
          <w:sz w:val="20"/>
          <w:szCs w:val="22"/>
        </w:rPr>
        <w:t>wraca do normy</w:t>
      </w:r>
      <w:r w:rsidR="0096616A">
        <w:rPr>
          <w:rFonts w:ascii="Arial" w:hAnsi="Arial" w:cs="Arial"/>
          <w:b/>
          <w:color w:val="26744D"/>
          <w:sz w:val="20"/>
          <w:szCs w:val="22"/>
        </w:rPr>
        <w:t>.</w:t>
      </w:r>
    </w:p>
    <w:p w14:paraId="4220F782" w14:textId="20D85388" w:rsidR="00F03AD0" w:rsidRPr="008F2FD0" w:rsidRDefault="00AA473D" w:rsidP="000F25F1">
      <w:pPr>
        <w:spacing w:after="120" w:line="276" w:lineRule="auto"/>
        <w:jc w:val="both"/>
        <w:rPr>
          <w:rFonts w:ascii="Arial" w:hAnsi="Arial" w:cs="Arial"/>
          <w:b/>
          <w:color w:val="26744D"/>
          <w:sz w:val="20"/>
          <w:szCs w:val="22"/>
        </w:rPr>
      </w:pPr>
      <w:r>
        <w:rPr>
          <w:i/>
          <w:sz w:val="20"/>
          <w:szCs w:val="20"/>
        </w:rPr>
        <w:t xml:space="preserve">- </w:t>
      </w:r>
      <w:r w:rsidR="00320753">
        <w:rPr>
          <w:i/>
          <w:sz w:val="20"/>
          <w:szCs w:val="20"/>
        </w:rPr>
        <w:t>Kryzys ma to do siebie, że trudno cokolwiek przewidzieć. Tak było z</w:t>
      </w:r>
      <w:r w:rsidR="00740977">
        <w:rPr>
          <w:i/>
          <w:sz w:val="20"/>
          <w:szCs w:val="20"/>
        </w:rPr>
        <w:t xml:space="preserve"> pomiar</w:t>
      </w:r>
      <w:r w:rsidR="00320753">
        <w:rPr>
          <w:i/>
          <w:sz w:val="20"/>
          <w:szCs w:val="20"/>
        </w:rPr>
        <w:t>ami naszego Barometru</w:t>
      </w:r>
      <w:r w:rsidR="00740977">
        <w:rPr>
          <w:i/>
          <w:sz w:val="20"/>
          <w:szCs w:val="20"/>
        </w:rPr>
        <w:t xml:space="preserve"> </w:t>
      </w:r>
      <w:r w:rsidR="00320753">
        <w:rPr>
          <w:i/>
          <w:sz w:val="20"/>
          <w:szCs w:val="20"/>
        </w:rPr>
        <w:t xml:space="preserve">realizowanymi w miesiącach </w:t>
      </w:r>
      <w:r w:rsidR="00740977">
        <w:rPr>
          <w:i/>
          <w:sz w:val="20"/>
          <w:szCs w:val="20"/>
        </w:rPr>
        <w:t>pandemicznych</w:t>
      </w:r>
      <w:r w:rsidR="00320753">
        <w:rPr>
          <w:i/>
          <w:sz w:val="20"/>
          <w:szCs w:val="20"/>
        </w:rPr>
        <w:t>. Trudno</w:t>
      </w:r>
      <w:r w:rsidR="00740977">
        <w:rPr>
          <w:i/>
          <w:sz w:val="20"/>
          <w:szCs w:val="20"/>
        </w:rPr>
        <w:t xml:space="preserve"> było doszukiwać się trendów, podobnych zmian w analogicznych okresach kolejnych lat.</w:t>
      </w:r>
      <w:r w:rsidR="00320753">
        <w:rPr>
          <w:i/>
          <w:sz w:val="20"/>
          <w:szCs w:val="20"/>
        </w:rPr>
        <w:t xml:space="preserve"> Ostatni tegoroczny odczyt, mimo że czas pandemii nie minął, a nad nami ciąży widmo kolejnej fali COVID-19, </w:t>
      </w:r>
      <w:r w:rsidR="000F25F1">
        <w:rPr>
          <w:i/>
          <w:sz w:val="20"/>
          <w:szCs w:val="20"/>
        </w:rPr>
        <w:t>jest typowym dla pomiaru na koniec roku. W</w:t>
      </w:r>
      <w:r w:rsidR="000F25F1" w:rsidRPr="000F25F1">
        <w:rPr>
          <w:i/>
          <w:sz w:val="20"/>
          <w:szCs w:val="20"/>
        </w:rPr>
        <w:t xml:space="preserve"> historii </w:t>
      </w:r>
      <w:r w:rsidR="000F25F1">
        <w:rPr>
          <w:i/>
          <w:sz w:val="20"/>
          <w:szCs w:val="20"/>
        </w:rPr>
        <w:t>naszego badania, które realizujemy już od 2015 roku,</w:t>
      </w:r>
      <w:r w:rsidR="000F25F1" w:rsidRPr="000F25F1">
        <w:rPr>
          <w:i/>
          <w:sz w:val="20"/>
          <w:szCs w:val="20"/>
        </w:rPr>
        <w:t xml:space="preserve"> zawsze pomiędzy III a IV kwartałem wskaźnik spadał</w:t>
      </w:r>
      <w:r w:rsidR="000F25F1">
        <w:rPr>
          <w:i/>
          <w:sz w:val="20"/>
          <w:szCs w:val="20"/>
        </w:rPr>
        <w:t xml:space="preserve">. Tak jest i tym razem. Jedna jaskółka wiosny nie czyni, ale liczymy, że </w:t>
      </w:r>
      <w:r w:rsidR="000F25F1" w:rsidRPr="000F25F1">
        <w:rPr>
          <w:i/>
          <w:sz w:val="20"/>
          <w:szCs w:val="20"/>
        </w:rPr>
        <w:t xml:space="preserve">sytuacja </w:t>
      </w:r>
      <w:r w:rsidR="000F25F1">
        <w:rPr>
          <w:i/>
          <w:sz w:val="20"/>
          <w:szCs w:val="20"/>
        </w:rPr>
        <w:t>powoli stabilizuje się</w:t>
      </w:r>
      <w:r w:rsidR="008F2FD0">
        <w:rPr>
          <w:i/>
          <w:sz w:val="20"/>
          <w:szCs w:val="20"/>
        </w:rPr>
        <w:t>, ewentualne ponowne „zamknięcie” nie budzi już takich obaw jak przy poprzednich falach, a</w:t>
      </w:r>
      <w:r w:rsidR="000F25F1">
        <w:rPr>
          <w:i/>
          <w:sz w:val="20"/>
          <w:szCs w:val="20"/>
        </w:rPr>
        <w:t xml:space="preserve"> przedsiębiorcy zaczynają ze spokojem</w:t>
      </w:r>
      <w:r w:rsidR="00C617B7">
        <w:rPr>
          <w:i/>
          <w:sz w:val="20"/>
          <w:szCs w:val="20"/>
        </w:rPr>
        <w:t xml:space="preserve"> i nowymi planami</w:t>
      </w:r>
      <w:r w:rsidR="000F25F1">
        <w:rPr>
          <w:i/>
          <w:sz w:val="20"/>
          <w:szCs w:val="20"/>
        </w:rPr>
        <w:t xml:space="preserve"> podchodzić do swoich biznesów </w:t>
      </w:r>
      <w:r w:rsidR="007F739D" w:rsidRPr="004C1E52">
        <w:rPr>
          <w:rFonts w:ascii="Arial" w:hAnsi="Arial" w:cs="Arial"/>
          <w:sz w:val="20"/>
          <w:szCs w:val="22"/>
        </w:rPr>
        <w:t>– mówi</w:t>
      </w:r>
      <w:r w:rsidR="007F739D">
        <w:rPr>
          <w:rFonts w:ascii="Arial" w:hAnsi="Arial" w:cs="Arial"/>
          <w:i/>
          <w:sz w:val="20"/>
          <w:szCs w:val="22"/>
        </w:rPr>
        <w:t xml:space="preserve"> </w:t>
      </w:r>
      <w:r w:rsidR="007F739D">
        <w:rPr>
          <w:rFonts w:ascii="Arial" w:hAnsi="Arial" w:cs="Arial"/>
          <w:b/>
          <w:color w:val="26744D"/>
          <w:sz w:val="20"/>
          <w:szCs w:val="22"/>
        </w:rPr>
        <w:t>Radosła</w:t>
      </w:r>
      <w:r w:rsidR="007F739D" w:rsidRPr="004C1E52">
        <w:rPr>
          <w:rFonts w:ascii="Arial" w:hAnsi="Arial" w:cs="Arial"/>
          <w:b/>
          <w:color w:val="26744D"/>
          <w:sz w:val="20"/>
          <w:szCs w:val="22"/>
        </w:rPr>
        <w:t xml:space="preserve">w </w:t>
      </w:r>
      <w:r w:rsidR="002075AC">
        <w:rPr>
          <w:rFonts w:ascii="Arial" w:hAnsi="Arial" w:cs="Arial"/>
          <w:b/>
          <w:color w:val="26744D"/>
          <w:sz w:val="20"/>
          <w:szCs w:val="22"/>
        </w:rPr>
        <w:t>Woźniak</w:t>
      </w:r>
      <w:r w:rsidR="007F739D" w:rsidRPr="004C1E52">
        <w:rPr>
          <w:rFonts w:ascii="Arial" w:hAnsi="Arial" w:cs="Arial"/>
          <w:b/>
          <w:color w:val="26744D"/>
          <w:sz w:val="20"/>
          <w:szCs w:val="22"/>
        </w:rPr>
        <w:t xml:space="preserve">, prezes </w:t>
      </w:r>
      <w:r w:rsidR="00A232F3">
        <w:rPr>
          <w:rFonts w:ascii="Arial" w:hAnsi="Arial" w:cs="Arial"/>
          <w:b/>
          <w:color w:val="26744D"/>
          <w:sz w:val="20"/>
          <w:szCs w:val="22"/>
        </w:rPr>
        <w:t xml:space="preserve">zarządu </w:t>
      </w:r>
      <w:r w:rsidR="007F739D" w:rsidRPr="004C1E52">
        <w:rPr>
          <w:rFonts w:ascii="Arial" w:hAnsi="Arial" w:cs="Arial"/>
          <w:b/>
          <w:color w:val="26744D"/>
          <w:sz w:val="20"/>
          <w:szCs w:val="22"/>
        </w:rPr>
        <w:t>EFL.</w:t>
      </w:r>
      <w:r w:rsidR="007F739D">
        <w:rPr>
          <w:rFonts w:ascii="Arial" w:hAnsi="Arial" w:cs="Arial"/>
          <w:b/>
          <w:color w:val="26744D"/>
          <w:sz w:val="20"/>
          <w:szCs w:val="22"/>
        </w:rPr>
        <w:t xml:space="preserve"> </w:t>
      </w:r>
    </w:p>
    <w:p w14:paraId="2BEB174E" w14:textId="15407089" w:rsidR="00281BB2" w:rsidRPr="00281BB2" w:rsidRDefault="00B55952" w:rsidP="000F25F1">
      <w:pPr>
        <w:spacing w:after="120" w:line="276" w:lineRule="auto"/>
        <w:jc w:val="both"/>
        <w:rPr>
          <w:rFonts w:ascii="Arial" w:hAnsi="Arial" w:cs="Arial"/>
          <w:b/>
          <w:color w:val="26744D"/>
          <w:sz w:val="20"/>
          <w:szCs w:val="22"/>
        </w:rPr>
      </w:pPr>
      <w:r>
        <w:rPr>
          <w:rFonts w:ascii="Arial" w:hAnsi="Arial" w:cs="Arial"/>
          <w:b/>
          <w:color w:val="26744D"/>
          <w:sz w:val="20"/>
          <w:szCs w:val="22"/>
        </w:rPr>
        <w:t>Na granicy</w:t>
      </w:r>
    </w:p>
    <w:p w14:paraId="74E9E0D4" w14:textId="662DA265" w:rsidR="00281BB2" w:rsidRDefault="00281BB2" w:rsidP="000F25F1">
      <w:pPr>
        <w:spacing w:after="120" w:line="276" w:lineRule="auto"/>
        <w:jc w:val="both"/>
        <w:rPr>
          <w:rFonts w:ascii="Arial" w:hAnsi="Arial" w:cs="Arial"/>
          <w:sz w:val="20"/>
          <w:szCs w:val="20"/>
        </w:rPr>
      </w:pPr>
      <w:r>
        <w:rPr>
          <w:sz w:val="20"/>
          <w:szCs w:val="20"/>
        </w:rPr>
        <w:t xml:space="preserve">Próg OR to poziom ograniczonego rozwoju firm z sektora MŚP, który wynosi co najmniej 50 pkt. w Barometrze EFL. </w:t>
      </w:r>
      <w:r w:rsidR="00A300E2">
        <w:rPr>
          <w:sz w:val="20"/>
          <w:szCs w:val="20"/>
        </w:rPr>
        <w:t>S</w:t>
      </w:r>
      <w:r w:rsidRPr="00281BB2">
        <w:rPr>
          <w:sz w:val="20"/>
          <w:szCs w:val="20"/>
        </w:rPr>
        <w:t>tanowi algorytm stworzony na podstawie danych zgromadzonych w trakcie badania przedsiębiorców dotycząc</w:t>
      </w:r>
      <w:r>
        <w:rPr>
          <w:sz w:val="20"/>
          <w:szCs w:val="20"/>
        </w:rPr>
        <w:t>ych 4</w:t>
      </w:r>
      <w:r w:rsidRPr="00281BB2">
        <w:rPr>
          <w:sz w:val="20"/>
          <w:szCs w:val="20"/>
        </w:rPr>
        <w:t xml:space="preserve"> sfer:</w:t>
      </w:r>
      <w:r>
        <w:rPr>
          <w:sz w:val="20"/>
          <w:szCs w:val="20"/>
        </w:rPr>
        <w:t xml:space="preserve"> </w:t>
      </w:r>
      <w:r w:rsidRPr="00281BB2">
        <w:rPr>
          <w:sz w:val="20"/>
          <w:szCs w:val="20"/>
        </w:rPr>
        <w:t>poziomu sprzedaży,</w:t>
      </w:r>
      <w:r>
        <w:rPr>
          <w:sz w:val="20"/>
          <w:szCs w:val="20"/>
        </w:rPr>
        <w:t xml:space="preserve"> </w:t>
      </w:r>
      <w:r w:rsidRPr="00281BB2">
        <w:rPr>
          <w:sz w:val="20"/>
          <w:szCs w:val="20"/>
        </w:rPr>
        <w:t>planowanych inwestycji w środki trwałe,</w:t>
      </w:r>
      <w:r>
        <w:rPr>
          <w:sz w:val="20"/>
          <w:szCs w:val="20"/>
        </w:rPr>
        <w:t xml:space="preserve"> płynności finansowej i </w:t>
      </w:r>
      <w:r w:rsidRPr="00281BB2">
        <w:rPr>
          <w:sz w:val="20"/>
          <w:szCs w:val="20"/>
        </w:rPr>
        <w:t>zapotrzebowania na zewnętrzne finansowanie.</w:t>
      </w:r>
      <w:r>
        <w:rPr>
          <w:sz w:val="20"/>
          <w:szCs w:val="20"/>
        </w:rPr>
        <w:t xml:space="preserve"> </w:t>
      </w:r>
      <w:r w:rsidR="00A300E2">
        <w:rPr>
          <w:sz w:val="20"/>
          <w:szCs w:val="20"/>
        </w:rPr>
        <w:t xml:space="preserve">Przyjmuje </w:t>
      </w:r>
      <w:r w:rsidRPr="00281BB2">
        <w:rPr>
          <w:sz w:val="20"/>
          <w:szCs w:val="20"/>
        </w:rPr>
        <w:t xml:space="preserve">wartości od 0 do 100, przy czym zagregowany wynik powyżej 50 pkt. oznacza, że występują sprzyjające warunki do rozwoju sektora MŚP, natomiast wynik niższy oznacza, że warunki te są niekorzystne. </w:t>
      </w:r>
      <w:r w:rsidR="00355157">
        <w:rPr>
          <w:sz w:val="20"/>
          <w:szCs w:val="20"/>
        </w:rPr>
        <w:t>P</w:t>
      </w:r>
      <w:r>
        <w:rPr>
          <w:sz w:val="20"/>
          <w:szCs w:val="20"/>
        </w:rPr>
        <w:t xml:space="preserve">oziom </w:t>
      </w:r>
      <w:r w:rsidR="0074011B">
        <w:rPr>
          <w:sz w:val="20"/>
          <w:szCs w:val="20"/>
        </w:rPr>
        <w:t>5</w:t>
      </w:r>
      <w:r w:rsidR="00B55952">
        <w:rPr>
          <w:sz w:val="20"/>
          <w:szCs w:val="20"/>
        </w:rPr>
        <w:t xml:space="preserve">0,3 </w:t>
      </w:r>
      <w:r w:rsidRPr="00281BB2">
        <w:rPr>
          <w:sz w:val="20"/>
          <w:szCs w:val="20"/>
        </w:rPr>
        <w:t xml:space="preserve">pkt. </w:t>
      </w:r>
      <w:r>
        <w:rPr>
          <w:sz w:val="20"/>
          <w:szCs w:val="20"/>
        </w:rPr>
        <w:t xml:space="preserve">osiągnięty </w:t>
      </w:r>
      <w:r w:rsidR="0074011B">
        <w:rPr>
          <w:sz w:val="20"/>
          <w:szCs w:val="20"/>
        </w:rPr>
        <w:t>w I</w:t>
      </w:r>
      <w:r w:rsidR="00B55952">
        <w:rPr>
          <w:sz w:val="20"/>
          <w:szCs w:val="20"/>
        </w:rPr>
        <w:t xml:space="preserve">V kwartale 2021 roku nieznacznie </w:t>
      </w:r>
      <w:r>
        <w:rPr>
          <w:sz w:val="20"/>
          <w:szCs w:val="20"/>
        </w:rPr>
        <w:t>przekroczył pr</w:t>
      </w:r>
      <w:r w:rsidR="0074011B">
        <w:rPr>
          <w:sz w:val="20"/>
          <w:szCs w:val="20"/>
        </w:rPr>
        <w:t>óg</w:t>
      </w:r>
      <w:r>
        <w:rPr>
          <w:sz w:val="20"/>
          <w:szCs w:val="20"/>
        </w:rPr>
        <w:t xml:space="preserve"> OR, co </w:t>
      </w:r>
      <w:r>
        <w:rPr>
          <w:rFonts w:ascii="Arial" w:hAnsi="Arial" w:cs="Arial"/>
          <w:sz w:val="20"/>
          <w:szCs w:val="22"/>
        </w:rPr>
        <w:t>o</w:t>
      </w:r>
      <w:r>
        <w:rPr>
          <w:rFonts w:ascii="Arial" w:hAnsi="Arial" w:cs="Arial"/>
          <w:sz w:val="20"/>
          <w:szCs w:val="20"/>
        </w:rPr>
        <w:t>znacza</w:t>
      </w:r>
      <w:r w:rsidRPr="0092694F">
        <w:rPr>
          <w:rFonts w:ascii="Arial" w:hAnsi="Arial" w:cs="Arial"/>
          <w:sz w:val="20"/>
          <w:szCs w:val="20"/>
        </w:rPr>
        <w:t>, że mikro, małe i średnie przedsiębiorstwa widzą</w:t>
      </w:r>
      <w:r>
        <w:rPr>
          <w:rFonts w:ascii="Arial" w:hAnsi="Arial" w:cs="Arial"/>
          <w:sz w:val="20"/>
          <w:szCs w:val="20"/>
        </w:rPr>
        <w:t xml:space="preserve"> </w:t>
      </w:r>
      <w:r w:rsidRPr="0092694F">
        <w:rPr>
          <w:rFonts w:ascii="Arial" w:hAnsi="Arial" w:cs="Arial"/>
          <w:sz w:val="20"/>
          <w:szCs w:val="20"/>
        </w:rPr>
        <w:t>szanse na rozwój w najbliższych miesiącach</w:t>
      </w:r>
      <w:r>
        <w:rPr>
          <w:rFonts w:ascii="Arial" w:hAnsi="Arial" w:cs="Arial"/>
          <w:sz w:val="20"/>
          <w:szCs w:val="20"/>
        </w:rPr>
        <w:t>.</w:t>
      </w:r>
      <w:r w:rsidR="00355157">
        <w:rPr>
          <w:rFonts w:ascii="Arial" w:hAnsi="Arial" w:cs="Arial"/>
          <w:sz w:val="20"/>
          <w:szCs w:val="20"/>
        </w:rPr>
        <w:t xml:space="preserve"> </w:t>
      </w:r>
      <w:r w:rsidR="00B55952">
        <w:rPr>
          <w:rFonts w:ascii="Arial" w:hAnsi="Arial" w:cs="Arial"/>
          <w:sz w:val="20"/>
          <w:szCs w:val="20"/>
        </w:rPr>
        <w:t>Jednak do „spadku” poniżej progu nie brakuje już wiele.</w:t>
      </w:r>
    </w:p>
    <w:p w14:paraId="11269709" w14:textId="6813D081" w:rsidR="00281BB2" w:rsidRDefault="00DD3F74" w:rsidP="000F25F1">
      <w:pPr>
        <w:spacing w:after="120" w:line="276" w:lineRule="auto"/>
        <w:jc w:val="both"/>
        <w:rPr>
          <w:rFonts w:ascii="Arial" w:hAnsi="Arial" w:cs="Arial"/>
          <w:b/>
          <w:color w:val="26744D"/>
          <w:sz w:val="20"/>
          <w:szCs w:val="22"/>
        </w:rPr>
      </w:pPr>
      <w:r>
        <w:rPr>
          <w:rFonts w:ascii="Arial" w:hAnsi="Arial" w:cs="Arial"/>
          <w:b/>
          <w:color w:val="26744D"/>
          <w:sz w:val="20"/>
          <w:szCs w:val="22"/>
        </w:rPr>
        <w:t>Niepewność rządzi nastrojami firm</w:t>
      </w:r>
    </w:p>
    <w:p w14:paraId="0167A7A5" w14:textId="33787E0F" w:rsidR="00E44F9E" w:rsidRPr="00E44F9E" w:rsidRDefault="00E44F9E" w:rsidP="000F25F1">
      <w:pPr>
        <w:spacing w:after="120" w:line="276" w:lineRule="auto"/>
        <w:jc w:val="both"/>
        <w:rPr>
          <w:rFonts w:ascii="Arial" w:hAnsi="Arial" w:cs="Arial"/>
          <w:sz w:val="20"/>
          <w:szCs w:val="20"/>
        </w:rPr>
      </w:pPr>
      <w:r w:rsidRPr="00E44F9E">
        <w:rPr>
          <w:rFonts w:ascii="Arial" w:hAnsi="Arial" w:cs="Arial"/>
          <w:sz w:val="20"/>
          <w:szCs w:val="20"/>
        </w:rPr>
        <w:t xml:space="preserve">Analizując dane z ostatnich czterech pomiarów widać, że w przypadku wszystkich czterech wskaźników </w:t>
      </w:r>
      <w:r w:rsidR="006266B6">
        <w:rPr>
          <w:rFonts w:ascii="Arial" w:hAnsi="Arial" w:cs="Arial"/>
          <w:sz w:val="20"/>
          <w:szCs w:val="20"/>
        </w:rPr>
        <w:t xml:space="preserve">(sprzedaż, inwestycje, płynność finansowa, finansowanie zewnętrzne) </w:t>
      </w:r>
      <w:r w:rsidRPr="00E44F9E">
        <w:rPr>
          <w:rFonts w:ascii="Arial" w:hAnsi="Arial" w:cs="Arial"/>
          <w:sz w:val="20"/>
          <w:szCs w:val="20"/>
        </w:rPr>
        <w:t>sytuacja przypomina t</w:t>
      </w:r>
      <w:r w:rsidR="009A0359">
        <w:rPr>
          <w:rFonts w:ascii="Arial" w:hAnsi="Arial" w:cs="Arial"/>
          <w:sz w:val="20"/>
          <w:szCs w:val="20"/>
        </w:rPr>
        <w:t>ę</w:t>
      </w:r>
      <w:r w:rsidRPr="00E44F9E">
        <w:rPr>
          <w:rFonts w:ascii="Arial" w:hAnsi="Arial" w:cs="Arial"/>
          <w:sz w:val="20"/>
          <w:szCs w:val="20"/>
        </w:rPr>
        <w:t xml:space="preserve"> z początku roku. Po okresowym wzroście optymizmu w III kwartale </w:t>
      </w:r>
      <w:r w:rsidR="006266B6">
        <w:rPr>
          <w:rFonts w:ascii="Arial" w:hAnsi="Arial" w:cs="Arial"/>
          <w:sz w:val="20"/>
          <w:szCs w:val="20"/>
        </w:rPr>
        <w:t>br.</w:t>
      </w:r>
      <w:r w:rsidRPr="00E44F9E">
        <w:rPr>
          <w:rFonts w:ascii="Arial" w:hAnsi="Arial" w:cs="Arial"/>
          <w:sz w:val="20"/>
          <w:szCs w:val="20"/>
        </w:rPr>
        <w:t xml:space="preserve"> w przypadku sprzedaży i płynności finansowej znów zdecydowanie dominują odpowiedzi wskazujące na brak zmiany. </w:t>
      </w:r>
      <w:r w:rsidR="006266B6">
        <w:rPr>
          <w:rFonts w:ascii="Arial" w:hAnsi="Arial" w:cs="Arial"/>
          <w:sz w:val="20"/>
          <w:szCs w:val="20"/>
        </w:rPr>
        <w:t xml:space="preserve">Istotnie spadł </w:t>
      </w:r>
      <w:r w:rsidRPr="00E44F9E">
        <w:rPr>
          <w:rFonts w:ascii="Arial" w:hAnsi="Arial" w:cs="Arial"/>
          <w:sz w:val="20"/>
          <w:szCs w:val="20"/>
        </w:rPr>
        <w:t xml:space="preserve">odsetek </w:t>
      </w:r>
      <w:r w:rsidR="006266B6">
        <w:rPr>
          <w:rFonts w:ascii="Arial" w:hAnsi="Arial" w:cs="Arial"/>
          <w:sz w:val="20"/>
          <w:szCs w:val="20"/>
        </w:rPr>
        <w:t xml:space="preserve">przedsiębiorców liczących na większe zamówienia w końcówce roku – z </w:t>
      </w:r>
      <w:r w:rsidRPr="00E44F9E">
        <w:rPr>
          <w:rFonts w:ascii="Arial" w:hAnsi="Arial" w:cs="Arial"/>
          <w:sz w:val="20"/>
          <w:szCs w:val="20"/>
        </w:rPr>
        <w:t xml:space="preserve">47% do 26%. Podobnie w przypadku oceny płynności </w:t>
      </w:r>
      <w:r w:rsidR="004444E9" w:rsidRPr="00E44F9E">
        <w:rPr>
          <w:rFonts w:ascii="Arial" w:hAnsi="Arial" w:cs="Arial"/>
          <w:sz w:val="20"/>
          <w:szCs w:val="20"/>
        </w:rPr>
        <w:t>finansowej</w:t>
      </w:r>
      <w:r w:rsidRPr="00E44F9E">
        <w:rPr>
          <w:rFonts w:ascii="Arial" w:hAnsi="Arial" w:cs="Arial"/>
          <w:sz w:val="20"/>
          <w:szCs w:val="20"/>
        </w:rPr>
        <w:t xml:space="preserve"> </w:t>
      </w:r>
      <w:r w:rsidR="006266B6">
        <w:rPr>
          <w:rFonts w:ascii="Arial" w:hAnsi="Arial" w:cs="Arial"/>
          <w:sz w:val="20"/>
          <w:szCs w:val="20"/>
        </w:rPr>
        <w:t xml:space="preserve">– spadek </w:t>
      </w:r>
      <w:r w:rsidRPr="00E44F9E">
        <w:rPr>
          <w:rFonts w:ascii="Arial" w:hAnsi="Arial" w:cs="Arial"/>
          <w:sz w:val="20"/>
          <w:szCs w:val="20"/>
        </w:rPr>
        <w:t>z 42% do 24,5%</w:t>
      </w:r>
      <w:r w:rsidR="006266B6">
        <w:rPr>
          <w:rFonts w:ascii="Arial" w:hAnsi="Arial" w:cs="Arial"/>
          <w:sz w:val="20"/>
          <w:szCs w:val="20"/>
        </w:rPr>
        <w:t>.</w:t>
      </w:r>
    </w:p>
    <w:p w14:paraId="666AF5D2" w14:textId="724A7941" w:rsidR="008A39BA" w:rsidRDefault="004008B6" w:rsidP="000F25F1">
      <w:pPr>
        <w:spacing w:after="120" w:line="276" w:lineRule="auto"/>
        <w:jc w:val="both"/>
        <w:rPr>
          <w:rFonts w:ascii="Arial" w:hAnsi="Arial" w:cs="Arial"/>
          <w:bCs/>
          <w:sz w:val="20"/>
          <w:szCs w:val="20"/>
        </w:rPr>
      </w:pPr>
      <w:r>
        <w:rPr>
          <w:rFonts w:ascii="Arial" w:hAnsi="Arial" w:cs="Arial"/>
          <w:sz w:val="20"/>
          <w:szCs w:val="20"/>
        </w:rPr>
        <w:t xml:space="preserve">Ponownie zagościła </w:t>
      </w:r>
      <w:r w:rsidR="008A39BA">
        <w:rPr>
          <w:rFonts w:ascii="Arial" w:hAnsi="Arial" w:cs="Arial"/>
          <w:sz w:val="20"/>
          <w:szCs w:val="20"/>
        </w:rPr>
        <w:t>stagnacj</w:t>
      </w:r>
      <w:r>
        <w:rPr>
          <w:rFonts w:ascii="Arial" w:hAnsi="Arial" w:cs="Arial"/>
          <w:sz w:val="20"/>
          <w:szCs w:val="20"/>
        </w:rPr>
        <w:t>a</w:t>
      </w:r>
      <w:r w:rsidR="008A39BA">
        <w:rPr>
          <w:rFonts w:ascii="Arial" w:hAnsi="Arial" w:cs="Arial"/>
          <w:sz w:val="20"/>
          <w:szCs w:val="20"/>
        </w:rPr>
        <w:t xml:space="preserve"> w inwestycjach. Tylko </w:t>
      </w:r>
      <w:r>
        <w:rPr>
          <w:rFonts w:ascii="Arial" w:hAnsi="Arial" w:cs="Arial"/>
          <w:sz w:val="20"/>
          <w:szCs w:val="20"/>
        </w:rPr>
        <w:t>8% firm</w:t>
      </w:r>
      <w:r w:rsidR="008A39BA">
        <w:rPr>
          <w:rFonts w:ascii="Arial" w:hAnsi="Arial" w:cs="Arial"/>
          <w:sz w:val="20"/>
          <w:szCs w:val="20"/>
        </w:rPr>
        <w:t xml:space="preserve"> prognozuje ich wzrost,</w:t>
      </w:r>
      <w:r>
        <w:rPr>
          <w:rFonts w:ascii="Arial" w:hAnsi="Arial" w:cs="Arial"/>
          <w:sz w:val="20"/>
          <w:szCs w:val="20"/>
        </w:rPr>
        <w:t xml:space="preserve"> w III kwartale taką opinię wyraziło 7%,</w:t>
      </w:r>
      <w:r w:rsidR="008A39BA">
        <w:rPr>
          <w:rFonts w:ascii="Arial" w:hAnsi="Arial" w:cs="Arial"/>
          <w:sz w:val="20"/>
          <w:szCs w:val="20"/>
        </w:rPr>
        <w:t xml:space="preserve"> podczas gdy </w:t>
      </w:r>
      <w:r>
        <w:rPr>
          <w:rFonts w:ascii="Arial" w:hAnsi="Arial" w:cs="Arial"/>
          <w:sz w:val="20"/>
          <w:szCs w:val="20"/>
        </w:rPr>
        <w:t>w II kwartale –</w:t>
      </w:r>
      <w:r w:rsidR="008A39BA">
        <w:rPr>
          <w:rFonts w:ascii="Arial" w:hAnsi="Arial" w:cs="Arial"/>
          <w:sz w:val="20"/>
          <w:szCs w:val="20"/>
        </w:rPr>
        <w:t xml:space="preserve"> 25</w:t>
      </w:r>
      <w:r>
        <w:rPr>
          <w:rFonts w:ascii="Arial" w:hAnsi="Arial" w:cs="Arial"/>
          <w:sz w:val="20"/>
          <w:szCs w:val="20"/>
        </w:rPr>
        <w:t>%</w:t>
      </w:r>
      <w:r w:rsidR="008A39BA">
        <w:rPr>
          <w:rFonts w:ascii="Arial" w:hAnsi="Arial" w:cs="Arial"/>
          <w:sz w:val="20"/>
          <w:szCs w:val="20"/>
        </w:rPr>
        <w:t xml:space="preserve">. </w:t>
      </w:r>
      <w:r>
        <w:rPr>
          <w:rFonts w:ascii="Arial" w:hAnsi="Arial" w:cs="Arial"/>
          <w:bCs/>
          <w:sz w:val="20"/>
          <w:szCs w:val="20"/>
        </w:rPr>
        <w:t>Nieznacznie wzrósł</w:t>
      </w:r>
      <w:r w:rsidR="008A39BA" w:rsidRPr="008A39BA">
        <w:rPr>
          <w:rFonts w:ascii="Arial" w:hAnsi="Arial" w:cs="Arial"/>
          <w:bCs/>
          <w:sz w:val="20"/>
          <w:szCs w:val="20"/>
        </w:rPr>
        <w:t xml:space="preserve"> odsetek firm przewidujących wzrost zapotrzebowania na finansowanie zewnętrzne (z </w:t>
      </w:r>
      <w:r>
        <w:rPr>
          <w:rFonts w:ascii="Arial" w:hAnsi="Arial" w:cs="Arial"/>
          <w:bCs/>
          <w:sz w:val="20"/>
          <w:szCs w:val="20"/>
        </w:rPr>
        <w:t>11%</w:t>
      </w:r>
      <w:r w:rsidR="008A39BA" w:rsidRPr="008A39BA">
        <w:rPr>
          <w:rFonts w:ascii="Arial" w:hAnsi="Arial" w:cs="Arial"/>
          <w:bCs/>
          <w:sz w:val="20"/>
          <w:szCs w:val="20"/>
        </w:rPr>
        <w:t xml:space="preserve"> w II</w:t>
      </w:r>
      <w:r>
        <w:rPr>
          <w:rFonts w:ascii="Arial" w:hAnsi="Arial" w:cs="Arial"/>
          <w:bCs/>
          <w:sz w:val="20"/>
          <w:szCs w:val="20"/>
        </w:rPr>
        <w:t>I</w:t>
      </w:r>
      <w:r w:rsidR="008A39BA" w:rsidRPr="008A39BA">
        <w:rPr>
          <w:rFonts w:ascii="Arial" w:hAnsi="Arial" w:cs="Arial"/>
          <w:bCs/>
          <w:sz w:val="20"/>
          <w:szCs w:val="20"/>
        </w:rPr>
        <w:t xml:space="preserve"> </w:t>
      </w:r>
      <w:r w:rsidR="004444E9" w:rsidRPr="008A39BA">
        <w:rPr>
          <w:rFonts w:ascii="Arial" w:hAnsi="Arial" w:cs="Arial"/>
          <w:bCs/>
          <w:sz w:val="20"/>
          <w:szCs w:val="20"/>
        </w:rPr>
        <w:t>kwartale</w:t>
      </w:r>
      <w:r w:rsidR="008A39BA" w:rsidRPr="008A39BA">
        <w:rPr>
          <w:rFonts w:ascii="Arial" w:hAnsi="Arial" w:cs="Arial"/>
          <w:bCs/>
          <w:sz w:val="20"/>
          <w:szCs w:val="20"/>
        </w:rPr>
        <w:t xml:space="preserve"> br. do 1</w:t>
      </w:r>
      <w:r>
        <w:rPr>
          <w:rFonts w:ascii="Arial" w:hAnsi="Arial" w:cs="Arial"/>
          <w:bCs/>
          <w:sz w:val="20"/>
          <w:szCs w:val="20"/>
        </w:rPr>
        <w:t>4%</w:t>
      </w:r>
      <w:r w:rsidR="008A39BA" w:rsidRPr="008A39BA">
        <w:rPr>
          <w:rFonts w:ascii="Arial" w:hAnsi="Arial" w:cs="Arial"/>
          <w:bCs/>
          <w:sz w:val="20"/>
          <w:szCs w:val="20"/>
        </w:rPr>
        <w:t xml:space="preserve"> w I</w:t>
      </w:r>
      <w:r>
        <w:rPr>
          <w:rFonts w:ascii="Arial" w:hAnsi="Arial" w:cs="Arial"/>
          <w:bCs/>
          <w:sz w:val="20"/>
          <w:szCs w:val="20"/>
        </w:rPr>
        <w:t>V</w:t>
      </w:r>
      <w:r w:rsidR="008A39BA" w:rsidRPr="008A39BA">
        <w:rPr>
          <w:rFonts w:ascii="Arial" w:hAnsi="Arial" w:cs="Arial"/>
          <w:bCs/>
          <w:sz w:val="20"/>
          <w:szCs w:val="20"/>
        </w:rPr>
        <w:t xml:space="preserve"> kwartale br.)</w:t>
      </w:r>
      <w:r>
        <w:rPr>
          <w:rFonts w:ascii="Arial" w:hAnsi="Arial" w:cs="Arial"/>
          <w:bCs/>
          <w:sz w:val="20"/>
          <w:szCs w:val="20"/>
        </w:rPr>
        <w:t>.</w:t>
      </w:r>
    </w:p>
    <w:p w14:paraId="5A6FED4D" w14:textId="77777777" w:rsidR="009B6545" w:rsidRPr="00037E48" w:rsidRDefault="009B6545" w:rsidP="000F25F1">
      <w:pPr>
        <w:spacing w:after="120" w:line="276" w:lineRule="auto"/>
        <w:jc w:val="both"/>
        <w:rPr>
          <w:rFonts w:ascii="Arial" w:hAnsi="Arial" w:cs="Arial"/>
          <w:b/>
          <w:color w:val="26744D"/>
          <w:sz w:val="20"/>
          <w:szCs w:val="22"/>
        </w:rPr>
      </w:pPr>
      <w:r w:rsidRPr="00037E48">
        <w:rPr>
          <w:rFonts w:ascii="Arial" w:hAnsi="Arial" w:cs="Arial"/>
          <w:b/>
          <w:color w:val="26744D"/>
          <w:sz w:val="20"/>
          <w:szCs w:val="22"/>
        </w:rPr>
        <w:t xml:space="preserve">Wielkość </w:t>
      </w:r>
      <w:r>
        <w:rPr>
          <w:rFonts w:ascii="Arial" w:hAnsi="Arial" w:cs="Arial"/>
          <w:b/>
          <w:color w:val="26744D"/>
          <w:sz w:val="20"/>
          <w:szCs w:val="22"/>
        </w:rPr>
        <w:t>nabiera znaczenia</w:t>
      </w:r>
    </w:p>
    <w:p w14:paraId="12EF9A30" w14:textId="77777777" w:rsidR="009B6545" w:rsidRDefault="009B6545" w:rsidP="000F25F1">
      <w:pPr>
        <w:spacing w:after="120" w:line="276" w:lineRule="auto"/>
        <w:jc w:val="both"/>
        <w:rPr>
          <w:rFonts w:ascii="Arial" w:hAnsi="Arial" w:cs="Arial"/>
          <w:bCs/>
          <w:sz w:val="20"/>
          <w:szCs w:val="20"/>
        </w:rPr>
      </w:pPr>
      <w:r>
        <w:rPr>
          <w:rFonts w:ascii="Arial" w:hAnsi="Arial" w:cs="Arial"/>
          <w:bCs/>
          <w:sz w:val="20"/>
          <w:szCs w:val="20"/>
        </w:rPr>
        <w:t xml:space="preserve">Po pomiarze z III kwartału, w którym </w:t>
      </w:r>
      <w:r w:rsidRPr="00037E48">
        <w:rPr>
          <w:rFonts w:ascii="Arial" w:hAnsi="Arial" w:cs="Arial"/>
          <w:bCs/>
          <w:sz w:val="20"/>
          <w:szCs w:val="20"/>
        </w:rPr>
        <w:t>wskaźnik</w:t>
      </w:r>
      <w:r>
        <w:rPr>
          <w:rFonts w:ascii="Arial" w:hAnsi="Arial" w:cs="Arial"/>
          <w:bCs/>
          <w:sz w:val="20"/>
          <w:szCs w:val="20"/>
        </w:rPr>
        <w:t>i</w:t>
      </w:r>
      <w:r w:rsidRPr="00037E48">
        <w:rPr>
          <w:rFonts w:ascii="Arial" w:hAnsi="Arial" w:cs="Arial"/>
          <w:bCs/>
          <w:sz w:val="20"/>
          <w:szCs w:val="20"/>
        </w:rPr>
        <w:t xml:space="preserve"> dla przedsiębiorstw </w:t>
      </w:r>
      <w:r>
        <w:rPr>
          <w:rFonts w:ascii="Arial" w:hAnsi="Arial" w:cs="Arial"/>
          <w:bCs/>
          <w:sz w:val="20"/>
          <w:szCs w:val="20"/>
        </w:rPr>
        <w:t xml:space="preserve">uwzględniające </w:t>
      </w:r>
      <w:r w:rsidRPr="00037E48">
        <w:rPr>
          <w:rFonts w:ascii="Arial" w:hAnsi="Arial" w:cs="Arial"/>
          <w:bCs/>
          <w:sz w:val="20"/>
          <w:szCs w:val="20"/>
        </w:rPr>
        <w:t>wielkoś</w:t>
      </w:r>
      <w:r>
        <w:rPr>
          <w:rFonts w:ascii="Arial" w:hAnsi="Arial" w:cs="Arial"/>
          <w:bCs/>
          <w:sz w:val="20"/>
          <w:szCs w:val="20"/>
        </w:rPr>
        <w:t>ć zatrudnienia, były bardzo</w:t>
      </w:r>
      <w:r w:rsidRPr="00037E48">
        <w:rPr>
          <w:rFonts w:ascii="Arial" w:hAnsi="Arial" w:cs="Arial"/>
          <w:bCs/>
          <w:sz w:val="20"/>
          <w:szCs w:val="20"/>
        </w:rPr>
        <w:t xml:space="preserve"> zbliżon</w:t>
      </w:r>
      <w:r>
        <w:rPr>
          <w:rFonts w:ascii="Arial" w:hAnsi="Arial" w:cs="Arial"/>
          <w:bCs/>
          <w:sz w:val="20"/>
          <w:szCs w:val="20"/>
        </w:rPr>
        <w:t>e</w:t>
      </w:r>
      <w:r w:rsidRPr="00037E48">
        <w:rPr>
          <w:rFonts w:ascii="Arial" w:hAnsi="Arial" w:cs="Arial"/>
          <w:bCs/>
          <w:sz w:val="20"/>
          <w:szCs w:val="20"/>
        </w:rPr>
        <w:t xml:space="preserve"> do siebie</w:t>
      </w:r>
      <w:r>
        <w:rPr>
          <w:rFonts w:ascii="Arial" w:hAnsi="Arial" w:cs="Arial"/>
          <w:bCs/>
          <w:sz w:val="20"/>
          <w:szCs w:val="20"/>
        </w:rPr>
        <w:t xml:space="preserve"> (</w:t>
      </w:r>
      <w:r w:rsidRPr="00037E48">
        <w:rPr>
          <w:rFonts w:ascii="Arial" w:hAnsi="Arial" w:cs="Arial"/>
          <w:sz w:val="20"/>
          <w:szCs w:val="20"/>
        </w:rPr>
        <w:t xml:space="preserve">firmy mikro, małe oraz średnie uzyskały </w:t>
      </w:r>
      <w:r>
        <w:rPr>
          <w:rFonts w:ascii="Arial" w:hAnsi="Arial" w:cs="Arial"/>
          <w:bCs/>
          <w:sz w:val="20"/>
          <w:szCs w:val="20"/>
        </w:rPr>
        <w:t>wyniki</w:t>
      </w:r>
      <w:r w:rsidRPr="00037E48">
        <w:rPr>
          <w:rFonts w:ascii="Arial" w:hAnsi="Arial" w:cs="Arial"/>
          <w:bCs/>
          <w:sz w:val="20"/>
          <w:szCs w:val="20"/>
        </w:rPr>
        <w:t xml:space="preserve"> oscylując</w:t>
      </w:r>
      <w:r>
        <w:rPr>
          <w:rFonts w:ascii="Arial" w:hAnsi="Arial" w:cs="Arial"/>
          <w:bCs/>
          <w:sz w:val="20"/>
          <w:szCs w:val="20"/>
        </w:rPr>
        <w:t>e</w:t>
      </w:r>
      <w:r w:rsidRPr="00037E48">
        <w:rPr>
          <w:rFonts w:ascii="Arial" w:hAnsi="Arial" w:cs="Arial"/>
          <w:bCs/>
          <w:sz w:val="20"/>
          <w:szCs w:val="20"/>
        </w:rPr>
        <w:t xml:space="preserve"> w okolicach 53 pkt.</w:t>
      </w:r>
      <w:r>
        <w:rPr>
          <w:rFonts w:ascii="Arial" w:hAnsi="Arial" w:cs="Arial"/>
          <w:bCs/>
          <w:sz w:val="20"/>
          <w:szCs w:val="20"/>
        </w:rPr>
        <w:t>), w najnowszym pomiarze z</w:t>
      </w:r>
      <w:r w:rsidRPr="00FA45B7">
        <w:rPr>
          <w:rFonts w:ascii="Arial" w:hAnsi="Arial" w:cs="Arial"/>
          <w:bCs/>
          <w:sz w:val="20"/>
          <w:szCs w:val="20"/>
        </w:rPr>
        <w:t xml:space="preserve">nowu powiększają się różnice pomiędzy poszczególnymi działami sektora </w:t>
      </w:r>
      <w:r>
        <w:rPr>
          <w:rFonts w:ascii="Arial" w:hAnsi="Arial" w:cs="Arial"/>
          <w:bCs/>
          <w:sz w:val="20"/>
          <w:szCs w:val="20"/>
        </w:rPr>
        <w:t>MŚP. W IV kwartale o</w:t>
      </w:r>
      <w:r w:rsidRPr="00FA45B7">
        <w:rPr>
          <w:rFonts w:ascii="Arial" w:hAnsi="Arial" w:cs="Arial"/>
          <w:bCs/>
          <w:sz w:val="20"/>
          <w:szCs w:val="20"/>
        </w:rPr>
        <w:t xml:space="preserve">ptymizm przedsiębiorców rośnie wraz z liczbą zatrudnianych pracowników. W przypadku firm mikro Barometr </w:t>
      </w:r>
      <w:r>
        <w:rPr>
          <w:rFonts w:ascii="Arial" w:hAnsi="Arial" w:cs="Arial"/>
          <w:bCs/>
          <w:sz w:val="20"/>
          <w:szCs w:val="20"/>
        </w:rPr>
        <w:t xml:space="preserve">EFL </w:t>
      </w:r>
      <w:r w:rsidRPr="00FA45B7">
        <w:rPr>
          <w:rFonts w:ascii="Arial" w:hAnsi="Arial" w:cs="Arial"/>
          <w:bCs/>
          <w:sz w:val="20"/>
          <w:szCs w:val="20"/>
        </w:rPr>
        <w:t>wyn</w:t>
      </w:r>
      <w:r>
        <w:rPr>
          <w:rFonts w:ascii="Arial" w:hAnsi="Arial" w:cs="Arial"/>
          <w:bCs/>
          <w:sz w:val="20"/>
          <w:szCs w:val="20"/>
        </w:rPr>
        <w:t>iósł</w:t>
      </w:r>
      <w:r w:rsidRPr="00FA45B7">
        <w:rPr>
          <w:rFonts w:ascii="Arial" w:hAnsi="Arial" w:cs="Arial"/>
          <w:bCs/>
          <w:sz w:val="20"/>
          <w:szCs w:val="20"/>
        </w:rPr>
        <w:t xml:space="preserve"> jedynie </w:t>
      </w:r>
      <w:r w:rsidRPr="00FA45B7">
        <w:rPr>
          <w:rFonts w:ascii="Arial" w:hAnsi="Arial" w:cs="Arial"/>
          <w:bCs/>
          <w:sz w:val="20"/>
          <w:szCs w:val="20"/>
        </w:rPr>
        <w:lastRenderedPageBreak/>
        <w:t>49,2 pkt, w</w:t>
      </w:r>
      <w:r>
        <w:rPr>
          <w:rFonts w:ascii="Arial" w:hAnsi="Arial" w:cs="Arial"/>
          <w:bCs/>
          <w:sz w:val="20"/>
          <w:szCs w:val="20"/>
        </w:rPr>
        <w:t xml:space="preserve"> małych</w:t>
      </w:r>
      <w:r w:rsidRPr="00FA45B7">
        <w:rPr>
          <w:rFonts w:ascii="Arial" w:hAnsi="Arial" w:cs="Arial"/>
          <w:bCs/>
          <w:sz w:val="20"/>
          <w:szCs w:val="20"/>
        </w:rPr>
        <w:t xml:space="preserve"> firmach </w:t>
      </w:r>
      <w:r>
        <w:rPr>
          <w:rFonts w:ascii="Arial" w:hAnsi="Arial" w:cs="Arial"/>
          <w:bCs/>
          <w:sz w:val="20"/>
          <w:szCs w:val="20"/>
        </w:rPr>
        <w:t>–</w:t>
      </w:r>
      <w:r w:rsidRPr="00FA45B7">
        <w:rPr>
          <w:rFonts w:ascii="Arial" w:hAnsi="Arial" w:cs="Arial"/>
          <w:bCs/>
          <w:sz w:val="20"/>
          <w:szCs w:val="20"/>
        </w:rPr>
        <w:t xml:space="preserve"> 50,2 pkt, zaś w średnich 52,4 pkt.</w:t>
      </w:r>
      <w:r>
        <w:rPr>
          <w:rFonts w:ascii="Arial" w:hAnsi="Arial" w:cs="Arial"/>
          <w:bCs/>
          <w:sz w:val="20"/>
          <w:szCs w:val="20"/>
        </w:rPr>
        <w:t xml:space="preserve"> Niezależnie od wielkości podmiotu, w każdym przypadku został odnotowany spadek w ujęciu kwartalnym.</w:t>
      </w:r>
    </w:p>
    <w:p w14:paraId="5F69019E" w14:textId="6A935936" w:rsidR="009B6545" w:rsidRDefault="009B6545" w:rsidP="000F25F1">
      <w:pPr>
        <w:spacing w:after="120" w:line="276" w:lineRule="auto"/>
        <w:jc w:val="both"/>
        <w:rPr>
          <w:rFonts w:ascii="Arial" w:hAnsi="Arial" w:cs="Arial"/>
          <w:sz w:val="20"/>
          <w:szCs w:val="20"/>
        </w:rPr>
      </w:pPr>
      <w:r>
        <w:rPr>
          <w:rFonts w:ascii="Arial" w:hAnsi="Arial" w:cs="Arial"/>
          <w:sz w:val="20"/>
          <w:szCs w:val="20"/>
        </w:rPr>
        <w:t>Istotne różnice pomiędzy podmiotami różnej wielkości widać w dwóch (na cztery) obszarach – w inwestycjach i finansowaniu zewnętrznym. Wśród najmniejszych firm zatrudniających do 9 pracowników zaledwie 2</w:t>
      </w:r>
      <w:r w:rsidR="009A0359">
        <w:rPr>
          <w:rFonts w:ascii="Arial" w:hAnsi="Arial" w:cs="Arial"/>
          <w:sz w:val="20"/>
          <w:szCs w:val="20"/>
        </w:rPr>
        <w:t>%</w:t>
      </w:r>
      <w:r>
        <w:rPr>
          <w:rFonts w:ascii="Arial" w:hAnsi="Arial" w:cs="Arial"/>
          <w:sz w:val="20"/>
          <w:szCs w:val="20"/>
        </w:rPr>
        <w:t xml:space="preserve"> prognozuje więcej inwestować, w małych – 7,5</w:t>
      </w:r>
      <w:r w:rsidR="009A0359">
        <w:rPr>
          <w:rFonts w:ascii="Arial" w:hAnsi="Arial" w:cs="Arial"/>
          <w:sz w:val="20"/>
          <w:szCs w:val="20"/>
        </w:rPr>
        <w:t>%</w:t>
      </w:r>
      <w:r>
        <w:rPr>
          <w:rFonts w:ascii="Arial" w:hAnsi="Arial" w:cs="Arial"/>
          <w:sz w:val="20"/>
          <w:szCs w:val="20"/>
        </w:rPr>
        <w:t>, a w średnich – 18,5</w:t>
      </w:r>
      <w:r w:rsidR="009A0359">
        <w:rPr>
          <w:rFonts w:ascii="Arial" w:hAnsi="Arial" w:cs="Arial"/>
          <w:sz w:val="20"/>
          <w:szCs w:val="20"/>
        </w:rPr>
        <w:t>%.</w:t>
      </w:r>
      <w:r>
        <w:rPr>
          <w:rFonts w:ascii="Arial" w:hAnsi="Arial" w:cs="Arial"/>
          <w:sz w:val="20"/>
          <w:szCs w:val="20"/>
        </w:rPr>
        <w:t xml:space="preserve"> Wraz z wielkością firmy spada natomiast zapotrzebowanie na finansowanie zewnętrzne. Jego wzrost przewiduje 18% mikro firm, 14% małych i 7,5% średnich.</w:t>
      </w:r>
    </w:p>
    <w:p w14:paraId="6B04AB89" w14:textId="77777777" w:rsidR="00AB761F" w:rsidRPr="00ED3203" w:rsidRDefault="00AB761F" w:rsidP="00C94F9B">
      <w:pPr>
        <w:spacing w:after="120" w:line="276" w:lineRule="auto"/>
        <w:jc w:val="both"/>
        <w:rPr>
          <w:rFonts w:ascii="Arial" w:hAnsi="Arial" w:cs="Arial"/>
          <w:b/>
          <w:color w:val="26744D"/>
          <w:sz w:val="20"/>
          <w:szCs w:val="22"/>
        </w:rPr>
      </w:pPr>
      <w:r w:rsidRPr="00ED3203">
        <w:rPr>
          <w:rFonts w:ascii="Arial" w:hAnsi="Arial" w:cs="Arial"/>
          <w:b/>
          <w:color w:val="26744D"/>
          <w:sz w:val="20"/>
          <w:szCs w:val="22"/>
        </w:rPr>
        <w:t>***</w:t>
      </w:r>
    </w:p>
    <w:p w14:paraId="2D359AAF" w14:textId="65CCBB4A" w:rsidR="00AB761F" w:rsidRDefault="00AB761F" w:rsidP="00C94F9B">
      <w:pPr>
        <w:spacing w:after="120" w:line="276" w:lineRule="auto"/>
        <w:jc w:val="both"/>
        <w:rPr>
          <w:sz w:val="18"/>
        </w:rPr>
      </w:pPr>
      <w:r w:rsidRPr="00ED3203">
        <w:rPr>
          <w:b/>
          <w:sz w:val="18"/>
        </w:rPr>
        <w:t>Barometr EFL</w:t>
      </w:r>
      <w:r w:rsidRPr="00ED3203">
        <w:rPr>
          <w:sz w:val="18"/>
        </w:rPr>
        <w:t xml:space="preserve">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finansowa firm MŚP daje punkt odniesienia do wnioskowania o zakładanym kierunku zmian, które sprzyjają wzrostowi lub działają hamująco na rozwój firm. Badanie przygotowywane jest przez Ecorys na zlecenie Europejskiego Funduszu Leasingowego SA., a jego wyniki są publikowane co kwartał. Jego uczestnicy to mikro, małe i średnie firmy terenu całej Polski. W badaniu wzięła udział reprezentatywna grupa 600 mikro, małych i średnich firm. Aktualna edycja badania odbyła się </w:t>
      </w:r>
      <w:r w:rsidR="004C0092">
        <w:rPr>
          <w:sz w:val="18"/>
        </w:rPr>
        <w:t xml:space="preserve">od </w:t>
      </w:r>
      <w:r w:rsidR="004521D9">
        <w:rPr>
          <w:sz w:val="18"/>
        </w:rPr>
        <w:t>20 września do 5 października</w:t>
      </w:r>
      <w:r w:rsidR="004C0092">
        <w:rPr>
          <w:sz w:val="18"/>
        </w:rPr>
        <w:t xml:space="preserve"> 2021</w:t>
      </w:r>
      <w:r w:rsidR="00F65CD9">
        <w:rPr>
          <w:sz w:val="18"/>
        </w:rPr>
        <w:t xml:space="preserve"> roku.</w:t>
      </w:r>
    </w:p>
    <w:p w14:paraId="4921F8E8" w14:textId="36757A2D" w:rsidR="007732DD" w:rsidRPr="007732DD" w:rsidRDefault="007732DD" w:rsidP="00C94F9B">
      <w:pPr>
        <w:spacing w:after="120" w:line="276" w:lineRule="auto"/>
        <w:jc w:val="both"/>
        <w:rPr>
          <w:rFonts w:ascii="Arial" w:hAnsi="Arial" w:cs="Arial"/>
          <w:sz w:val="21"/>
        </w:rPr>
      </w:pPr>
      <w:r w:rsidRPr="007732DD">
        <w:rPr>
          <w:rFonts w:ascii="Arial" w:eastAsia="Times New Roman" w:hAnsi="Arial" w:cs="Arial"/>
          <w:b/>
          <w:iCs/>
          <w:color w:val="0A0A0A"/>
          <w:sz w:val="18"/>
          <w:szCs w:val="22"/>
          <w:shd w:val="clear" w:color="auto" w:fill="FEFEFE"/>
          <w:lang w:eastAsia="pl-PL"/>
        </w:rPr>
        <w:t>OR</w:t>
      </w:r>
      <w:r w:rsidRPr="007732DD">
        <w:rPr>
          <w:rFonts w:ascii="Arial" w:eastAsia="Times New Roman" w:hAnsi="Arial" w:cs="Arial"/>
          <w:iCs/>
          <w:color w:val="0A0A0A"/>
          <w:sz w:val="18"/>
          <w:szCs w:val="22"/>
          <w:shd w:val="clear" w:color="auto" w:fill="FEFEFE"/>
          <w:lang w:eastAsia="pl-PL"/>
        </w:rPr>
        <w:t xml:space="preserve">, czyli </w:t>
      </w:r>
      <w:r>
        <w:rPr>
          <w:rFonts w:ascii="Arial" w:eastAsia="Times New Roman" w:hAnsi="Arial" w:cs="Arial"/>
          <w:iCs/>
          <w:color w:val="0A0A0A"/>
          <w:sz w:val="18"/>
          <w:szCs w:val="22"/>
          <w:shd w:val="clear" w:color="auto" w:fill="FEFEFE"/>
          <w:lang w:eastAsia="pl-PL"/>
        </w:rPr>
        <w:t>próg ograniczonego rozwoju, to</w:t>
      </w:r>
      <w:r w:rsidRPr="007732DD">
        <w:rPr>
          <w:rFonts w:ascii="Arial" w:eastAsia="Times New Roman" w:hAnsi="Arial" w:cs="Arial"/>
          <w:iCs/>
          <w:color w:val="0A0A0A"/>
          <w:sz w:val="18"/>
          <w:szCs w:val="22"/>
          <w:shd w:val="clear" w:color="auto" w:fill="FEFEFE"/>
          <w:lang w:eastAsia="pl-PL"/>
        </w:rPr>
        <w:t xml:space="preserve"> algorytm stworzony na podstawie danych zgromadzonych w trakcie badania przedsiębiorców. Przyjmuje on wartości od 0 do 100, przy czym zagregowany wynik powyżej 50 pkt. oznacza, że występują sprzyjające warunki do rozwoju sektora MŚP, natomiast wynik niższy oznacza, że warunki te są niekorzystne. Zatem poziom 50 pkt. stanowi próg OR, czyli poziom ograniczonego rozwoju.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632"/>
      </w:tblGrid>
      <w:tr w:rsidR="00AB761F" w:rsidRPr="00ED3203" w14:paraId="1737E66A" w14:textId="77777777" w:rsidTr="00C5621E">
        <w:tc>
          <w:tcPr>
            <w:tcW w:w="9632" w:type="dxa"/>
            <w:shd w:val="clear" w:color="auto" w:fill="22744F"/>
          </w:tcPr>
          <w:p w14:paraId="3F4A0F40" w14:textId="77777777" w:rsidR="00AB761F" w:rsidRPr="00ED3203" w:rsidRDefault="00AB761F" w:rsidP="00C5621E">
            <w:pPr>
              <w:tabs>
                <w:tab w:val="left" w:pos="4248"/>
                <w:tab w:val="left" w:pos="6684"/>
              </w:tabs>
              <w:outlineLvl w:val="0"/>
              <w:rPr>
                <w:rFonts w:ascii="Arial" w:hAnsi="Arial" w:cs="Arial"/>
                <w:color w:val="FFFFFF"/>
                <w:sz w:val="20"/>
                <w:szCs w:val="20"/>
              </w:rPr>
            </w:pPr>
            <w:r w:rsidRPr="00ED3203">
              <w:rPr>
                <w:rFonts w:ascii="Arial" w:hAnsi="Arial" w:cs="Arial"/>
                <w:color w:val="FFFFFF"/>
                <w:sz w:val="20"/>
                <w:szCs w:val="20"/>
              </w:rPr>
              <w:t>Więcej informacji udziela:</w:t>
            </w:r>
            <w:r w:rsidRPr="00ED3203">
              <w:rPr>
                <w:rFonts w:ascii="Arial" w:hAnsi="Arial" w:cs="Arial"/>
                <w:color w:val="FFFFFF"/>
                <w:sz w:val="20"/>
                <w:szCs w:val="20"/>
              </w:rPr>
              <w:tab/>
            </w:r>
            <w:r w:rsidRPr="00ED3203">
              <w:rPr>
                <w:rFonts w:ascii="Arial" w:hAnsi="Arial" w:cs="Arial"/>
                <w:color w:val="FFFFFF"/>
                <w:sz w:val="20"/>
                <w:szCs w:val="20"/>
              </w:rPr>
              <w:tab/>
            </w:r>
          </w:p>
        </w:tc>
      </w:tr>
      <w:tr w:rsidR="00AB761F" w:rsidRPr="004521D9" w14:paraId="0A9F1C8D" w14:textId="77777777" w:rsidTr="00C5621E">
        <w:trPr>
          <w:trHeight w:val="964"/>
        </w:trPr>
        <w:tc>
          <w:tcPr>
            <w:tcW w:w="9632" w:type="dxa"/>
            <w:shd w:val="clear" w:color="auto" w:fill="auto"/>
            <w:vAlign w:val="center"/>
          </w:tcPr>
          <w:p w14:paraId="568F3404" w14:textId="77777777" w:rsidR="00AB761F" w:rsidRPr="00ED3203" w:rsidRDefault="00AB761F" w:rsidP="00C5621E">
            <w:pPr>
              <w:outlineLvl w:val="0"/>
              <w:rPr>
                <w:rFonts w:ascii="Arial" w:hAnsi="Arial" w:cs="Arial"/>
                <w:sz w:val="20"/>
                <w:szCs w:val="20"/>
              </w:rPr>
            </w:pPr>
            <w:r w:rsidRPr="00ED3203">
              <w:rPr>
                <w:rFonts w:ascii="Arial" w:hAnsi="Arial" w:cs="Arial"/>
                <w:b/>
                <w:sz w:val="20"/>
                <w:szCs w:val="20"/>
              </w:rPr>
              <w:t>Maja Lidke</w:t>
            </w:r>
          </w:p>
          <w:p w14:paraId="4ECB708B" w14:textId="77777777" w:rsidR="00AB761F" w:rsidRPr="00ED3203" w:rsidRDefault="00AB761F" w:rsidP="00C5621E">
            <w:pPr>
              <w:outlineLvl w:val="0"/>
              <w:rPr>
                <w:rFonts w:ascii="Arial" w:hAnsi="Arial" w:cs="Arial"/>
                <w:sz w:val="20"/>
                <w:szCs w:val="20"/>
              </w:rPr>
            </w:pPr>
            <w:r w:rsidRPr="00ED3203">
              <w:rPr>
                <w:rFonts w:ascii="Arial" w:hAnsi="Arial" w:cs="Arial"/>
                <w:sz w:val="20"/>
                <w:szCs w:val="20"/>
              </w:rPr>
              <w:t>Europejski Fundusz Leasingowy</w:t>
            </w:r>
          </w:p>
          <w:p w14:paraId="6DA95E55" w14:textId="77777777" w:rsidR="00AB761F" w:rsidRPr="00ED3203" w:rsidRDefault="00AB761F" w:rsidP="00C5621E">
            <w:pPr>
              <w:rPr>
                <w:rFonts w:ascii="Arial" w:hAnsi="Arial" w:cs="Arial"/>
                <w:sz w:val="20"/>
                <w:szCs w:val="20"/>
              </w:rPr>
            </w:pPr>
            <w:r w:rsidRPr="00ED3203">
              <w:rPr>
                <w:rFonts w:ascii="Arial" w:hAnsi="Arial" w:cs="Arial"/>
                <w:sz w:val="20"/>
                <w:szCs w:val="20"/>
              </w:rPr>
              <w:t>Tel.: 603 630 166</w:t>
            </w:r>
          </w:p>
          <w:p w14:paraId="1594DAEB" w14:textId="77777777" w:rsidR="00AB761F" w:rsidRPr="00575566" w:rsidRDefault="00AB761F" w:rsidP="00C5621E">
            <w:pPr>
              <w:outlineLvl w:val="0"/>
              <w:rPr>
                <w:rFonts w:ascii="Arial" w:hAnsi="Arial" w:cs="Arial"/>
                <w:b/>
                <w:sz w:val="20"/>
                <w:szCs w:val="20"/>
                <w:lang w:val="en-GB"/>
              </w:rPr>
            </w:pPr>
            <w:r w:rsidRPr="00575566">
              <w:rPr>
                <w:rFonts w:ascii="Arial" w:hAnsi="Arial" w:cs="Arial"/>
                <w:sz w:val="20"/>
                <w:szCs w:val="20"/>
                <w:lang w:val="en-GB"/>
              </w:rPr>
              <w:t xml:space="preserve">E-mail: </w:t>
            </w:r>
            <w:hyperlink r:id="rId11" w:history="1">
              <w:r w:rsidRPr="00575566">
                <w:rPr>
                  <w:rStyle w:val="Hipercze"/>
                  <w:rFonts w:ascii="Arial" w:hAnsi="Arial" w:cs="Arial"/>
                  <w:sz w:val="20"/>
                  <w:szCs w:val="20"/>
                  <w:lang w:val="en-GB"/>
                </w:rPr>
                <w:t>maja.lidke@efl.com.pl</w:t>
              </w:r>
            </w:hyperlink>
          </w:p>
        </w:tc>
      </w:tr>
    </w:tbl>
    <w:p w14:paraId="15170306" w14:textId="77777777" w:rsidR="008F77BF" w:rsidRPr="00575566" w:rsidRDefault="008F77BF" w:rsidP="00FB4128">
      <w:pPr>
        <w:spacing w:after="120" w:line="276" w:lineRule="auto"/>
        <w:jc w:val="both"/>
        <w:rPr>
          <w:rFonts w:ascii="Arial" w:hAnsi="Arial" w:cs="Arial"/>
          <w:b/>
          <w:color w:val="26744D"/>
          <w:sz w:val="20"/>
          <w:szCs w:val="22"/>
          <w:lang w:val="en-GB"/>
        </w:rPr>
      </w:pPr>
    </w:p>
    <w:p w14:paraId="3F7C1307" w14:textId="77777777" w:rsidR="00F623C2" w:rsidRPr="00575566" w:rsidRDefault="00F623C2" w:rsidP="0090356A">
      <w:pPr>
        <w:rPr>
          <w:lang w:val="en-GB"/>
        </w:rPr>
      </w:pPr>
    </w:p>
    <w:sectPr w:rsidR="00F623C2" w:rsidRPr="00575566" w:rsidSect="0090356A">
      <w:headerReference w:type="even" r:id="rId12"/>
      <w:headerReference w:type="default" r:id="rId13"/>
      <w:headerReference w:type="first" r:id="rId14"/>
      <w:pgSz w:w="11900" w:h="16840"/>
      <w:pgMar w:top="1985" w:right="680" w:bottom="1985"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D0B6" w14:textId="77777777" w:rsidR="003D353A" w:rsidRDefault="003D353A" w:rsidP="00E55FF4">
      <w:r>
        <w:separator/>
      </w:r>
    </w:p>
  </w:endnote>
  <w:endnote w:type="continuationSeparator" w:id="0">
    <w:p w14:paraId="23FA336B" w14:textId="77777777" w:rsidR="003D353A" w:rsidRDefault="003D353A" w:rsidP="00E5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B3D90" w14:textId="77777777" w:rsidR="003D353A" w:rsidRDefault="003D353A" w:rsidP="00E55FF4">
      <w:r>
        <w:separator/>
      </w:r>
    </w:p>
  </w:footnote>
  <w:footnote w:type="continuationSeparator" w:id="0">
    <w:p w14:paraId="4BEBD4AC" w14:textId="77777777" w:rsidR="003D353A" w:rsidRDefault="003D353A" w:rsidP="00E5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DC9A" w14:textId="77777777" w:rsidR="00C570A9" w:rsidRDefault="003D353A">
    <w:pPr>
      <w:pStyle w:val="Nagwek"/>
    </w:pPr>
    <w:r>
      <w:rPr>
        <w:noProof/>
        <w:lang w:eastAsia="pl-PL"/>
      </w:rPr>
      <w:pict w14:anchorId="70DFA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FL-To-Sie-Uda-PapierFirmowy" style="position:absolute;margin-left:0;margin-top:0;width:595.75pt;height:842pt;z-index:-251657216;mso-wrap-edited:f;mso-width-percent:0;mso-height-percent:0;mso-position-horizontal:center;mso-position-horizontal-relative:margin;mso-position-vertical:center;mso-position-vertical-relative:margin;mso-width-percent:0;mso-height-percent:0" o:allowincell="f">
          <v:imagedata r:id="rId1" o:title="EFL-To-Sie-Uda-Papier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2B50" w14:textId="444B61B7" w:rsidR="00E55FF4" w:rsidRDefault="003D353A">
    <w:pPr>
      <w:pStyle w:val="Nagwek"/>
    </w:pPr>
    <w:r>
      <w:rPr>
        <w:noProof/>
        <w:lang w:eastAsia="pl-PL"/>
      </w:rPr>
      <w:pict w14:anchorId="4F9E2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FL-To-Sie-Uda-PapierFirmowy" style="position:absolute;margin-left:-35.15pt;margin-top:-87.4pt;width:595.75pt;height:842pt;z-index:-251655168;mso-wrap-edited:f;mso-width-percent:0;mso-height-percent:0;mso-position-horizontal-relative:margin;mso-position-vertical-relative:margin;mso-width-percent:0;mso-height-percent:0" o:allowincell="f">
          <v:imagedata r:id="rId1" o:title="EFL-To-Sie-Uda-PapierFir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6DE4" w14:textId="77777777" w:rsidR="00C570A9" w:rsidRDefault="003D353A">
    <w:pPr>
      <w:pStyle w:val="Nagwek"/>
    </w:pPr>
    <w:r>
      <w:rPr>
        <w:noProof/>
        <w:lang w:eastAsia="pl-PL"/>
      </w:rPr>
      <w:pict w14:anchorId="01CB9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FL-To-Sie-Uda-PapierFirmowy" style="position:absolute;margin-left:0;margin-top:0;width:595.75pt;height:842pt;z-index:-251656192;mso-wrap-edited:f;mso-width-percent:0;mso-height-percent:0;mso-position-horizontal:center;mso-position-horizontal-relative:margin;mso-position-vertical:center;mso-position-vertical-relative:margin;mso-width-percent:0;mso-height-percent:0" o:allowincell="f">
          <v:imagedata r:id="rId1" o:title="EFL-To-Sie-Uda-Papier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029C6"/>
    <w:multiLevelType w:val="hybridMultilevel"/>
    <w:tmpl w:val="9A1CB698"/>
    <w:lvl w:ilvl="0" w:tplc="90F8239E">
      <w:start w:val="1"/>
      <w:numFmt w:val="bullet"/>
      <w:lvlText w:val="•"/>
      <w:lvlJc w:val="left"/>
      <w:pPr>
        <w:tabs>
          <w:tab w:val="num" w:pos="720"/>
        </w:tabs>
        <w:ind w:left="720" w:hanging="360"/>
      </w:pPr>
      <w:rPr>
        <w:rFonts w:ascii="Arial" w:hAnsi="Arial" w:hint="default"/>
      </w:rPr>
    </w:lvl>
    <w:lvl w:ilvl="1" w:tplc="E76E08A6" w:tentative="1">
      <w:start w:val="1"/>
      <w:numFmt w:val="bullet"/>
      <w:lvlText w:val="•"/>
      <w:lvlJc w:val="left"/>
      <w:pPr>
        <w:tabs>
          <w:tab w:val="num" w:pos="1440"/>
        </w:tabs>
        <w:ind w:left="1440" w:hanging="360"/>
      </w:pPr>
      <w:rPr>
        <w:rFonts w:ascii="Arial" w:hAnsi="Arial" w:hint="default"/>
      </w:rPr>
    </w:lvl>
    <w:lvl w:ilvl="2" w:tplc="3D10F694" w:tentative="1">
      <w:start w:val="1"/>
      <w:numFmt w:val="bullet"/>
      <w:lvlText w:val="•"/>
      <w:lvlJc w:val="left"/>
      <w:pPr>
        <w:tabs>
          <w:tab w:val="num" w:pos="2160"/>
        </w:tabs>
        <w:ind w:left="2160" w:hanging="360"/>
      </w:pPr>
      <w:rPr>
        <w:rFonts w:ascii="Arial" w:hAnsi="Arial" w:hint="default"/>
      </w:rPr>
    </w:lvl>
    <w:lvl w:ilvl="3" w:tplc="0F988A2E" w:tentative="1">
      <w:start w:val="1"/>
      <w:numFmt w:val="bullet"/>
      <w:lvlText w:val="•"/>
      <w:lvlJc w:val="left"/>
      <w:pPr>
        <w:tabs>
          <w:tab w:val="num" w:pos="2880"/>
        </w:tabs>
        <w:ind w:left="2880" w:hanging="360"/>
      </w:pPr>
      <w:rPr>
        <w:rFonts w:ascii="Arial" w:hAnsi="Arial" w:hint="default"/>
      </w:rPr>
    </w:lvl>
    <w:lvl w:ilvl="4" w:tplc="7E52AD0C" w:tentative="1">
      <w:start w:val="1"/>
      <w:numFmt w:val="bullet"/>
      <w:lvlText w:val="•"/>
      <w:lvlJc w:val="left"/>
      <w:pPr>
        <w:tabs>
          <w:tab w:val="num" w:pos="3600"/>
        </w:tabs>
        <w:ind w:left="3600" w:hanging="360"/>
      </w:pPr>
      <w:rPr>
        <w:rFonts w:ascii="Arial" w:hAnsi="Arial" w:hint="default"/>
      </w:rPr>
    </w:lvl>
    <w:lvl w:ilvl="5" w:tplc="10E699EE" w:tentative="1">
      <w:start w:val="1"/>
      <w:numFmt w:val="bullet"/>
      <w:lvlText w:val="•"/>
      <w:lvlJc w:val="left"/>
      <w:pPr>
        <w:tabs>
          <w:tab w:val="num" w:pos="4320"/>
        </w:tabs>
        <w:ind w:left="4320" w:hanging="360"/>
      </w:pPr>
      <w:rPr>
        <w:rFonts w:ascii="Arial" w:hAnsi="Arial" w:hint="default"/>
      </w:rPr>
    </w:lvl>
    <w:lvl w:ilvl="6" w:tplc="B274BE36" w:tentative="1">
      <w:start w:val="1"/>
      <w:numFmt w:val="bullet"/>
      <w:lvlText w:val="•"/>
      <w:lvlJc w:val="left"/>
      <w:pPr>
        <w:tabs>
          <w:tab w:val="num" w:pos="5040"/>
        </w:tabs>
        <w:ind w:left="5040" w:hanging="360"/>
      </w:pPr>
      <w:rPr>
        <w:rFonts w:ascii="Arial" w:hAnsi="Arial" w:hint="default"/>
      </w:rPr>
    </w:lvl>
    <w:lvl w:ilvl="7" w:tplc="9072CD9C" w:tentative="1">
      <w:start w:val="1"/>
      <w:numFmt w:val="bullet"/>
      <w:lvlText w:val="•"/>
      <w:lvlJc w:val="left"/>
      <w:pPr>
        <w:tabs>
          <w:tab w:val="num" w:pos="5760"/>
        </w:tabs>
        <w:ind w:left="5760" w:hanging="360"/>
      </w:pPr>
      <w:rPr>
        <w:rFonts w:ascii="Arial" w:hAnsi="Arial" w:hint="default"/>
      </w:rPr>
    </w:lvl>
    <w:lvl w:ilvl="8" w:tplc="7EF4EE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E1"/>
    <w:rsid w:val="00013546"/>
    <w:rsid w:val="0002721D"/>
    <w:rsid w:val="00037E48"/>
    <w:rsid w:val="00097B6C"/>
    <w:rsid w:val="000A4C6D"/>
    <w:rsid w:val="000B664A"/>
    <w:rsid w:val="000B6E92"/>
    <w:rsid w:val="000C2D2F"/>
    <w:rsid w:val="000D0E76"/>
    <w:rsid w:val="000E71C3"/>
    <w:rsid w:val="000F25F1"/>
    <w:rsid w:val="00104283"/>
    <w:rsid w:val="001402B0"/>
    <w:rsid w:val="0015641E"/>
    <w:rsid w:val="001625BA"/>
    <w:rsid w:val="00163717"/>
    <w:rsid w:val="001710D9"/>
    <w:rsid w:val="00185875"/>
    <w:rsid w:val="001878B9"/>
    <w:rsid w:val="00195C3D"/>
    <w:rsid w:val="001960AB"/>
    <w:rsid w:val="0019656C"/>
    <w:rsid w:val="001B6C8B"/>
    <w:rsid w:val="001C7529"/>
    <w:rsid w:val="001E43E1"/>
    <w:rsid w:val="001E5191"/>
    <w:rsid w:val="001E5347"/>
    <w:rsid w:val="00200215"/>
    <w:rsid w:val="002075AC"/>
    <w:rsid w:val="00281BB2"/>
    <w:rsid w:val="002A7699"/>
    <w:rsid w:val="002B13DA"/>
    <w:rsid w:val="002C2F8A"/>
    <w:rsid w:val="002D024C"/>
    <w:rsid w:val="002F34E3"/>
    <w:rsid w:val="00320753"/>
    <w:rsid w:val="00355157"/>
    <w:rsid w:val="00356651"/>
    <w:rsid w:val="003643EC"/>
    <w:rsid w:val="00390091"/>
    <w:rsid w:val="00395F6C"/>
    <w:rsid w:val="003A7143"/>
    <w:rsid w:val="003B3467"/>
    <w:rsid w:val="003B3ABA"/>
    <w:rsid w:val="003C39AA"/>
    <w:rsid w:val="003D353A"/>
    <w:rsid w:val="003F5E6E"/>
    <w:rsid w:val="004008B6"/>
    <w:rsid w:val="004064E1"/>
    <w:rsid w:val="00415AB4"/>
    <w:rsid w:val="00421F4E"/>
    <w:rsid w:val="00427876"/>
    <w:rsid w:val="004444E9"/>
    <w:rsid w:val="00450EDB"/>
    <w:rsid w:val="0045190B"/>
    <w:rsid w:val="004521D9"/>
    <w:rsid w:val="00462841"/>
    <w:rsid w:val="0047278E"/>
    <w:rsid w:val="00491522"/>
    <w:rsid w:val="004A48B2"/>
    <w:rsid w:val="004C0092"/>
    <w:rsid w:val="004C14C8"/>
    <w:rsid w:val="004C1E52"/>
    <w:rsid w:val="00504743"/>
    <w:rsid w:val="00505A17"/>
    <w:rsid w:val="00510930"/>
    <w:rsid w:val="00515563"/>
    <w:rsid w:val="0052001E"/>
    <w:rsid w:val="00533811"/>
    <w:rsid w:val="00551B3E"/>
    <w:rsid w:val="00575566"/>
    <w:rsid w:val="0058157A"/>
    <w:rsid w:val="00587E6B"/>
    <w:rsid w:val="00592069"/>
    <w:rsid w:val="005A71D6"/>
    <w:rsid w:val="005C67B7"/>
    <w:rsid w:val="005F1538"/>
    <w:rsid w:val="00617848"/>
    <w:rsid w:val="00620F83"/>
    <w:rsid w:val="00625A4D"/>
    <w:rsid w:val="006266B6"/>
    <w:rsid w:val="00637E9B"/>
    <w:rsid w:val="00642CEE"/>
    <w:rsid w:val="00652A31"/>
    <w:rsid w:val="006530E8"/>
    <w:rsid w:val="0066781D"/>
    <w:rsid w:val="00683F60"/>
    <w:rsid w:val="00696A78"/>
    <w:rsid w:val="006B1576"/>
    <w:rsid w:val="006B7305"/>
    <w:rsid w:val="006D691D"/>
    <w:rsid w:val="007316A9"/>
    <w:rsid w:val="0073610C"/>
    <w:rsid w:val="0074011B"/>
    <w:rsid w:val="00740977"/>
    <w:rsid w:val="00740AC9"/>
    <w:rsid w:val="00750A27"/>
    <w:rsid w:val="00750EBF"/>
    <w:rsid w:val="00757CAD"/>
    <w:rsid w:val="007732DD"/>
    <w:rsid w:val="00773FBF"/>
    <w:rsid w:val="0078402B"/>
    <w:rsid w:val="007B1B5A"/>
    <w:rsid w:val="007D72D0"/>
    <w:rsid w:val="007E5C98"/>
    <w:rsid w:val="007F46E4"/>
    <w:rsid w:val="007F739D"/>
    <w:rsid w:val="0080030A"/>
    <w:rsid w:val="008012C1"/>
    <w:rsid w:val="00836747"/>
    <w:rsid w:val="008471A7"/>
    <w:rsid w:val="0087017D"/>
    <w:rsid w:val="00883DF4"/>
    <w:rsid w:val="00885633"/>
    <w:rsid w:val="008A39BA"/>
    <w:rsid w:val="008D06D2"/>
    <w:rsid w:val="008D41E8"/>
    <w:rsid w:val="008F24A2"/>
    <w:rsid w:val="008F2FD0"/>
    <w:rsid w:val="008F77BF"/>
    <w:rsid w:val="00902893"/>
    <w:rsid w:val="0090356A"/>
    <w:rsid w:val="00907151"/>
    <w:rsid w:val="0092694F"/>
    <w:rsid w:val="009374C4"/>
    <w:rsid w:val="00960365"/>
    <w:rsid w:val="0096616A"/>
    <w:rsid w:val="00973315"/>
    <w:rsid w:val="00984FAB"/>
    <w:rsid w:val="009A0359"/>
    <w:rsid w:val="009A24E6"/>
    <w:rsid w:val="009B2C16"/>
    <w:rsid w:val="009B6545"/>
    <w:rsid w:val="009C2990"/>
    <w:rsid w:val="009C69A0"/>
    <w:rsid w:val="009D58BD"/>
    <w:rsid w:val="009E3E29"/>
    <w:rsid w:val="009F0FF2"/>
    <w:rsid w:val="009F25C4"/>
    <w:rsid w:val="00A20A52"/>
    <w:rsid w:val="00A232F3"/>
    <w:rsid w:val="00A261FF"/>
    <w:rsid w:val="00A300E2"/>
    <w:rsid w:val="00A3544C"/>
    <w:rsid w:val="00A37DF2"/>
    <w:rsid w:val="00A504D8"/>
    <w:rsid w:val="00A51BC3"/>
    <w:rsid w:val="00A57D55"/>
    <w:rsid w:val="00A77BFC"/>
    <w:rsid w:val="00A83C83"/>
    <w:rsid w:val="00AA1A56"/>
    <w:rsid w:val="00AA473D"/>
    <w:rsid w:val="00AB761F"/>
    <w:rsid w:val="00AD771D"/>
    <w:rsid w:val="00AE5DFF"/>
    <w:rsid w:val="00B00840"/>
    <w:rsid w:val="00B13FB9"/>
    <w:rsid w:val="00B302F1"/>
    <w:rsid w:val="00B37812"/>
    <w:rsid w:val="00B55952"/>
    <w:rsid w:val="00BA58C5"/>
    <w:rsid w:val="00BB3210"/>
    <w:rsid w:val="00C221AE"/>
    <w:rsid w:val="00C36346"/>
    <w:rsid w:val="00C52DE7"/>
    <w:rsid w:val="00C570A9"/>
    <w:rsid w:val="00C617B7"/>
    <w:rsid w:val="00C66E31"/>
    <w:rsid w:val="00C6741C"/>
    <w:rsid w:val="00C82D67"/>
    <w:rsid w:val="00C92906"/>
    <w:rsid w:val="00C93103"/>
    <w:rsid w:val="00C94F9B"/>
    <w:rsid w:val="00C964AB"/>
    <w:rsid w:val="00CA76BA"/>
    <w:rsid w:val="00CB1512"/>
    <w:rsid w:val="00CB3F3C"/>
    <w:rsid w:val="00CD38BA"/>
    <w:rsid w:val="00CD55D8"/>
    <w:rsid w:val="00CF705D"/>
    <w:rsid w:val="00D16C47"/>
    <w:rsid w:val="00D64860"/>
    <w:rsid w:val="00DB42D7"/>
    <w:rsid w:val="00DB64C4"/>
    <w:rsid w:val="00DC0B2B"/>
    <w:rsid w:val="00DD3F74"/>
    <w:rsid w:val="00DE09C6"/>
    <w:rsid w:val="00DF6619"/>
    <w:rsid w:val="00E07000"/>
    <w:rsid w:val="00E07578"/>
    <w:rsid w:val="00E105D7"/>
    <w:rsid w:val="00E16E45"/>
    <w:rsid w:val="00E26D5D"/>
    <w:rsid w:val="00E301AC"/>
    <w:rsid w:val="00E420BC"/>
    <w:rsid w:val="00E44F9E"/>
    <w:rsid w:val="00E53439"/>
    <w:rsid w:val="00E55FF4"/>
    <w:rsid w:val="00E800B7"/>
    <w:rsid w:val="00EA2D9F"/>
    <w:rsid w:val="00ED0AEC"/>
    <w:rsid w:val="00ED3203"/>
    <w:rsid w:val="00ED4DE4"/>
    <w:rsid w:val="00ED5E8A"/>
    <w:rsid w:val="00EE7800"/>
    <w:rsid w:val="00EE7E52"/>
    <w:rsid w:val="00EF1301"/>
    <w:rsid w:val="00F01868"/>
    <w:rsid w:val="00F03AD0"/>
    <w:rsid w:val="00F1269C"/>
    <w:rsid w:val="00F156E8"/>
    <w:rsid w:val="00F235C6"/>
    <w:rsid w:val="00F24096"/>
    <w:rsid w:val="00F27150"/>
    <w:rsid w:val="00F47780"/>
    <w:rsid w:val="00F560A3"/>
    <w:rsid w:val="00F623C2"/>
    <w:rsid w:val="00F65CD9"/>
    <w:rsid w:val="00F7027C"/>
    <w:rsid w:val="00F97083"/>
    <w:rsid w:val="00FA45B7"/>
    <w:rsid w:val="00FB4128"/>
    <w:rsid w:val="00FB4CE7"/>
    <w:rsid w:val="00FC66E1"/>
    <w:rsid w:val="00FF6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C469CA"/>
  <w15:docId w15:val="{9B461992-E81A-4407-A250-EA579B6F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40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5FF4"/>
    <w:pPr>
      <w:tabs>
        <w:tab w:val="center" w:pos="4536"/>
        <w:tab w:val="right" w:pos="9072"/>
      </w:tabs>
    </w:pPr>
  </w:style>
  <w:style w:type="character" w:customStyle="1" w:styleId="NagwekZnak">
    <w:name w:val="Nagłówek Znak"/>
    <w:basedOn w:val="Domylnaczcionkaakapitu"/>
    <w:link w:val="Nagwek"/>
    <w:uiPriority w:val="99"/>
    <w:rsid w:val="00E55FF4"/>
  </w:style>
  <w:style w:type="paragraph" w:styleId="Stopka">
    <w:name w:val="footer"/>
    <w:basedOn w:val="Normalny"/>
    <w:link w:val="StopkaZnak"/>
    <w:uiPriority w:val="99"/>
    <w:unhideWhenUsed/>
    <w:rsid w:val="00E55FF4"/>
    <w:pPr>
      <w:tabs>
        <w:tab w:val="center" w:pos="4536"/>
        <w:tab w:val="right" w:pos="9072"/>
      </w:tabs>
    </w:pPr>
  </w:style>
  <w:style w:type="character" w:customStyle="1" w:styleId="StopkaZnak">
    <w:name w:val="Stopka Znak"/>
    <w:basedOn w:val="Domylnaczcionkaakapitu"/>
    <w:link w:val="Stopka"/>
    <w:uiPriority w:val="99"/>
    <w:rsid w:val="00E55FF4"/>
  </w:style>
  <w:style w:type="paragraph" w:styleId="Tekstprzypisudolnego">
    <w:name w:val="footnote text"/>
    <w:basedOn w:val="Normalny"/>
    <w:link w:val="TekstprzypisudolnegoZnak"/>
    <w:uiPriority w:val="99"/>
    <w:semiHidden/>
    <w:unhideWhenUsed/>
    <w:rsid w:val="00AB761F"/>
    <w:rPr>
      <w:sz w:val="20"/>
      <w:szCs w:val="20"/>
    </w:rPr>
  </w:style>
  <w:style w:type="character" w:customStyle="1" w:styleId="TekstprzypisudolnegoZnak">
    <w:name w:val="Tekst przypisu dolnego Znak"/>
    <w:basedOn w:val="Domylnaczcionkaakapitu"/>
    <w:link w:val="Tekstprzypisudolnego"/>
    <w:uiPriority w:val="99"/>
    <w:semiHidden/>
    <w:rsid w:val="00AB761F"/>
    <w:rPr>
      <w:sz w:val="20"/>
      <w:szCs w:val="20"/>
    </w:rPr>
  </w:style>
  <w:style w:type="character" w:styleId="Odwoanieprzypisudolnego">
    <w:name w:val="footnote reference"/>
    <w:basedOn w:val="Domylnaczcionkaakapitu"/>
    <w:uiPriority w:val="99"/>
    <w:semiHidden/>
    <w:unhideWhenUsed/>
    <w:rsid w:val="00AB761F"/>
    <w:rPr>
      <w:vertAlign w:val="superscript"/>
    </w:rPr>
  </w:style>
  <w:style w:type="character" w:styleId="Hipercze">
    <w:name w:val="Hyperlink"/>
    <w:unhideWhenUsed/>
    <w:rsid w:val="00AB761F"/>
    <w:rPr>
      <w:color w:val="0000FF"/>
      <w:u w:val="single"/>
    </w:rPr>
  </w:style>
  <w:style w:type="character" w:styleId="Odwoaniedokomentarza">
    <w:name w:val="annotation reference"/>
    <w:basedOn w:val="Domylnaczcionkaakapitu"/>
    <w:uiPriority w:val="99"/>
    <w:semiHidden/>
    <w:unhideWhenUsed/>
    <w:rsid w:val="00A504D8"/>
    <w:rPr>
      <w:sz w:val="16"/>
      <w:szCs w:val="16"/>
    </w:rPr>
  </w:style>
  <w:style w:type="paragraph" w:styleId="Tekstkomentarza">
    <w:name w:val="annotation text"/>
    <w:basedOn w:val="Normalny"/>
    <w:link w:val="TekstkomentarzaZnak"/>
    <w:uiPriority w:val="99"/>
    <w:semiHidden/>
    <w:unhideWhenUsed/>
    <w:rsid w:val="00A504D8"/>
    <w:rPr>
      <w:sz w:val="20"/>
      <w:szCs w:val="20"/>
    </w:rPr>
  </w:style>
  <w:style w:type="character" w:customStyle="1" w:styleId="TekstkomentarzaZnak">
    <w:name w:val="Tekst komentarza Znak"/>
    <w:basedOn w:val="Domylnaczcionkaakapitu"/>
    <w:link w:val="Tekstkomentarza"/>
    <w:uiPriority w:val="99"/>
    <w:semiHidden/>
    <w:rsid w:val="00A504D8"/>
    <w:rPr>
      <w:sz w:val="20"/>
      <w:szCs w:val="20"/>
    </w:rPr>
  </w:style>
  <w:style w:type="paragraph" w:styleId="Tematkomentarza">
    <w:name w:val="annotation subject"/>
    <w:basedOn w:val="Tekstkomentarza"/>
    <w:next w:val="Tekstkomentarza"/>
    <w:link w:val="TematkomentarzaZnak"/>
    <w:uiPriority w:val="99"/>
    <w:semiHidden/>
    <w:unhideWhenUsed/>
    <w:rsid w:val="00A504D8"/>
    <w:rPr>
      <w:b/>
      <w:bCs/>
    </w:rPr>
  </w:style>
  <w:style w:type="character" w:customStyle="1" w:styleId="TematkomentarzaZnak">
    <w:name w:val="Temat komentarza Znak"/>
    <w:basedOn w:val="TekstkomentarzaZnak"/>
    <w:link w:val="Tematkomentarza"/>
    <w:uiPriority w:val="99"/>
    <w:semiHidden/>
    <w:rsid w:val="00A504D8"/>
    <w:rPr>
      <w:b/>
      <w:bCs/>
      <w:sz w:val="20"/>
      <w:szCs w:val="20"/>
    </w:rPr>
  </w:style>
  <w:style w:type="paragraph" w:styleId="Tekstdymka">
    <w:name w:val="Balloon Text"/>
    <w:basedOn w:val="Normalny"/>
    <w:link w:val="TekstdymkaZnak"/>
    <w:uiPriority w:val="99"/>
    <w:semiHidden/>
    <w:unhideWhenUsed/>
    <w:rsid w:val="00A504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4D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235C6"/>
    <w:rPr>
      <w:sz w:val="20"/>
      <w:szCs w:val="20"/>
    </w:rPr>
  </w:style>
  <w:style w:type="character" w:customStyle="1" w:styleId="TekstprzypisukocowegoZnak">
    <w:name w:val="Tekst przypisu końcowego Znak"/>
    <w:basedOn w:val="Domylnaczcionkaakapitu"/>
    <w:link w:val="Tekstprzypisukocowego"/>
    <w:uiPriority w:val="99"/>
    <w:semiHidden/>
    <w:rsid w:val="00F235C6"/>
    <w:rPr>
      <w:sz w:val="20"/>
      <w:szCs w:val="20"/>
    </w:rPr>
  </w:style>
  <w:style w:type="character" w:styleId="Odwoanieprzypisukocowego">
    <w:name w:val="endnote reference"/>
    <w:basedOn w:val="Domylnaczcionkaakapitu"/>
    <w:uiPriority w:val="99"/>
    <w:semiHidden/>
    <w:unhideWhenUsed/>
    <w:rsid w:val="00F235C6"/>
    <w:rPr>
      <w:vertAlign w:val="superscript"/>
    </w:rPr>
  </w:style>
  <w:style w:type="character" w:styleId="Uwydatnienie">
    <w:name w:val="Emphasis"/>
    <w:basedOn w:val="Domylnaczcionkaakapitu"/>
    <w:uiPriority w:val="20"/>
    <w:qFormat/>
    <w:rsid w:val="00F03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7439">
      <w:bodyDiv w:val="1"/>
      <w:marLeft w:val="0"/>
      <w:marRight w:val="0"/>
      <w:marTop w:val="0"/>
      <w:marBottom w:val="0"/>
      <w:divBdr>
        <w:top w:val="none" w:sz="0" w:space="0" w:color="auto"/>
        <w:left w:val="none" w:sz="0" w:space="0" w:color="auto"/>
        <w:bottom w:val="none" w:sz="0" w:space="0" w:color="auto"/>
        <w:right w:val="none" w:sz="0" w:space="0" w:color="auto"/>
      </w:divBdr>
    </w:div>
    <w:div w:id="421924406">
      <w:bodyDiv w:val="1"/>
      <w:marLeft w:val="0"/>
      <w:marRight w:val="0"/>
      <w:marTop w:val="0"/>
      <w:marBottom w:val="0"/>
      <w:divBdr>
        <w:top w:val="none" w:sz="0" w:space="0" w:color="auto"/>
        <w:left w:val="none" w:sz="0" w:space="0" w:color="auto"/>
        <w:bottom w:val="none" w:sz="0" w:space="0" w:color="auto"/>
        <w:right w:val="none" w:sz="0" w:space="0" w:color="auto"/>
      </w:divBdr>
    </w:div>
    <w:div w:id="885336294">
      <w:bodyDiv w:val="1"/>
      <w:marLeft w:val="0"/>
      <w:marRight w:val="0"/>
      <w:marTop w:val="0"/>
      <w:marBottom w:val="0"/>
      <w:divBdr>
        <w:top w:val="none" w:sz="0" w:space="0" w:color="auto"/>
        <w:left w:val="none" w:sz="0" w:space="0" w:color="auto"/>
        <w:bottom w:val="none" w:sz="0" w:space="0" w:color="auto"/>
        <w:right w:val="none" w:sz="0" w:space="0" w:color="auto"/>
      </w:divBdr>
    </w:div>
    <w:div w:id="999508261">
      <w:bodyDiv w:val="1"/>
      <w:marLeft w:val="0"/>
      <w:marRight w:val="0"/>
      <w:marTop w:val="0"/>
      <w:marBottom w:val="0"/>
      <w:divBdr>
        <w:top w:val="none" w:sz="0" w:space="0" w:color="auto"/>
        <w:left w:val="none" w:sz="0" w:space="0" w:color="auto"/>
        <w:bottom w:val="none" w:sz="0" w:space="0" w:color="auto"/>
        <w:right w:val="none" w:sz="0" w:space="0" w:color="auto"/>
      </w:divBdr>
    </w:div>
    <w:div w:id="1142381939">
      <w:bodyDiv w:val="1"/>
      <w:marLeft w:val="0"/>
      <w:marRight w:val="0"/>
      <w:marTop w:val="0"/>
      <w:marBottom w:val="0"/>
      <w:divBdr>
        <w:top w:val="none" w:sz="0" w:space="0" w:color="auto"/>
        <w:left w:val="none" w:sz="0" w:space="0" w:color="auto"/>
        <w:bottom w:val="none" w:sz="0" w:space="0" w:color="auto"/>
        <w:right w:val="none" w:sz="0" w:space="0" w:color="auto"/>
      </w:divBdr>
      <w:divsChild>
        <w:div w:id="1591352924">
          <w:marLeft w:val="446"/>
          <w:marRight w:val="0"/>
          <w:marTop w:val="0"/>
          <w:marBottom w:val="0"/>
          <w:divBdr>
            <w:top w:val="none" w:sz="0" w:space="0" w:color="auto"/>
            <w:left w:val="none" w:sz="0" w:space="0" w:color="auto"/>
            <w:bottom w:val="none" w:sz="0" w:space="0" w:color="auto"/>
            <w:right w:val="none" w:sz="0" w:space="0" w:color="auto"/>
          </w:divBdr>
        </w:div>
      </w:divsChild>
    </w:div>
    <w:div w:id="1423648850">
      <w:bodyDiv w:val="1"/>
      <w:marLeft w:val="0"/>
      <w:marRight w:val="0"/>
      <w:marTop w:val="0"/>
      <w:marBottom w:val="0"/>
      <w:divBdr>
        <w:top w:val="none" w:sz="0" w:space="0" w:color="auto"/>
        <w:left w:val="none" w:sz="0" w:space="0" w:color="auto"/>
        <w:bottom w:val="none" w:sz="0" w:space="0" w:color="auto"/>
        <w:right w:val="none" w:sz="0" w:space="0" w:color="auto"/>
      </w:divBdr>
    </w:div>
    <w:div w:id="1455556054">
      <w:bodyDiv w:val="1"/>
      <w:marLeft w:val="0"/>
      <w:marRight w:val="0"/>
      <w:marTop w:val="0"/>
      <w:marBottom w:val="0"/>
      <w:divBdr>
        <w:top w:val="none" w:sz="0" w:space="0" w:color="auto"/>
        <w:left w:val="none" w:sz="0" w:space="0" w:color="auto"/>
        <w:bottom w:val="none" w:sz="0" w:space="0" w:color="auto"/>
        <w:right w:val="none" w:sz="0" w:space="0" w:color="auto"/>
      </w:divBdr>
    </w:div>
    <w:div w:id="1540050865">
      <w:bodyDiv w:val="1"/>
      <w:marLeft w:val="0"/>
      <w:marRight w:val="0"/>
      <w:marTop w:val="0"/>
      <w:marBottom w:val="0"/>
      <w:divBdr>
        <w:top w:val="none" w:sz="0" w:space="0" w:color="auto"/>
        <w:left w:val="none" w:sz="0" w:space="0" w:color="auto"/>
        <w:bottom w:val="none" w:sz="0" w:space="0" w:color="auto"/>
        <w:right w:val="none" w:sz="0" w:space="0" w:color="auto"/>
      </w:divBdr>
    </w:div>
    <w:div w:id="1567301521">
      <w:bodyDiv w:val="1"/>
      <w:marLeft w:val="0"/>
      <w:marRight w:val="0"/>
      <w:marTop w:val="0"/>
      <w:marBottom w:val="0"/>
      <w:divBdr>
        <w:top w:val="none" w:sz="0" w:space="0" w:color="auto"/>
        <w:left w:val="none" w:sz="0" w:space="0" w:color="auto"/>
        <w:bottom w:val="none" w:sz="0" w:space="0" w:color="auto"/>
        <w:right w:val="none" w:sz="0" w:space="0" w:color="auto"/>
      </w:divBdr>
    </w:div>
    <w:div w:id="1931498519">
      <w:bodyDiv w:val="1"/>
      <w:marLeft w:val="0"/>
      <w:marRight w:val="0"/>
      <w:marTop w:val="0"/>
      <w:marBottom w:val="0"/>
      <w:divBdr>
        <w:top w:val="none" w:sz="0" w:space="0" w:color="auto"/>
        <w:left w:val="none" w:sz="0" w:space="0" w:color="auto"/>
        <w:bottom w:val="none" w:sz="0" w:space="0" w:color="auto"/>
        <w:right w:val="none" w:sz="0" w:space="0" w:color="auto"/>
      </w:divBdr>
    </w:div>
    <w:div w:id="2116173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a.lidke@efl.com.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23C6362C0D64A8EA9BBCE3467C3FA" ma:contentTypeVersion="1" ma:contentTypeDescription="Utwórz nowy dokument." ma:contentTypeScope="" ma:versionID="e278c82fb55b059082948336e2a5926c">
  <xsd:schema xmlns:xsd="http://www.w3.org/2001/XMLSchema" xmlns:xs="http://www.w3.org/2001/XMLSchema" xmlns:p="http://schemas.microsoft.com/office/2006/metadata/properties" xmlns:ns2="f9654d01-3c3b-4dd3-abec-1afffd83b5ce" targetNamespace="http://schemas.microsoft.com/office/2006/metadata/properties" ma:root="true" ma:fieldsID="231a1ae8981fb99cbaa102e510d84ee2" ns2:_="">
    <xsd:import namespace="f9654d01-3c3b-4dd3-abec-1afffd83b5ce"/>
    <xsd:element name="properties">
      <xsd:complexType>
        <xsd:sequence>
          <xsd:element name="documentManagement">
            <xsd:complexType>
              <xsd:all>
                <xsd:element ref="ns2:Rodza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54d01-3c3b-4dd3-abec-1afffd83b5ce" elementFormDefault="qualified">
    <xsd:import namespace="http://schemas.microsoft.com/office/2006/documentManagement/types"/>
    <xsd:import namespace="http://schemas.microsoft.com/office/infopath/2007/PartnerControls"/>
    <xsd:element name="Rodzaj" ma:index="8" nillable="true" ma:displayName="Rodzaj" ma:internalName="Rodza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dzaj xmlns="f9654d01-3c3b-4dd3-abec-1afffd83b5ce">Logo i szablony dokumentów</Rodzaj>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0296A1-1FEB-41BC-B5B4-55175037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54d01-3c3b-4dd3-abec-1afffd83b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C1008-E18C-4962-AD19-2870D490DCAE}">
  <ds:schemaRefs>
    <ds:schemaRef ds:uri="http://schemas.microsoft.com/office/2006/metadata/properties"/>
    <ds:schemaRef ds:uri="http://schemas.microsoft.com/office/infopath/2007/PartnerControls"/>
    <ds:schemaRef ds:uri="f9654d01-3c3b-4dd3-abec-1afffd83b5ce"/>
  </ds:schemaRefs>
</ds:datastoreItem>
</file>

<file path=customXml/itemProps3.xml><?xml version="1.0" encoding="utf-8"?>
<ds:datastoreItem xmlns:ds="http://schemas.openxmlformats.org/officeDocument/2006/customXml" ds:itemID="{F31BF218-2C33-47DE-BA81-D34E9A5706D1}">
  <ds:schemaRefs>
    <ds:schemaRef ds:uri="http://schemas.microsoft.com/sharepoint/v3/contenttype/forms"/>
  </ds:schemaRefs>
</ds:datastoreItem>
</file>

<file path=customXml/itemProps4.xml><?xml version="1.0" encoding="utf-8"?>
<ds:datastoreItem xmlns:ds="http://schemas.openxmlformats.org/officeDocument/2006/customXml" ds:itemID="{2061F577-E951-4D18-A00F-59B70935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825</Words>
  <Characters>4950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Europejski Fundusz Leasingowy SA</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Przemyslaw Lorenc</dc:creator>
  <cp:lastModifiedBy>Maja Lidke</cp:lastModifiedBy>
  <cp:revision>65</cp:revision>
  <dcterms:created xsi:type="dcterms:W3CDTF">2021-04-13T09:33:00Z</dcterms:created>
  <dcterms:modified xsi:type="dcterms:W3CDTF">2021-10-19T13:08:00Z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0x010100C2523C6362C0D64A8EA9BBCE3467C3FA</vt:lpwstr>
  </property>
</Properties>
</file>