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F1F2" w14:textId="77777777" w:rsidR="002369BF" w:rsidRDefault="002369BF" w:rsidP="00CD113F">
      <w:pPr>
        <w:spacing w:after="240"/>
        <w:ind w:left="6372"/>
        <w:rPr>
          <w:sz w:val="22"/>
        </w:rPr>
      </w:pPr>
    </w:p>
    <w:p w14:paraId="716C7A69" w14:textId="5E8C05CE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B627CF">
        <w:rPr>
          <w:sz w:val="22"/>
        </w:rPr>
        <w:t xml:space="preserve"> </w:t>
      </w:r>
      <w:r w:rsidR="00F36840">
        <w:rPr>
          <w:sz w:val="22"/>
        </w:rPr>
        <w:t>08</w:t>
      </w:r>
      <w:r w:rsidR="00A50BDB">
        <w:rPr>
          <w:sz w:val="22"/>
        </w:rPr>
        <w:t>.0</w:t>
      </w:r>
      <w:r w:rsidR="00C56BB6">
        <w:rPr>
          <w:sz w:val="22"/>
        </w:rPr>
        <w:t>4</w:t>
      </w:r>
      <w:r w:rsidR="00A50BDB">
        <w:rPr>
          <w:sz w:val="22"/>
        </w:rPr>
        <w:t>.</w:t>
      </w:r>
      <w:r>
        <w:rPr>
          <w:sz w:val="22"/>
        </w:rPr>
        <w:t>202</w:t>
      </w:r>
      <w:r w:rsidR="00281D31">
        <w:rPr>
          <w:sz w:val="22"/>
        </w:rPr>
        <w:t>2</w:t>
      </w:r>
      <w:r w:rsidR="00B627CF">
        <w:rPr>
          <w:sz w:val="22"/>
        </w:rPr>
        <w:t xml:space="preserve"> </w:t>
      </w:r>
      <w:r>
        <w:rPr>
          <w:sz w:val="22"/>
        </w:rPr>
        <w:t>r.</w:t>
      </w:r>
      <w:r w:rsidR="00B627CF">
        <w:rPr>
          <w:sz w:val="22"/>
        </w:rPr>
        <w:t xml:space="preserve">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529366E5" w14:textId="77777777" w:rsidR="00353998" w:rsidRDefault="00353998" w:rsidP="00427D89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3D77BDF" w14:textId="1013D61C" w:rsidR="00427D89" w:rsidRPr="000C605D" w:rsidRDefault="00281D31" w:rsidP="00DA7279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Deloitte</w:t>
      </w:r>
      <w:r w:rsidR="00427D89" w:rsidRPr="000C60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13B2D">
        <w:rPr>
          <w:rFonts w:ascii="Calibri" w:hAnsi="Calibri" w:cs="Calibri"/>
          <w:b/>
          <w:bCs/>
          <w:sz w:val="28"/>
          <w:szCs w:val="28"/>
        </w:rPr>
        <w:t>dołącza do grona partnerów BIK</w:t>
      </w:r>
      <w:r w:rsidR="007A0E1F">
        <w:rPr>
          <w:rFonts w:ascii="Calibri" w:hAnsi="Calibri" w:cs="Calibri"/>
          <w:b/>
          <w:bCs/>
          <w:sz w:val="28"/>
          <w:szCs w:val="28"/>
        </w:rPr>
        <w:t xml:space="preserve"> Open API</w:t>
      </w:r>
    </w:p>
    <w:p w14:paraId="51CACF5D" w14:textId="77777777" w:rsidR="009E5226" w:rsidRDefault="009E5226" w:rsidP="00DA7279">
      <w:pPr>
        <w:jc w:val="both"/>
        <w:rPr>
          <w:rFonts w:eastAsiaTheme="majorEastAsia" w:cstheme="majorBidi"/>
          <w:b/>
          <w:bCs/>
          <w:color w:val="auto"/>
          <w:sz w:val="28"/>
          <w:szCs w:val="28"/>
          <w:lang w:eastAsia="pl-PL"/>
        </w:rPr>
      </w:pPr>
    </w:p>
    <w:p w14:paraId="014E2F44" w14:textId="386E2F31" w:rsidR="006A4917" w:rsidRPr="00F522E6" w:rsidRDefault="00281D31" w:rsidP="00DA7279">
      <w:pPr>
        <w:jc w:val="both"/>
        <w:rPr>
          <w:rFonts w:cstheme="minorHAnsi"/>
          <w:b/>
          <w:bCs/>
          <w:sz w:val="22"/>
        </w:rPr>
      </w:pPr>
      <w:r w:rsidRPr="00954A6F">
        <w:rPr>
          <w:rFonts w:cstheme="minorHAnsi"/>
          <w:b/>
          <w:bCs/>
          <w:color w:val="auto"/>
          <w:sz w:val="22"/>
        </w:rPr>
        <w:t xml:space="preserve">Deloitte </w:t>
      </w:r>
      <w:r w:rsidR="0048414A" w:rsidRPr="00F522E6">
        <w:rPr>
          <w:rFonts w:cstheme="minorHAnsi"/>
          <w:b/>
          <w:bCs/>
          <w:sz w:val="22"/>
        </w:rPr>
        <w:t xml:space="preserve">i </w:t>
      </w:r>
      <w:r w:rsidR="002337CC" w:rsidRPr="00F522E6">
        <w:rPr>
          <w:rFonts w:cstheme="minorHAnsi"/>
          <w:b/>
          <w:bCs/>
          <w:sz w:val="22"/>
        </w:rPr>
        <w:t xml:space="preserve">Biuro Informacji Kredytowej </w:t>
      </w:r>
      <w:r w:rsidR="00C34B2D" w:rsidRPr="00F522E6">
        <w:rPr>
          <w:rFonts w:cstheme="minorHAnsi"/>
          <w:b/>
          <w:bCs/>
          <w:sz w:val="22"/>
        </w:rPr>
        <w:t>podpisały</w:t>
      </w:r>
      <w:r w:rsidR="002337CC" w:rsidRPr="00F522E6">
        <w:rPr>
          <w:rFonts w:cstheme="minorHAnsi"/>
          <w:b/>
          <w:bCs/>
          <w:sz w:val="22"/>
        </w:rPr>
        <w:t xml:space="preserve"> </w:t>
      </w:r>
      <w:r w:rsidR="001B19D9" w:rsidRPr="00F522E6">
        <w:rPr>
          <w:rFonts w:cstheme="minorHAnsi"/>
          <w:b/>
          <w:bCs/>
          <w:sz w:val="22"/>
        </w:rPr>
        <w:t>porozumieni</w:t>
      </w:r>
      <w:r w:rsidR="002337CC" w:rsidRPr="00F522E6">
        <w:rPr>
          <w:rFonts w:cstheme="minorHAnsi"/>
          <w:b/>
          <w:bCs/>
          <w:sz w:val="22"/>
        </w:rPr>
        <w:t>e o współpracy strategicznej</w:t>
      </w:r>
      <w:r w:rsidR="006A4917" w:rsidRPr="00F522E6">
        <w:rPr>
          <w:rFonts w:cstheme="minorHAnsi"/>
          <w:b/>
          <w:bCs/>
          <w:sz w:val="22"/>
        </w:rPr>
        <w:t xml:space="preserve"> i merytorycznej</w:t>
      </w:r>
      <w:r w:rsidR="00D23930" w:rsidRPr="00F522E6">
        <w:rPr>
          <w:rFonts w:cstheme="minorHAnsi"/>
          <w:b/>
          <w:bCs/>
          <w:sz w:val="22"/>
        </w:rPr>
        <w:t>.</w:t>
      </w:r>
      <w:r w:rsidR="002337CC" w:rsidRPr="00F522E6">
        <w:rPr>
          <w:rFonts w:cstheme="minorHAnsi"/>
          <w:b/>
          <w:bCs/>
          <w:sz w:val="22"/>
        </w:rPr>
        <w:t xml:space="preserve"> </w:t>
      </w:r>
      <w:r w:rsidR="00D23930" w:rsidRPr="00F522E6">
        <w:rPr>
          <w:rFonts w:cstheme="minorHAnsi"/>
          <w:b/>
          <w:bCs/>
          <w:sz w:val="22"/>
        </w:rPr>
        <w:t xml:space="preserve">Celem </w:t>
      </w:r>
      <w:r w:rsidR="004F7805" w:rsidRPr="00F522E6">
        <w:rPr>
          <w:rFonts w:cstheme="minorHAnsi"/>
          <w:b/>
          <w:bCs/>
          <w:sz w:val="22"/>
        </w:rPr>
        <w:t xml:space="preserve">startującego 8 kwietnia </w:t>
      </w:r>
      <w:r w:rsidR="00570C40" w:rsidRPr="00F522E6">
        <w:rPr>
          <w:rFonts w:cstheme="minorHAnsi"/>
          <w:b/>
          <w:bCs/>
          <w:sz w:val="22"/>
        </w:rPr>
        <w:t>partnerstw</w:t>
      </w:r>
      <w:r w:rsidR="00C2282F" w:rsidRPr="00F522E6">
        <w:rPr>
          <w:rFonts w:cstheme="minorHAnsi"/>
          <w:b/>
          <w:bCs/>
          <w:sz w:val="22"/>
        </w:rPr>
        <w:t>a jest wsparcie i promocja</w:t>
      </w:r>
      <w:r w:rsidR="00570C40" w:rsidRPr="00F522E6">
        <w:rPr>
          <w:rFonts w:cstheme="minorHAnsi"/>
          <w:b/>
          <w:bCs/>
          <w:sz w:val="22"/>
        </w:rPr>
        <w:t xml:space="preserve"> </w:t>
      </w:r>
      <w:r w:rsidRPr="00F522E6">
        <w:rPr>
          <w:rFonts w:cstheme="minorHAnsi"/>
          <w:b/>
          <w:bCs/>
          <w:sz w:val="22"/>
        </w:rPr>
        <w:t>Platformy BIK Open API</w:t>
      </w:r>
      <w:r w:rsidR="00C2282F" w:rsidRPr="00F522E6">
        <w:rPr>
          <w:rFonts w:cstheme="minorHAnsi"/>
          <w:b/>
          <w:bCs/>
          <w:sz w:val="22"/>
        </w:rPr>
        <w:t xml:space="preserve">, </w:t>
      </w:r>
      <w:r w:rsidR="004F7805" w:rsidRPr="00F522E6">
        <w:rPr>
          <w:rFonts w:cstheme="minorHAnsi"/>
          <w:b/>
          <w:bCs/>
          <w:sz w:val="22"/>
        </w:rPr>
        <w:t xml:space="preserve">pierwszej inicjatywy wdrożonej </w:t>
      </w:r>
      <w:r w:rsidR="00C2282F" w:rsidRPr="00F522E6">
        <w:rPr>
          <w:rFonts w:cstheme="minorHAnsi"/>
          <w:b/>
          <w:bCs/>
          <w:sz w:val="22"/>
        </w:rPr>
        <w:t xml:space="preserve">w ramach programu </w:t>
      </w:r>
      <w:r w:rsidRPr="00F522E6">
        <w:rPr>
          <w:rFonts w:cstheme="minorHAnsi"/>
          <w:b/>
          <w:bCs/>
          <w:sz w:val="22"/>
        </w:rPr>
        <w:t xml:space="preserve">piaskownicy technologicznej BIK HUB. </w:t>
      </w:r>
      <w:r w:rsidR="00C2282F" w:rsidRPr="00F522E6">
        <w:rPr>
          <w:rFonts w:cstheme="minorHAnsi"/>
          <w:b/>
          <w:bCs/>
          <w:sz w:val="22"/>
        </w:rPr>
        <w:t xml:space="preserve">Kompetencje doradcze i biznesowe ekspertów Deloitte </w:t>
      </w:r>
      <w:r w:rsidR="00D85594" w:rsidRPr="00F522E6">
        <w:rPr>
          <w:rFonts w:cstheme="minorHAnsi"/>
          <w:b/>
          <w:bCs/>
          <w:sz w:val="22"/>
        </w:rPr>
        <w:t xml:space="preserve">powiększają </w:t>
      </w:r>
      <w:r w:rsidR="00C2282F" w:rsidRPr="00F522E6">
        <w:rPr>
          <w:rFonts w:cstheme="minorHAnsi"/>
          <w:b/>
          <w:bCs/>
          <w:sz w:val="22"/>
        </w:rPr>
        <w:t xml:space="preserve">pakiet korzyści </w:t>
      </w:r>
      <w:r w:rsidR="00D85594" w:rsidRPr="00F522E6">
        <w:rPr>
          <w:rFonts w:cstheme="minorHAnsi"/>
          <w:b/>
          <w:bCs/>
          <w:sz w:val="22"/>
        </w:rPr>
        <w:t xml:space="preserve">także </w:t>
      </w:r>
      <w:r w:rsidR="00C2282F" w:rsidRPr="00F522E6">
        <w:rPr>
          <w:rFonts w:cstheme="minorHAnsi"/>
          <w:b/>
          <w:bCs/>
          <w:sz w:val="22"/>
        </w:rPr>
        <w:t xml:space="preserve">dla podmiotów testujących swoje rozwiązania w piaskownicy BIK HUB. </w:t>
      </w:r>
    </w:p>
    <w:p w14:paraId="2794B9EC" w14:textId="0FAD54B6" w:rsidR="006A4917" w:rsidRPr="00F522E6" w:rsidRDefault="006A4917" w:rsidP="00DA7279">
      <w:pPr>
        <w:jc w:val="both"/>
        <w:rPr>
          <w:rFonts w:cstheme="minorHAnsi"/>
          <w:b/>
          <w:bCs/>
          <w:sz w:val="22"/>
        </w:rPr>
      </w:pPr>
    </w:p>
    <w:p w14:paraId="51F40342" w14:textId="603CF87D" w:rsidR="00A625FE" w:rsidRPr="00F522E6" w:rsidRDefault="007A0E1F" w:rsidP="00DA7279">
      <w:pPr>
        <w:jc w:val="both"/>
        <w:rPr>
          <w:rFonts w:cstheme="minorHAnsi"/>
          <w:sz w:val="22"/>
        </w:rPr>
      </w:pPr>
      <w:r w:rsidRPr="00F522E6">
        <w:rPr>
          <w:rFonts w:cstheme="minorHAnsi"/>
          <w:sz w:val="22"/>
        </w:rPr>
        <w:t xml:space="preserve">Poszerza się grono partnerów </w:t>
      </w:r>
      <w:r w:rsidR="00A625FE" w:rsidRPr="00F522E6">
        <w:rPr>
          <w:rFonts w:cstheme="minorHAnsi"/>
          <w:sz w:val="22"/>
        </w:rPr>
        <w:t xml:space="preserve">oraz zakres danych integrowanych na </w:t>
      </w:r>
      <w:r w:rsidRPr="00F522E6">
        <w:rPr>
          <w:rFonts w:cstheme="minorHAnsi"/>
          <w:sz w:val="22"/>
        </w:rPr>
        <w:t>Platform</w:t>
      </w:r>
      <w:r w:rsidR="00A625FE" w:rsidRPr="00F522E6">
        <w:rPr>
          <w:rFonts w:cstheme="minorHAnsi"/>
          <w:sz w:val="22"/>
        </w:rPr>
        <w:t>ie</w:t>
      </w:r>
      <w:r w:rsidRPr="00F522E6">
        <w:rPr>
          <w:rFonts w:cstheme="minorHAnsi"/>
          <w:sz w:val="22"/>
        </w:rPr>
        <w:t xml:space="preserve"> BIK Open API, </w:t>
      </w:r>
      <w:r w:rsidR="00A625FE" w:rsidRPr="00F522E6">
        <w:rPr>
          <w:rFonts w:cstheme="minorHAnsi"/>
          <w:sz w:val="22"/>
        </w:rPr>
        <w:t xml:space="preserve">pierwszej </w:t>
      </w:r>
      <w:r w:rsidRPr="00F522E6">
        <w:rPr>
          <w:rFonts w:cstheme="minorHAnsi"/>
          <w:sz w:val="22"/>
        </w:rPr>
        <w:t xml:space="preserve">inicjatywy w ramach piaskownicy technologicznej BIK HUB. </w:t>
      </w:r>
      <w:r w:rsidR="00A625FE" w:rsidRPr="00F522E6">
        <w:rPr>
          <w:rFonts w:cstheme="minorHAnsi"/>
          <w:sz w:val="22"/>
        </w:rPr>
        <w:t>M</w:t>
      </w:r>
      <w:r w:rsidR="00950454" w:rsidRPr="00F522E6">
        <w:rPr>
          <w:rFonts w:cstheme="minorHAnsi"/>
          <w:sz w:val="22"/>
        </w:rPr>
        <w:t>iędzynarodowa firma konsultingowa Deloitte</w:t>
      </w:r>
      <w:r w:rsidR="00D5616C" w:rsidRPr="00F522E6">
        <w:rPr>
          <w:rFonts w:cstheme="minorHAnsi"/>
          <w:sz w:val="22"/>
        </w:rPr>
        <w:t>, świadcząca usługi doradcze w wielu sektorach i dysponująca kompetencjami w różnych branżach</w:t>
      </w:r>
      <w:r w:rsidRPr="00F522E6">
        <w:rPr>
          <w:rFonts w:cstheme="minorHAnsi"/>
          <w:sz w:val="22"/>
        </w:rPr>
        <w:t xml:space="preserve">, </w:t>
      </w:r>
      <w:r w:rsidR="00A625FE" w:rsidRPr="00F522E6">
        <w:rPr>
          <w:rFonts w:cstheme="minorHAnsi"/>
          <w:sz w:val="22"/>
        </w:rPr>
        <w:t>jako n</w:t>
      </w:r>
      <w:r w:rsidR="003E1302" w:rsidRPr="00F522E6">
        <w:rPr>
          <w:rFonts w:cstheme="minorHAnsi"/>
          <w:sz w:val="22"/>
        </w:rPr>
        <w:t>owy partner wzmocni swoim doświadczeniem dotychczasowe działania wokół BIK Open API</w:t>
      </w:r>
      <w:r w:rsidR="00A625FE" w:rsidRPr="00F522E6">
        <w:rPr>
          <w:rFonts w:cstheme="minorHAnsi"/>
          <w:sz w:val="22"/>
        </w:rPr>
        <w:t>.</w:t>
      </w:r>
      <w:r w:rsidR="00F06E11" w:rsidRPr="00F522E6">
        <w:rPr>
          <w:rFonts w:cstheme="minorHAnsi"/>
          <w:sz w:val="22"/>
        </w:rPr>
        <w:t xml:space="preserve"> </w:t>
      </w:r>
      <w:r w:rsidR="00A625FE" w:rsidRPr="00F522E6">
        <w:rPr>
          <w:rFonts w:cstheme="minorHAnsi"/>
          <w:sz w:val="22"/>
        </w:rPr>
        <w:t xml:space="preserve">Celem współpracy jest </w:t>
      </w:r>
      <w:r w:rsidR="004F7805" w:rsidRPr="00F522E6">
        <w:rPr>
          <w:rFonts w:cstheme="minorHAnsi"/>
          <w:sz w:val="22"/>
        </w:rPr>
        <w:t xml:space="preserve">zaangażowanie w proces </w:t>
      </w:r>
      <w:r w:rsidR="00A625FE" w:rsidRPr="00F522E6">
        <w:rPr>
          <w:rFonts w:cstheme="minorHAnsi"/>
          <w:sz w:val="22"/>
        </w:rPr>
        <w:t xml:space="preserve">rozwoju tej inicjatywy, proponowanie nowych obszarów testów, a co za tym idzie koncepcji nowych produktów i usług </w:t>
      </w:r>
      <w:r w:rsidR="004F7805" w:rsidRPr="00F522E6">
        <w:rPr>
          <w:rFonts w:cstheme="minorHAnsi"/>
          <w:sz w:val="22"/>
        </w:rPr>
        <w:t xml:space="preserve">budowanych dzięki danym zgromadzonym w ramach </w:t>
      </w:r>
      <w:r w:rsidR="00F522E6" w:rsidRPr="00F522E6">
        <w:rPr>
          <w:rFonts w:cstheme="minorHAnsi"/>
          <w:sz w:val="22"/>
        </w:rPr>
        <w:t>P</w:t>
      </w:r>
      <w:r w:rsidR="004F7805" w:rsidRPr="00F522E6">
        <w:rPr>
          <w:rFonts w:cstheme="minorHAnsi"/>
          <w:sz w:val="22"/>
        </w:rPr>
        <w:t>latformy BIK Open API</w:t>
      </w:r>
      <w:r w:rsidR="00A625FE" w:rsidRPr="00F522E6">
        <w:rPr>
          <w:rFonts w:cstheme="minorHAnsi"/>
          <w:sz w:val="22"/>
        </w:rPr>
        <w:t xml:space="preserve">. </w:t>
      </w:r>
    </w:p>
    <w:p w14:paraId="16117F51" w14:textId="50EC3D4B" w:rsidR="00F06E11" w:rsidRPr="00C56BB6" w:rsidRDefault="00F06E11" w:rsidP="00DA7279">
      <w:pPr>
        <w:shd w:val="clear" w:color="auto" w:fill="FEFEFE"/>
        <w:spacing w:before="100" w:beforeAutospacing="1" w:after="100" w:afterAutospacing="1"/>
        <w:jc w:val="both"/>
        <w:rPr>
          <w:rFonts w:cstheme="minorHAnsi"/>
          <w:sz w:val="22"/>
        </w:rPr>
      </w:pPr>
      <w:r w:rsidRPr="00954A6F">
        <w:rPr>
          <w:rFonts w:cstheme="minorHAnsi"/>
          <w:color w:val="000000"/>
          <w:sz w:val="22"/>
          <w:lang w:eastAsia="pl-PL"/>
        </w:rPr>
        <w:t xml:space="preserve">- </w:t>
      </w:r>
      <w:r w:rsidRPr="00954A6F">
        <w:rPr>
          <w:rFonts w:cstheme="minorHAnsi"/>
          <w:i/>
          <w:iCs/>
          <w:color w:val="000000"/>
          <w:sz w:val="22"/>
          <w:lang w:eastAsia="pl-PL"/>
        </w:rPr>
        <w:t xml:space="preserve">Dzięki współpracy z Deloitte wzmacniamy technologiczną wartość oraz merytoryczny charakter pilotażu </w:t>
      </w:r>
      <w:r w:rsidR="00F522E6" w:rsidRPr="00954A6F">
        <w:rPr>
          <w:rFonts w:cstheme="minorHAnsi"/>
          <w:i/>
          <w:iCs/>
          <w:color w:val="000000"/>
          <w:sz w:val="22"/>
          <w:lang w:eastAsia="pl-PL"/>
        </w:rPr>
        <w:t>P</w:t>
      </w:r>
      <w:r w:rsidRPr="00954A6F">
        <w:rPr>
          <w:rFonts w:cstheme="minorHAnsi"/>
          <w:i/>
          <w:iCs/>
          <w:color w:val="000000"/>
          <w:sz w:val="22"/>
          <w:lang w:eastAsia="pl-PL"/>
        </w:rPr>
        <w:t xml:space="preserve">latformy BIK Open API. Tym, co nas łączy jest misja społecznej odpowiedzialności biznesu, polegająca na tworzeniu szans rozwoju dla pomysłowych, zdolnych startupów czy fintechów – idea wspierania przedsiębiorców z różnych dziedzin gospodarki. W ramach platformy dostępowej BIK Open API, wspólnie możemy kreować nowe standardy wykorzystania i integracji danych. Merytoryczna wiedza i doświadczenie zarówno ekspertów BIK, jak i </w:t>
      </w:r>
      <w:r w:rsidR="00F522E6" w:rsidRPr="00954A6F">
        <w:rPr>
          <w:rFonts w:cstheme="minorHAnsi"/>
          <w:i/>
          <w:iCs/>
          <w:color w:val="000000"/>
          <w:sz w:val="22"/>
          <w:lang w:eastAsia="pl-PL"/>
        </w:rPr>
        <w:t>Deloitte</w:t>
      </w:r>
      <w:r w:rsidRPr="00954A6F">
        <w:rPr>
          <w:rFonts w:cstheme="minorHAnsi"/>
          <w:i/>
          <w:iCs/>
          <w:color w:val="000000"/>
          <w:sz w:val="22"/>
          <w:lang w:eastAsia="pl-PL"/>
        </w:rPr>
        <w:t>, będą służyć upowszechnianiu wiedzy o technologiach i edukacji w ramach planowanych w Programie BIK HUB spotkań, warsztatów innowacyjnych oraz wydarzeń, takich jak webinary</w:t>
      </w:r>
      <w:r w:rsidR="00F522E6" w:rsidRPr="00954A6F">
        <w:rPr>
          <w:rFonts w:cstheme="minorHAnsi"/>
          <w:i/>
          <w:iCs/>
          <w:color w:val="000000"/>
          <w:sz w:val="22"/>
          <w:lang w:eastAsia="pl-PL"/>
        </w:rPr>
        <w:t xml:space="preserve"> czy</w:t>
      </w:r>
      <w:r w:rsidRPr="00954A6F">
        <w:rPr>
          <w:rFonts w:cstheme="minorHAnsi"/>
          <w:i/>
          <w:iCs/>
          <w:color w:val="000000"/>
          <w:sz w:val="22"/>
          <w:lang w:eastAsia="pl-PL"/>
        </w:rPr>
        <w:t xml:space="preserve"> hackathony</w:t>
      </w:r>
      <w:r w:rsidR="00954A6F">
        <w:rPr>
          <w:rFonts w:cstheme="minorHAnsi"/>
          <w:color w:val="000000"/>
          <w:sz w:val="22"/>
          <w:lang w:eastAsia="pl-PL"/>
        </w:rPr>
        <w:t xml:space="preserve"> - </w:t>
      </w:r>
      <w:r w:rsidR="00954A6F" w:rsidRPr="00C56BB6">
        <w:rPr>
          <w:rFonts w:cstheme="minorHAnsi"/>
          <w:sz w:val="22"/>
        </w:rPr>
        <w:t>wyjaśnia dr Mariusz Cholewa, prezes zarządu Biura Informacji Kredytowej.</w:t>
      </w:r>
    </w:p>
    <w:p w14:paraId="055A5818" w14:textId="48D24EDB" w:rsidR="00950454" w:rsidRPr="00F522E6" w:rsidRDefault="00BE267C" w:rsidP="00DA7279">
      <w:pPr>
        <w:jc w:val="both"/>
        <w:rPr>
          <w:rFonts w:cstheme="minorHAnsi"/>
          <w:sz w:val="22"/>
        </w:rPr>
      </w:pPr>
      <w:r w:rsidRPr="00F522E6">
        <w:rPr>
          <w:rFonts w:cstheme="minorHAnsi"/>
          <w:sz w:val="22"/>
        </w:rPr>
        <w:t>W ramach realizacji porozumienia</w:t>
      </w:r>
      <w:r w:rsidR="00A43B36">
        <w:rPr>
          <w:rFonts w:cstheme="minorHAnsi"/>
          <w:sz w:val="22"/>
        </w:rPr>
        <w:t>,</w:t>
      </w:r>
      <w:r w:rsidRPr="00F522E6">
        <w:rPr>
          <w:rFonts w:cstheme="minorHAnsi"/>
          <w:sz w:val="22"/>
        </w:rPr>
        <w:t xml:space="preserve"> Deloitte </w:t>
      </w:r>
      <w:r w:rsidRPr="00954A6F">
        <w:rPr>
          <w:rFonts w:eastAsia="Calibri" w:cstheme="minorHAnsi"/>
          <w:sz w:val="22"/>
        </w:rPr>
        <w:t>włączy się w konsultacje o charakterze biznesowym</w:t>
      </w:r>
      <w:r w:rsidRPr="00F522E6">
        <w:rPr>
          <w:rFonts w:cstheme="minorHAnsi"/>
          <w:sz w:val="22"/>
        </w:rPr>
        <w:t xml:space="preserve">, będzie również promować BIK Open API zarówno poprzez nabór uczestników, jak i wsparcie procesu testowania rozwiązań. </w:t>
      </w:r>
    </w:p>
    <w:p w14:paraId="46C3FADB" w14:textId="3CEDAAC3" w:rsidR="00A625FE" w:rsidRPr="00F522E6" w:rsidRDefault="00A625FE" w:rsidP="00DA7279">
      <w:pPr>
        <w:jc w:val="both"/>
        <w:rPr>
          <w:rFonts w:cstheme="minorHAnsi"/>
          <w:sz w:val="22"/>
        </w:rPr>
      </w:pPr>
    </w:p>
    <w:p w14:paraId="7B467272" w14:textId="0FCF6697" w:rsidR="00693B77" w:rsidRPr="00F522E6" w:rsidRDefault="00A625FE" w:rsidP="00DA7279">
      <w:pPr>
        <w:jc w:val="both"/>
        <w:rPr>
          <w:rFonts w:cstheme="minorHAnsi"/>
          <w:sz w:val="22"/>
        </w:rPr>
      </w:pPr>
      <w:r w:rsidRPr="00F522E6">
        <w:rPr>
          <w:rFonts w:cstheme="minorHAnsi"/>
          <w:sz w:val="22"/>
        </w:rPr>
        <w:t>Platforma BIK Open API to bezpieczna i nowatorska przestrzeń</w:t>
      </w:r>
      <w:r w:rsidR="002D1733" w:rsidRPr="00F522E6">
        <w:rPr>
          <w:rFonts w:cstheme="minorHAnsi"/>
          <w:sz w:val="22"/>
        </w:rPr>
        <w:t>, w której o</w:t>
      </w:r>
      <w:r w:rsidRPr="00F522E6">
        <w:rPr>
          <w:rFonts w:cstheme="minorHAnsi"/>
          <w:sz w:val="22"/>
        </w:rPr>
        <w:t xml:space="preserve">becnie już </w:t>
      </w:r>
      <w:r w:rsidR="00875D35" w:rsidRPr="00F522E6">
        <w:rPr>
          <w:rFonts w:cstheme="minorHAnsi"/>
          <w:sz w:val="22"/>
        </w:rPr>
        <w:t>kilkanaście</w:t>
      </w:r>
      <w:r w:rsidRPr="00F522E6">
        <w:rPr>
          <w:rFonts w:cstheme="minorHAnsi"/>
          <w:sz w:val="22"/>
        </w:rPr>
        <w:t xml:space="preserve"> podmiotów testuje lub prototypuje swoje rozwiązania, korzystając z szerokiego wachlarza informacji. </w:t>
      </w:r>
      <w:r w:rsidR="00F7797F" w:rsidRPr="00F522E6">
        <w:rPr>
          <w:rFonts w:cstheme="minorHAnsi"/>
          <w:sz w:val="22"/>
        </w:rPr>
        <w:t xml:space="preserve">Dzięki  prostemu dostępowi w ramach BIK Open API </w:t>
      </w:r>
      <w:r w:rsidRPr="00F522E6">
        <w:rPr>
          <w:rFonts w:cstheme="minorHAnsi"/>
          <w:sz w:val="22"/>
        </w:rPr>
        <w:t>do danych</w:t>
      </w:r>
      <w:r w:rsidR="002D1733" w:rsidRPr="00F522E6">
        <w:rPr>
          <w:rFonts w:cstheme="minorHAnsi"/>
          <w:sz w:val="22"/>
        </w:rPr>
        <w:t xml:space="preserve"> zintegrowanych z wielu źródeł, </w:t>
      </w:r>
      <w:r w:rsidRPr="00F522E6">
        <w:rPr>
          <w:rFonts w:cstheme="minorHAnsi"/>
          <w:sz w:val="22"/>
        </w:rPr>
        <w:t xml:space="preserve">w jednym punkcie </w:t>
      </w:r>
      <w:r w:rsidR="00F7797F" w:rsidRPr="00F522E6">
        <w:rPr>
          <w:rFonts w:cstheme="minorHAnsi"/>
          <w:sz w:val="22"/>
        </w:rPr>
        <w:t>możliwe jest</w:t>
      </w:r>
      <w:r w:rsidR="002D1733" w:rsidRPr="00F522E6">
        <w:rPr>
          <w:rFonts w:cstheme="minorHAnsi"/>
          <w:sz w:val="22"/>
        </w:rPr>
        <w:t xml:space="preserve"> </w:t>
      </w:r>
      <w:r w:rsidR="00F7797F" w:rsidRPr="00F522E6">
        <w:rPr>
          <w:rFonts w:cstheme="minorHAnsi"/>
          <w:sz w:val="22"/>
        </w:rPr>
        <w:t xml:space="preserve">tworzenie i </w:t>
      </w:r>
      <w:r w:rsidR="002D1733" w:rsidRPr="00F522E6">
        <w:rPr>
          <w:rFonts w:cstheme="minorHAnsi"/>
          <w:sz w:val="22"/>
        </w:rPr>
        <w:t>testowani</w:t>
      </w:r>
      <w:r w:rsidR="00F7797F" w:rsidRPr="00F522E6">
        <w:rPr>
          <w:rFonts w:cstheme="minorHAnsi"/>
          <w:sz w:val="22"/>
        </w:rPr>
        <w:t>e</w:t>
      </w:r>
      <w:r w:rsidR="002D1733" w:rsidRPr="00F522E6">
        <w:rPr>
          <w:rFonts w:cstheme="minorHAnsi"/>
          <w:sz w:val="22"/>
        </w:rPr>
        <w:t xml:space="preserve"> rozwiązań </w:t>
      </w:r>
      <w:r w:rsidR="002D471A" w:rsidRPr="00F522E6">
        <w:rPr>
          <w:rFonts w:cstheme="minorHAnsi"/>
          <w:sz w:val="22"/>
        </w:rPr>
        <w:t>opartych o dane z</w:t>
      </w:r>
      <w:r w:rsidR="002D1733" w:rsidRPr="00F522E6">
        <w:rPr>
          <w:rFonts w:cstheme="minorHAnsi"/>
          <w:sz w:val="22"/>
        </w:rPr>
        <w:t xml:space="preserve"> </w:t>
      </w:r>
      <w:r w:rsidRPr="00F522E6">
        <w:rPr>
          <w:rFonts w:cstheme="minorHAnsi"/>
          <w:sz w:val="22"/>
        </w:rPr>
        <w:t>obszar</w:t>
      </w:r>
      <w:r w:rsidR="002D471A" w:rsidRPr="00F522E6">
        <w:rPr>
          <w:rFonts w:cstheme="minorHAnsi"/>
          <w:sz w:val="22"/>
        </w:rPr>
        <w:t>ów</w:t>
      </w:r>
      <w:r w:rsidR="002D1733" w:rsidRPr="00F522E6">
        <w:rPr>
          <w:rFonts w:cstheme="minorHAnsi"/>
          <w:sz w:val="22"/>
        </w:rPr>
        <w:t xml:space="preserve"> </w:t>
      </w:r>
      <w:r w:rsidRPr="00F522E6">
        <w:rPr>
          <w:rFonts w:cstheme="minorHAnsi"/>
          <w:sz w:val="22"/>
        </w:rPr>
        <w:t>nieruchomości,</w:t>
      </w:r>
      <w:r w:rsidR="002D1733" w:rsidRPr="00F522E6">
        <w:rPr>
          <w:rFonts w:cstheme="minorHAnsi"/>
          <w:sz w:val="22"/>
        </w:rPr>
        <w:t xml:space="preserve"> </w:t>
      </w:r>
      <w:r w:rsidRPr="00F522E6">
        <w:rPr>
          <w:rFonts w:cstheme="minorHAnsi"/>
          <w:sz w:val="22"/>
        </w:rPr>
        <w:t>finansów,</w:t>
      </w:r>
      <w:r w:rsidR="002D1733" w:rsidRPr="00F522E6">
        <w:rPr>
          <w:rFonts w:cstheme="minorHAnsi"/>
          <w:sz w:val="22"/>
        </w:rPr>
        <w:t xml:space="preserve"> </w:t>
      </w:r>
      <w:r w:rsidRPr="00F522E6">
        <w:rPr>
          <w:rFonts w:cstheme="minorHAnsi"/>
          <w:sz w:val="22"/>
        </w:rPr>
        <w:t>badań konsumenckich,</w:t>
      </w:r>
      <w:r w:rsidR="002D1733" w:rsidRPr="00F522E6">
        <w:rPr>
          <w:rFonts w:cstheme="minorHAnsi"/>
          <w:sz w:val="22"/>
        </w:rPr>
        <w:t xml:space="preserve"> </w:t>
      </w:r>
      <w:r w:rsidRPr="00F522E6">
        <w:rPr>
          <w:rFonts w:cstheme="minorHAnsi"/>
          <w:sz w:val="22"/>
        </w:rPr>
        <w:t>digital marketingu,</w:t>
      </w:r>
      <w:r w:rsidR="002D1733" w:rsidRPr="00F522E6">
        <w:rPr>
          <w:rFonts w:cstheme="minorHAnsi"/>
          <w:sz w:val="22"/>
        </w:rPr>
        <w:t xml:space="preserve"> </w:t>
      </w:r>
      <w:r w:rsidRPr="00F522E6">
        <w:rPr>
          <w:rFonts w:cstheme="minorHAnsi"/>
          <w:sz w:val="22"/>
        </w:rPr>
        <w:t>data science</w:t>
      </w:r>
      <w:r w:rsidR="002D1733" w:rsidRPr="00F522E6">
        <w:rPr>
          <w:rFonts w:cstheme="minorHAnsi"/>
          <w:sz w:val="22"/>
        </w:rPr>
        <w:t xml:space="preserve"> i innych.</w:t>
      </w:r>
    </w:p>
    <w:p w14:paraId="2BA893AF" w14:textId="77777777" w:rsidR="007A0E1F" w:rsidRPr="00F522E6" w:rsidRDefault="007A0E1F" w:rsidP="00DA7279">
      <w:pPr>
        <w:jc w:val="both"/>
        <w:rPr>
          <w:rFonts w:cstheme="minorHAnsi"/>
          <w:sz w:val="22"/>
        </w:rPr>
      </w:pPr>
    </w:p>
    <w:p w14:paraId="7460D8A5" w14:textId="1A441D8A" w:rsidR="009677E1" w:rsidRPr="00F522E6" w:rsidRDefault="002D1733" w:rsidP="00DA7279">
      <w:pPr>
        <w:jc w:val="both"/>
        <w:rPr>
          <w:rFonts w:cstheme="minorHAnsi"/>
          <w:sz w:val="22"/>
        </w:rPr>
      </w:pPr>
      <w:r w:rsidRPr="00F522E6">
        <w:rPr>
          <w:rFonts w:cstheme="minorHAnsi"/>
          <w:sz w:val="22"/>
        </w:rPr>
        <w:t xml:space="preserve">Objęcie BIK Open API patronatem przez </w:t>
      </w:r>
      <w:r w:rsidR="009677E1" w:rsidRPr="00F522E6">
        <w:rPr>
          <w:rFonts w:cstheme="minorHAnsi"/>
          <w:sz w:val="22"/>
        </w:rPr>
        <w:t xml:space="preserve">firmę </w:t>
      </w:r>
      <w:r w:rsidRPr="00F522E6">
        <w:rPr>
          <w:rFonts w:cstheme="minorHAnsi"/>
          <w:sz w:val="22"/>
        </w:rPr>
        <w:t>Deloitte</w:t>
      </w:r>
      <w:r w:rsidR="009677E1" w:rsidRPr="00F522E6">
        <w:rPr>
          <w:rFonts w:cstheme="minorHAnsi"/>
          <w:sz w:val="22"/>
        </w:rPr>
        <w:t>, to równocześnie wartościowy wkład w dalszy rozwój programu piaskownicy BIK HUB, szansa na tworzenie innowacyjnych</w:t>
      </w:r>
      <w:r w:rsidR="002D471A" w:rsidRPr="00F522E6">
        <w:rPr>
          <w:rFonts w:cstheme="minorHAnsi"/>
          <w:sz w:val="22"/>
        </w:rPr>
        <w:t xml:space="preserve"> usług przez </w:t>
      </w:r>
      <w:r w:rsidR="009677E1" w:rsidRPr="00F522E6">
        <w:rPr>
          <w:rFonts w:cstheme="minorHAnsi"/>
          <w:sz w:val="22"/>
        </w:rPr>
        <w:t>fintechy, startupy oraz inne podmioty z różnych sektorów gospodarki</w:t>
      </w:r>
      <w:r w:rsidR="002D471A" w:rsidRPr="00F522E6">
        <w:rPr>
          <w:rFonts w:cstheme="minorHAnsi"/>
          <w:sz w:val="22"/>
        </w:rPr>
        <w:t>, a w rezultacie m.in. zwiększenie dostępu klientów indywidualnych do różnych sposobów finansowania i poprawę ich komfortu życia</w:t>
      </w:r>
      <w:r w:rsidR="009677E1" w:rsidRPr="00F522E6">
        <w:rPr>
          <w:rFonts w:cstheme="minorHAnsi"/>
          <w:sz w:val="22"/>
        </w:rPr>
        <w:t xml:space="preserve">. </w:t>
      </w:r>
    </w:p>
    <w:p w14:paraId="42641ED0" w14:textId="77777777" w:rsidR="009677E1" w:rsidRDefault="009677E1" w:rsidP="009677E1">
      <w:pPr>
        <w:jc w:val="both"/>
        <w:rPr>
          <w:rFonts w:cstheme="minorHAnsi"/>
          <w:sz w:val="22"/>
        </w:rPr>
      </w:pPr>
    </w:p>
    <w:p w14:paraId="799810D3" w14:textId="77777777" w:rsidR="00597F1E" w:rsidRDefault="00597F1E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641A9EDB" w14:textId="77777777" w:rsidR="00597F1E" w:rsidRPr="00A56EA7" w:rsidRDefault="00597F1E" w:rsidP="00597F1E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>
        <w:rPr>
          <w:rFonts w:cstheme="minorHAnsi"/>
          <w:b/>
          <w:bCs/>
          <w:color w:val="595959"/>
          <w:sz w:val="16"/>
          <w:szCs w:val="16"/>
        </w:rPr>
        <w:t xml:space="preserve">Program BIK HUB </w:t>
      </w:r>
      <w:r w:rsidRPr="00F52413">
        <w:rPr>
          <w:rFonts w:cstheme="minorHAnsi"/>
          <w:color w:val="595959"/>
          <w:sz w:val="16"/>
          <w:szCs w:val="16"/>
        </w:rPr>
        <w:t xml:space="preserve">to </w:t>
      </w:r>
      <w:r w:rsidRPr="00A56EA7">
        <w:rPr>
          <w:rFonts w:cstheme="minorHAnsi"/>
          <w:color w:val="595959"/>
          <w:sz w:val="16"/>
          <w:szCs w:val="16"/>
        </w:rPr>
        <w:t>piaskownica technologiczna Biura Informacji Kredytowej. BIK HUB poprzez pilotaż nowatorskiej Platformy BIK Open API, otwiera dostęp do danych różnych podmiotów, działających w obszarach nieruchomości, finansów, ubezpieczeń, badań konsumenckich, digital marketingu oraz data science. BIK HUB adresowany jest do przedsiębiorców z sektora finansów, a także innych segmentów rynku, startupów, fintechów. Program gwarantuje dostęp do bezpiecznego środowiska testowego, stwarza szansę praktycznej weryfikacji prototypowych rozwiązań i uzyskanie profesjonalnej oceny potencjału biznesowego przed wprowadzeniem na rynek. Partnerami strategicznymi Programu BIK HUB są: Microsoft, Szkoła Główna Handlowa w Warszawie oraz Fundacja Fintech Poland.</w:t>
      </w:r>
    </w:p>
    <w:p w14:paraId="6C4D23AE" w14:textId="77777777" w:rsidR="00597F1E" w:rsidRDefault="00597F1E" w:rsidP="00597F1E">
      <w:pPr>
        <w:spacing w:line="240" w:lineRule="auto"/>
        <w:jc w:val="both"/>
        <w:rPr>
          <w:rFonts w:cstheme="minorHAnsi"/>
          <w:b/>
          <w:bCs/>
          <w:color w:val="595959"/>
          <w:sz w:val="16"/>
          <w:szCs w:val="16"/>
        </w:rPr>
      </w:pPr>
    </w:p>
    <w:p w14:paraId="665EA82B" w14:textId="74B0F6F9" w:rsidR="00597F1E" w:rsidRPr="00F52413" w:rsidRDefault="00597F1E" w:rsidP="00597F1E">
      <w:pPr>
        <w:spacing w:line="240" w:lineRule="auto"/>
        <w:jc w:val="both"/>
        <w:rPr>
          <w:rFonts w:cstheme="minorHAnsi"/>
          <w:bCs/>
          <w:color w:val="595959"/>
          <w:sz w:val="16"/>
          <w:szCs w:val="16"/>
        </w:rPr>
      </w:pPr>
      <w:r w:rsidRPr="00F5241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F52413">
        <w:rPr>
          <w:rFonts w:cstheme="minorHAnsi"/>
          <w:bCs/>
          <w:color w:val="595959"/>
          <w:sz w:val="16"/>
          <w:szCs w:val="16"/>
        </w:rPr>
        <w:t xml:space="preserve">– jedyne biuro kredytowe w Polsce, które poprzez internetowy portal </w:t>
      </w:r>
      <w:hyperlink r:id="rId9" w:history="1">
        <w:r w:rsidRPr="00F5241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F5241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0" w:history="1">
        <w:r w:rsidRPr="00F5241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F5241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1" w:history="1">
        <w:r w:rsidRPr="00F5241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F5241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BIK gromadzi i udostępnia dane o historii kredytowej klientów indywidualnych i przedsiębiorców z całego rynku kredytowego, oraz dane z obszaru pożyczek pozabankowych. Baza BIK zawiera informacje o </w:t>
      </w:r>
      <w:r>
        <w:rPr>
          <w:rFonts w:cstheme="minorHAnsi"/>
          <w:bCs/>
          <w:color w:val="595959"/>
          <w:sz w:val="16"/>
          <w:szCs w:val="16"/>
        </w:rPr>
        <w:t>164</w:t>
      </w:r>
      <w:r w:rsidRPr="00F5241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1,4 mln firm, w tym o 845 tys. mikroprzedsiębiorców prowadzących działalność gospodarczą. BIK posiada najwyższe kompetencje w zakresie </w:t>
      </w:r>
      <w:hyperlink r:id="rId12" w:history="1">
        <w:r w:rsidRPr="00F5241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F52413">
        <w:rPr>
          <w:rFonts w:cstheme="minorHAnsi"/>
          <w:bCs/>
          <w:color w:val="595959"/>
          <w:sz w:val="16"/>
          <w:szCs w:val="16"/>
        </w:rPr>
        <w:t xml:space="preserve"> i nowoczesnych technologii. Wspiera bezpieczeństwo instytucji finansowych i ich klientów, udostępniając bezpieczny system wymiany informacji kredytowych i gospodarczych oraz nowatorskie rozwiązania antyfraudowe. Łączy cechy nowoczesnej firmy technologicznej z atrybutami instytucji zaufania publicznego. Od kilkunastu lat BIK jest aktywnym członkiem międzynarodowego Stowarzyszenia ACCIS</w:t>
      </w:r>
      <w:r>
        <w:rPr>
          <w:rFonts w:cstheme="minorHAnsi"/>
          <w:bCs/>
          <w:color w:val="595959"/>
          <w:sz w:val="16"/>
          <w:szCs w:val="16"/>
        </w:rPr>
        <w:t>,</w:t>
      </w:r>
      <w:r w:rsidRPr="00F52413">
        <w:rPr>
          <w:rFonts w:cstheme="minorHAnsi"/>
          <w:bCs/>
          <w:color w:val="595959"/>
          <w:sz w:val="16"/>
          <w:szCs w:val="16"/>
        </w:rPr>
        <w:t xml:space="preserve"> zrzeszającego największą grupę rejestrów kredytowych na świecie. </w:t>
      </w:r>
    </w:p>
    <w:p w14:paraId="044DBA2A" w14:textId="34EB7E14" w:rsidR="003700F6" w:rsidRDefault="003700F6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954A6F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33AE1BA9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5B994FB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</w:t>
            </w:r>
            <w:r w:rsidR="00B627CF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dla</w:t>
            </w:r>
            <w:r w:rsidR="00B627CF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mediów:</w:t>
            </w:r>
          </w:p>
          <w:p w14:paraId="44F37EB2" w14:textId="03A498DB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</w:t>
            </w:r>
            <w:r w:rsidR="00B627CF">
              <w:rPr>
                <w:rFonts w:ascii="Calibri" w:hAnsi="Calibri"/>
                <w:b/>
                <w:color w:val="595959"/>
                <w:sz w:val="16"/>
                <w:szCs w:val="16"/>
              </w:rPr>
              <w:t xml:space="preserve"> </w:t>
            </w: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Stankiewicz-Billewicz</w:t>
            </w:r>
          </w:p>
          <w:p w14:paraId="4C505E09" w14:textId="4E586411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>Biuro</w:t>
            </w:r>
            <w:r w:rsidR="00B627CF">
              <w:rPr>
                <w:rFonts w:ascii="Calibri" w:hAnsi="Calibri"/>
                <w:color w:val="595959"/>
                <w:sz w:val="16"/>
                <w:szCs w:val="16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>prasowe</w:t>
            </w:r>
            <w:r w:rsidR="00B627CF">
              <w:rPr>
                <w:rFonts w:ascii="Calibri" w:hAnsi="Calibri"/>
                <w:color w:val="595959"/>
                <w:sz w:val="16"/>
                <w:szCs w:val="16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>BIK</w:t>
            </w:r>
            <w:r w:rsidR="00B627CF">
              <w:rPr>
                <w:rFonts w:ascii="Calibri" w:hAnsi="Calibri"/>
                <w:color w:val="595959"/>
                <w:sz w:val="16"/>
                <w:szCs w:val="16"/>
              </w:rPr>
              <w:t xml:space="preserve"> </w:t>
            </w:r>
          </w:p>
          <w:p w14:paraId="42346446" w14:textId="272A9B43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   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+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48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22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348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4131</w:t>
            </w:r>
          </w:p>
          <w:p w14:paraId="6EF7A592" w14:textId="2235A50F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+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48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512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164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131</w:t>
            </w:r>
          </w:p>
          <w:p w14:paraId="2D97D192" w14:textId="3AE9BC37" w:rsidR="002B3FE4" w:rsidRPr="002F6CB6" w:rsidRDefault="000C167C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3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48C736D0" w:rsidR="002B3FE4" w:rsidRDefault="002B3FE4" w:rsidP="009E48FF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B4F154A" w14:textId="77777777" w:rsidR="00250EBD" w:rsidRDefault="00250EBD" w:rsidP="00250EBD">
      <w:pPr>
        <w:jc w:val="both"/>
        <w:rPr>
          <w:rStyle w:val="StylStBIKsubowagwkaZnak"/>
          <w:rFonts w:eastAsiaTheme="minorHAnsi"/>
          <w:bCs/>
          <w:sz w:val="22"/>
          <w:szCs w:val="22"/>
          <w:lang w:val="sv-SE" w:eastAsia="pl-PL"/>
        </w:rPr>
      </w:pPr>
    </w:p>
    <w:sectPr w:rsidR="00250EBD" w:rsidSect="00E53739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7CCE" w14:textId="77777777" w:rsidR="000C167C" w:rsidRDefault="000C167C" w:rsidP="00866834">
      <w:r>
        <w:separator/>
      </w:r>
    </w:p>
    <w:p w14:paraId="52FAC0A1" w14:textId="77777777" w:rsidR="000C167C" w:rsidRDefault="000C167C"/>
  </w:endnote>
  <w:endnote w:type="continuationSeparator" w:id="0">
    <w:p w14:paraId="7B255B9B" w14:textId="77777777" w:rsidR="000C167C" w:rsidRDefault="000C167C" w:rsidP="00866834">
      <w:r>
        <w:continuationSeparator/>
      </w:r>
    </w:p>
    <w:p w14:paraId="6338501A" w14:textId="77777777" w:rsidR="000C167C" w:rsidRDefault="000C1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33D915E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3B50A10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</w:t>
                          </w:r>
                          <w:r w:rsidR="00B627CF">
                            <w:rPr>
                              <w:rFonts w:ascii="Calibri" w:hAnsi="Calibri" w:cs="Calibri"/>
                              <w:color w:val="008000"/>
                            </w:rPr>
                            <w:t xml:space="preserve"> </w:t>
                          </w: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3B50A10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</w:t>
                    </w:r>
                    <w:r w:rsidR="00B627CF">
                      <w:rPr>
                        <w:rFonts w:ascii="Calibri" w:hAnsi="Calibri" w:cs="Calibri"/>
                        <w:color w:val="008000"/>
                      </w:rPr>
                      <w:t xml:space="preserve"> </w:t>
                    </w:r>
                    <w:r w:rsidRPr="00162D9C">
                      <w:rPr>
                        <w:rFonts w:ascii="Calibri" w:hAnsi="Calibri" w:cs="Calibri"/>
                        <w:color w:val="008000"/>
                      </w:rPr>
                      <w:t>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27CF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DD556D">
      <w:rPr>
        <w:noProof/>
      </w:rPr>
      <w:t>4</w:t>
    </w:r>
    <w:r>
      <w:fldChar w:fldCharType="end"/>
    </w:r>
    <w:r>
      <w:t>/</w:t>
    </w:r>
    <w:fldSimple w:instr="NUMPAGES  \* Arabic  \* MERGEFORMAT">
      <w:r w:rsidR="00DD556D">
        <w:rPr>
          <w:noProof/>
        </w:rPr>
        <w:t>4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30219D8D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345E1BF8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</w:t>
                          </w:r>
                          <w:r w:rsidR="00B627CF">
                            <w:rPr>
                              <w:rFonts w:ascii="Calibri" w:hAnsi="Calibri" w:cs="Calibri"/>
                              <w:color w:val="008000"/>
                            </w:rPr>
                            <w:t xml:space="preserve"> </w:t>
                          </w: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345E1BF8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</w:t>
                    </w:r>
                    <w:r w:rsidR="00B627CF">
                      <w:rPr>
                        <w:rFonts w:ascii="Calibri" w:hAnsi="Calibri" w:cs="Calibri"/>
                        <w:color w:val="008000"/>
                      </w:rPr>
                      <w:t xml:space="preserve"> </w:t>
                    </w:r>
                    <w:r w:rsidRPr="002D190A">
                      <w:rPr>
                        <w:rFonts w:ascii="Calibri" w:hAnsi="Calibri" w:cs="Calibri"/>
                        <w:color w:val="008000"/>
                      </w:rPr>
                      <w:t>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27CF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DD556D">
      <w:rPr>
        <w:noProof/>
      </w:rPr>
      <w:t>1</w:t>
    </w:r>
    <w:r>
      <w:fldChar w:fldCharType="end"/>
    </w:r>
    <w:r>
      <w:t>/</w:t>
    </w:r>
    <w:r w:rsidR="000C167C">
      <w:fldChar w:fldCharType="begin"/>
    </w:r>
    <w:r w:rsidR="000C167C">
      <w:instrText>NUMPAGES  \* Arabic  \* MERGEFORMAT</w:instrText>
    </w:r>
    <w:r w:rsidR="000C167C">
      <w:fldChar w:fldCharType="separate"/>
    </w:r>
    <w:r w:rsidR="00DD556D">
      <w:rPr>
        <w:noProof/>
      </w:rPr>
      <w:t>4</w:t>
    </w:r>
    <w:r w:rsidR="000C167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2818" w14:textId="77777777" w:rsidR="000C167C" w:rsidRDefault="000C167C" w:rsidP="00866834">
      <w:r>
        <w:separator/>
      </w:r>
    </w:p>
    <w:p w14:paraId="737DF72F" w14:textId="77777777" w:rsidR="000C167C" w:rsidRDefault="000C167C"/>
  </w:footnote>
  <w:footnote w:type="continuationSeparator" w:id="0">
    <w:p w14:paraId="5F0A3D25" w14:textId="77777777" w:rsidR="000C167C" w:rsidRDefault="000C167C" w:rsidP="00866834">
      <w:r>
        <w:continuationSeparator/>
      </w:r>
    </w:p>
    <w:p w14:paraId="26D89F24" w14:textId="77777777" w:rsidR="000C167C" w:rsidRDefault="000C1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E5ED" w14:textId="66DFFA6B" w:rsidR="00B57186" w:rsidRDefault="002369BF" w:rsidP="00B14CA6">
    <w:pPr>
      <w:pStyle w:val="Nagwek"/>
      <w:jc w:val="right"/>
    </w:pPr>
    <w:r>
      <w:rPr>
        <w:noProof/>
        <w:lang w:eastAsia="pl-PL"/>
      </w:rPr>
      <w:drawing>
        <wp:anchor distT="0" distB="702310" distL="114300" distR="114300" simplePos="0" relativeHeight="251679232" behindDoc="0" locked="0" layoutInCell="0" allowOverlap="0" wp14:anchorId="0751F33A" wp14:editId="3996B5E9">
          <wp:simplePos x="0" y="0"/>
          <wp:positionH relativeFrom="page">
            <wp:posOffset>-78105</wp:posOffset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C023A"/>
    <w:multiLevelType w:val="hybridMultilevel"/>
    <w:tmpl w:val="2102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0CF5"/>
    <w:multiLevelType w:val="hybridMultilevel"/>
    <w:tmpl w:val="7FDC8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14184"/>
    <w:multiLevelType w:val="hybridMultilevel"/>
    <w:tmpl w:val="2BF01CD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57615FE"/>
    <w:multiLevelType w:val="hybridMultilevel"/>
    <w:tmpl w:val="BE1C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1284E"/>
    <w:rsid w:val="00016952"/>
    <w:rsid w:val="000308C1"/>
    <w:rsid w:val="0003507A"/>
    <w:rsid w:val="00052C37"/>
    <w:rsid w:val="00070141"/>
    <w:rsid w:val="00070438"/>
    <w:rsid w:val="00072781"/>
    <w:rsid w:val="00077647"/>
    <w:rsid w:val="00080FEA"/>
    <w:rsid w:val="00081407"/>
    <w:rsid w:val="000908AF"/>
    <w:rsid w:val="000A1BF0"/>
    <w:rsid w:val="000B0755"/>
    <w:rsid w:val="000B25E5"/>
    <w:rsid w:val="000C167C"/>
    <w:rsid w:val="000C4AD1"/>
    <w:rsid w:val="000E3C74"/>
    <w:rsid w:val="000E4491"/>
    <w:rsid w:val="000E6446"/>
    <w:rsid w:val="001038B0"/>
    <w:rsid w:val="00103A53"/>
    <w:rsid w:val="0010407D"/>
    <w:rsid w:val="001125DB"/>
    <w:rsid w:val="001130CA"/>
    <w:rsid w:val="00115AEF"/>
    <w:rsid w:val="00115EEE"/>
    <w:rsid w:val="00124A23"/>
    <w:rsid w:val="0013027F"/>
    <w:rsid w:val="00130661"/>
    <w:rsid w:val="001313A4"/>
    <w:rsid w:val="0014528E"/>
    <w:rsid w:val="00146503"/>
    <w:rsid w:val="00162D9C"/>
    <w:rsid w:val="001661AF"/>
    <w:rsid w:val="00166F6F"/>
    <w:rsid w:val="00170FC3"/>
    <w:rsid w:val="0017138D"/>
    <w:rsid w:val="001718BB"/>
    <w:rsid w:val="00171AC4"/>
    <w:rsid w:val="00175EAE"/>
    <w:rsid w:val="0017730C"/>
    <w:rsid w:val="00182BA9"/>
    <w:rsid w:val="00184906"/>
    <w:rsid w:val="00186BF1"/>
    <w:rsid w:val="001872A7"/>
    <w:rsid w:val="001A01EF"/>
    <w:rsid w:val="001A1682"/>
    <w:rsid w:val="001A1894"/>
    <w:rsid w:val="001A5507"/>
    <w:rsid w:val="001B043C"/>
    <w:rsid w:val="001B19D9"/>
    <w:rsid w:val="001B2F3D"/>
    <w:rsid w:val="001B7377"/>
    <w:rsid w:val="001C6DEF"/>
    <w:rsid w:val="001D0145"/>
    <w:rsid w:val="001E4E47"/>
    <w:rsid w:val="001E7DAD"/>
    <w:rsid w:val="001F49E0"/>
    <w:rsid w:val="001F6BED"/>
    <w:rsid w:val="00220DAF"/>
    <w:rsid w:val="0022264D"/>
    <w:rsid w:val="00231524"/>
    <w:rsid w:val="002337CC"/>
    <w:rsid w:val="0023511B"/>
    <w:rsid w:val="002369BF"/>
    <w:rsid w:val="002436C3"/>
    <w:rsid w:val="00243EB1"/>
    <w:rsid w:val="00250EBD"/>
    <w:rsid w:val="00252B34"/>
    <w:rsid w:val="002633E0"/>
    <w:rsid w:val="00267C93"/>
    <w:rsid w:val="00281D31"/>
    <w:rsid w:val="00287FD0"/>
    <w:rsid w:val="002909CD"/>
    <w:rsid w:val="002971C2"/>
    <w:rsid w:val="002A0630"/>
    <w:rsid w:val="002A09BA"/>
    <w:rsid w:val="002A2EB7"/>
    <w:rsid w:val="002B3EAC"/>
    <w:rsid w:val="002B3FE4"/>
    <w:rsid w:val="002D1733"/>
    <w:rsid w:val="002D190A"/>
    <w:rsid w:val="002D1CE5"/>
    <w:rsid w:val="002D3C63"/>
    <w:rsid w:val="002D4419"/>
    <w:rsid w:val="002D471A"/>
    <w:rsid w:val="002D48BE"/>
    <w:rsid w:val="002D745D"/>
    <w:rsid w:val="002E29B1"/>
    <w:rsid w:val="002F0767"/>
    <w:rsid w:val="002F39DD"/>
    <w:rsid w:val="002F4540"/>
    <w:rsid w:val="002F51AF"/>
    <w:rsid w:val="002F7017"/>
    <w:rsid w:val="00300DB3"/>
    <w:rsid w:val="00301E1C"/>
    <w:rsid w:val="0030598A"/>
    <w:rsid w:val="0031648A"/>
    <w:rsid w:val="003222D1"/>
    <w:rsid w:val="00335F9F"/>
    <w:rsid w:val="00337612"/>
    <w:rsid w:val="0034427A"/>
    <w:rsid w:val="003444F6"/>
    <w:rsid w:val="003446F2"/>
    <w:rsid w:val="00346C00"/>
    <w:rsid w:val="00353998"/>
    <w:rsid w:val="0035787B"/>
    <w:rsid w:val="003627E4"/>
    <w:rsid w:val="00364977"/>
    <w:rsid w:val="00367911"/>
    <w:rsid w:val="00367BE5"/>
    <w:rsid w:val="003700F6"/>
    <w:rsid w:val="00372135"/>
    <w:rsid w:val="003831BF"/>
    <w:rsid w:val="00387C34"/>
    <w:rsid w:val="00393D35"/>
    <w:rsid w:val="003B0071"/>
    <w:rsid w:val="003D166A"/>
    <w:rsid w:val="003D1CFE"/>
    <w:rsid w:val="003D6422"/>
    <w:rsid w:val="003E1302"/>
    <w:rsid w:val="003E71D6"/>
    <w:rsid w:val="003F4BA3"/>
    <w:rsid w:val="004052AD"/>
    <w:rsid w:val="00413B2D"/>
    <w:rsid w:val="00414487"/>
    <w:rsid w:val="004216FB"/>
    <w:rsid w:val="00427D89"/>
    <w:rsid w:val="004335ED"/>
    <w:rsid w:val="0044421F"/>
    <w:rsid w:val="00451F91"/>
    <w:rsid w:val="0045525F"/>
    <w:rsid w:val="00457C7B"/>
    <w:rsid w:val="00464740"/>
    <w:rsid w:val="0048285D"/>
    <w:rsid w:val="0048414A"/>
    <w:rsid w:val="00490399"/>
    <w:rsid w:val="004A2397"/>
    <w:rsid w:val="004A2D30"/>
    <w:rsid w:val="004A7A7B"/>
    <w:rsid w:val="004B0816"/>
    <w:rsid w:val="004B0C9A"/>
    <w:rsid w:val="004C295D"/>
    <w:rsid w:val="004C498A"/>
    <w:rsid w:val="004D1CDC"/>
    <w:rsid w:val="004F08B3"/>
    <w:rsid w:val="004F29A5"/>
    <w:rsid w:val="004F5805"/>
    <w:rsid w:val="004F5815"/>
    <w:rsid w:val="004F6AF1"/>
    <w:rsid w:val="004F7805"/>
    <w:rsid w:val="0050297C"/>
    <w:rsid w:val="00503A8A"/>
    <w:rsid w:val="00526CDD"/>
    <w:rsid w:val="0053621F"/>
    <w:rsid w:val="005377DC"/>
    <w:rsid w:val="00541692"/>
    <w:rsid w:val="00541CDA"/>
    <w:rsid w:val="00543EF4"/>
    <w:rsid w:val="005468AD"/>
    <w:rsid w:val="00555CD8"/>
    <w:rsid w:val="005606FF"/>
    <w:rsid w:val="00566BFC"/>
    <w:rsid w:val="005676C6"/>
    <w:rsid w:val="00570C40"/>
    <w:rsid w:val="005840CF"/>
    <w:rsid w:val="00587CF8"/>
    <w:rsid w:val="00590159"/>
    <w:rsid w:val="00591814"/>
    <w:rsid w:val="0059502D"/>
    <w:rsid w:val="0059728C"/>
    <w:rsid w:val="00597F1E"/>
    <w:rsid w:val="005B2EB5"/>
    <w:rsid w:val="005C0301"/>
    <w:rsid w:val="005C2F84"/>
    <w:rsid w:val="005C70A9"/>
    <w:rsid w:val="005D030A"/>
    <w:rsid w:val="005D1495"/>
    <w:rsid w:val="005E7DA7"/>
    <w:rsid w:val="005F43B6"/>
    <w:rsid w:val="006006AE"/>
    <w:rsid w:val="006056A5"/>
    <w:rsid w:val="00610B8B"/>
    <w:rsid w:val="00616800"/>
    <w:rsid w:val="00621BFD"/>
    <w:rsid w:val="0063496F"/>
    <w:rsid w:val="0063605B"/>
    <w:rsid w:val="00636431"/>
    <w:rsid w:val="00637C84"/>
    <w:rsid w:val="00640B0D"/>
    <w:rsid w:val="00657B6A"/>
    <w:rsid w:val="006612F1"/>
    <w:rsid w:val="00673B10"/>
    <w:rsid w:val="00674254"/>
    <w:rsid w:val="006747BD"/>
    <w:rsid w:val="00684793"/>
    <w:rsid w:val="00685450"/>
    <w:rsid w:val="006919DF"/>
    <w:rsid w:val="0069335F"/>
    <w:rsid w:val="006934D4"/>
    <w:rsid w:val="00693B77"/>
    <w:rsid w:val="006A026D"/>
    <w:rsid w:val="006A4917"/>
    <w:rsid w:val="006A62DF"/>
    <w:rsid w:val="006A65EC"/>
    <w:rsid w:val="006A6B2C"/>
    <w:rsid w:val="006B1632"/>
    <w:rsid w:val="006B7D8F"/>
    <w:rsid w:val="006C2181"/>
    <w:rsid w:val="006C4F1D"/>
    <w:rsid w:val="006C6F7C"/>
    <w:rsid w:val="006D18FD"/>
    <w:rsid w:val="006D2082"/>
    <w:rsid w:val="006D2EFB"/>
    <w:rsid w:val="006D3F30"/>
    <w:rsid w:val="006D6DE5"/>
    <w:rsid w:val="006E1494"/>
    <w:rsid w:val="006E278C"/>
    <w:rsid w:val="006E30FE"/>
    <w:rsid w:val="006E34DC"/>
    <w:rsid w:val="006E5990"/>
    <w:rsid w:val="006F0646"/>
    <w:rsid w:val="006F09D5"/>
    <w:rsid w:val="006F1EFB"/>
    <w:rsid w:val="006F2A04"/>
    <w:rsid w:val="006F72EF"/>
    <w:rsid w:val="00700426"/>
    <w:rsid w:val="0070349D"/>
    <w:rsid w:val="00703B4E"/>
    <w:rsid w:val="007042E5"/>
    <w:rsid w:val="007042EC"/>
    <w:rsid w:val="007051F8"/>
    <w:rsid w:val="0072379F"/>
    <w:rsid w:val="00725618"/>
    <w:rsid w:val="007259A9"/>
    <w:rsid w:val="007301E3"/>
    <w:rsid w:val="0074532A"/>
    <w:rsid w:val="00745D28"/>
    <w:rsid w:val="00751F2F"/>
    <w:rsid w:val="00756F9B"/>
    <w:rsid w:val="00762C98"/>
    <w:rsid w:val="00770250"/>
    <w:rsid w:val="00773E8C"/>
    <w:rsid w:val="0079099D"/>
    <w:rsid w:val="007911A5"/>
    <w:rsid w:val="00792745"/>
    <w:rsid w:val="00794B24"/>
    <w:rsid w:val="007A002C"/>
    <w:rsid w:val="007A0E1F"/>
    <w:rsid w:val="007B14BA"/>
    <w:rsid w:val="007B1DCF"/>
    <w:rsid w:val="007B4A03"/>
    <w:rsid w:val="007B58FC"/>
    <w:rsid w:val="007B5FD7"/>
    <w:rsid w:val="007C1E99"/>
    <w:rsid w:val="007C2A05"/>
    <w:rsid w:val="007C6B7C"/>
    <w:rsid w:val="007D0B3B"/>
    <w:rsid w:val="007D58FD"/>
    <w:rsid w:val="007E1220"/>
    <w:rsid w:val="007F38A4"/>
    <w:rsid w:val="007F543E"/>
    <w:rsid w:val="00805DF6"/>
    <w:rsid w:val="00806733"/>
    <w:rsid w:val="00814160"/>
    <w:rsid w:val="00816DF3"/>
    <w:rsid w:val="00821F16"/>
    <w:rsid w:val="008301AA"/>
    <w:rsid w:val="008303EC"/>
    <w:rsid w:val="0083311B"/>
    <w:rsid w:val="00841941"/>
    <w:rsid w:val="00841A2A"/>
    <w:rsid w:val="0084396A"/>
    <w:rsid w:val="008446FE"/>
    <w:rsid w:val="00844A8B"/>
    <w:rsid w:val="00845982"/>
    <w:rsid w:val="008502C1"/>
    <w:rsid w:val="00854B7B"/>
    <w:rsid w:val="00866834"/>
    <w:rsid w:val="00867CB5"/>
    <w:rsid w:val="008708B4"/>
    <w:rsid w:val="00873CF9"/>
    <w:rsid w:val="00875A48"/>
    <w:rsid w:val="00875D35"/>
    <w:rsid w:val="008853B0"/>
    <w:rsid w:val="008917A1"/>
    <w:rsid w:val="008922F7"/>
    <w:rsid w:val="008977E7"/>
    <w:rsid w:val="008B2062"/>
    <w:rsid w:val="008B4DBE"/>
    <w:rsid w:val="008C1729"/>
    <w:rsid w:val="008C75DD"/>
    <w:rsid w:val="008D714B"/>
    <w:rsid w:val="008E04B2"/>
    <w:rsid w:val="008F171B"/>
    <w:rsid w:val="008F209D"/>
    <w:rsid w:val="008F6EDF"/>
    <w:rsid w:val="009154F2"/>
    <w:rsid w:val="0092387C"/>
    <w:rsid w:val="0093037C"/>
    <w:rsid w:val="00933FAF"/>
    <w:rsid w:val="00934B65"/>
    <w:rsid w:val="009412DD"/>
    <w:rsid w:val="00943829"/>
    <w:rsid w:val="00945544"/>
    <w:rsid w:val="00945CD4"/>
    <w:rsid w:val="00950454"/>
    <w:rsid w:val="00954066"/>
    <w:rsid w:val="00954A6F"/>
    <w:rsid w:val="00954F60"/>
    <w:rsid w:val="00956A3D"/>
    <w:rsid w:val="009622B6"/>
    <w:rsid w:val="00965391"/>
    <w:rsid w:val="0096610A"/>
    <w:rsid w:val="009677E1"/>
    <w:rsid w:val="00970D51"/>
    <w:rsid w:val="009759D9"/>
    <w:rsid w:val="009810E3"/>
    <w:rsid w:val="009865F0"/>
    <w:rsid w:val="00994F27"/>
    <w:rsid w:val="00996627"/>
    <w:rsid w:val="009A434B"/>
    <w:rsid w:val="009B10F5"/>
    <w:rsid w:val="009B1B83"/>
    <w:rsid w:val="009B2600"/>
    <w:rsid w:val="009C0766"/>
    <w:rsid w:val="009C47B0"/>
    <w:rsid w:val="009C56EE"/>
    <w:rsid w:val="009D1082"/>
    <w:rsid w:val="009D3E46"/>
    <w:rsid w:val="009D4C4D"/>
    <w:rsid w:val="009D5B9A"/>
    <w:rsid w:val="009D5E0A"/>
    <w:rsid w:val="009D7180"/>
    <w:rsid w:val="009D75D3"/>
    <w:rsid w:val="009E48FF"/>
    <w:rsid w:val="009E4A7E"/>
    <w:rsid w:val="009E5226"/>
    <w:rsid w:val="009E6E39"/>
    <w:rsid w:val="009F57D0"/>
    <w:rsid w:val="009F5B2B"/>
    <w:rsid w:val="00A03929"/>
    <w:rsid w:val="00A04D19"/>
    <w:rsid w:val="00A068D0"/>
    <w:rsid w:val="00A07DBA"/>
    <w:rsid w:val="00A11066"/>
    <w:rsid w:val="00A11C58"/>
    <w:rsid w:val="00A23E42"/>
    <w:rsid w:val="00A350A7"/>
    <w:rsid w:val="00A36F46"/>
    <w:rsid w:val="00A41265"/>
    <w:rsid w:val="00A42955"/>
    <w:rsid w:val="00A4363C"/>
    <w:rsid w:val="00A43B36"/>
    <w:rsid w:val="00A50BDB"/>
    <w:rsid w:val="00A60ABF"/>
    <w:rsid w:val="00A625FE"/>
    <w:rsid w:val="00A72BE7"/>
    <w:rsid w:val="00A7543E"/>
    <w:rsid w:val="00A82827"/>
    <w:rsid w:val="00A85D65"/>
    <w:rsid w:val="00A87FFE"/>
    <w:rsid w:val="00A9000A"/>
    <w:rsid w:val="00A94C25"/>
    <w:rsid w:val="00AA1576"/>
    <w:rsid w:val="00AA4FB6"/>
    <w:rsid w:val="00AA5149"/>
    <w:rsid w:val="00AB44FD"/>
    <w:rsid w:val="00AC2258"/>
    <w:rsid w:val="00AC2CB2"/>
    <w:rsid w:val="00AD112C"/>
    <w:rsid w:val="00AD3E35"/>
    <w:rsid w:val="00AD5165"/>
    <w:rsid w:val="00AE025A"/>
    <w:rsid w:val="00AE51EA"/>
    <w:rsid w:val="00AE67A6"/>
    <w:rsid w:val="00AE7760"/>
    <w:rsid w:val="00AE7D12"/>
    <w:rsid w:val="00AF3176"/>
    <w:rsid w:val="00B14CA6"/>
    <w:rsid w:val="00B23D2C"/>
    <w:rsid w:val="00B32797"/>
    <w:rsid w:val="00B32E13"/>
    <w:rsid w:val="00B35B63"/>
    <w:rsid w:val="00B37A96"/>
    <w:rsid w:val="00B40302"/>
    <w:rsid w:val="00B410E3"/>
    <w:rsid w:val="00B45CB0"/>
    <w:rsid w:val="00B46AA7"/>
    <w:rsid w:val="00B47F70"/>
    <w:rsid w:val="00B57186"/>
    <w:rsid w:val="00B60E67"/>
    <w:rsid w:val="00B61F8A"/>
    <w:rsid w:val="00B627CF"/>
    <w:rsid w:val="00B73668"/>
    <w:rsid w:val="00B740DF"/>
    <w:rsid w:val="00B85767"/>
    <w:rsid w:val="00B904AB"/>
    <w:rsid w:val="00B976FD"/>
    <w:rsid w:val="00BA2264"/>
    <w:rsid w:val="00BA3249"/>
    <w:rsid w:val="00BB3391"/>
    <w:rsid w:val="00BD5C00"/>
    <w:rsid w:val="00BD6260"/>
    <w:rsid w:val="00BE267C"/>
    <w:rsid w:val="00BE37F7"/>
    <w:rsid w:val="00BE7A39"/>
    <w:rsid w:val="00BF191F"/>
    <w:rsid w:val="00BF7242"/>
    <w:rsid w:val="00C05B59"/>
    <w:rsid w:val="00C06041"/>
    <w:rsid w:val="00C15FB1"/>
    <w:rsid w:val="00C2282F"/>
    <w:rsid w:val="00C22D2A"/>
    <w:rsid w:val="00C24453"/>
    <w:rsid w:val="00C25E6E"/>
    <w:rsid w:val="00C277A7"/>
    <w:rsid w:val="00C30AEC"/>
    <w:rsid w:val="00C34B2D"/>
    <w:rsid w:val="00C360AD"/>
    <w:rsid w:val="00C413CE"/>
    <w:rsid w:val="00C5064F"/>
    <w:rsid w:val="00C56BB6"/>
    <w:rsid w:val="00C8120D"/>
    <w:rsid w:val="00C84278"/>
    <w:rsid w:val="00C84AD2"/>
    <w:rsid w:val="00CB3E34"/>
    <w:rsid w:val="00CC4824"/>
    <w:rsid w:val="00CD113F"/>
    <w:rsid w:val="00CD3939"/>
    <w:rsid w:val="00CE03AC"/>
    <w:rsid w:val="00CE03ED"/>
    <w:rsid w:val="00CF3E86"/>
    <w:rsid w:val="00CF51E1"/>
    <w:rsid w:val="00D005B3"/>
    <w:rsid w:val="00D0083C"/>
    <w:rsid w:val="00D05D84"/>
    <w:rsid w:val="00D0631F"/>
    <w:rsid w:val="00D06D36"/>
    <w:rsid w:val="00D112CC"/>
    <w:rsid w:val="00D13ED6"/>
    <w:rsid w:val="00D14011"/>
    <w:rsid w:val="00D141CD"/>
    <w:rsid w:val="00D157BE"/>
    <w:rsid w:val="00D23930"/>
    <w:rsid w:val="00D24B31"/>
    <w:rsid w:val="00D25F0E"/>
    <w:rsid w:val="00D26998"/>
    <w:rsid w:val="00D37160"/>
    <w:rsid w:val="00D37747"/>
    <w:rsid w:val="00D40690"/>
    <w:rsid w:val="00D42905"/>
    <w:rsid w:val="00D458A0"/>
    <w:rsid w:val="00D461D1"/>
    <w:rsid w:val="00D5616C"/>
    <w:rsid w:val="00D6054D"/>
    <w:rsid w:val="00D6359F"/>
    <w:rsid w:val="00D66632"/>
    <w:rsid w:val="00D852F8"/>
    <w:rsid w:val="00D85594"/>
    <w:rsid w:val="00D85799"/>
    <w:rsid w:val="00D92A09"/>
    <w:rsid w:val="00D93C37"/>
    <w:rsid w:val="00D979C4"/>
    <w:rsid w:val="00DA7279"/>
    <w:rsid w:val="00DC2D11"/>
    <w:rsid w:val="00DC698D"/>
    <w:rsid w:val="00DD556D"/>
    <w:rsid w:val="00DD60D6"/>
    <w:rsid w:val="00DD77D2"/>
    <w:rsid w:val="00DE42E7"/>
    <w:rsid w:val="00DF61D1"/>
    <w:rsid w:val="00E07D82"/>
    <w:rsid w:val="00E122B9"/>
    <w:rsid w:val="00E12E34"/>
    <w:rsid w:val="00E14964"/>
    <w:rsid w:val="00E20CD9"/>
    <w:rsid w:val="00E23BC8"/>
    <w:rsid w:val="00E33485"/>
    <w:rsid w:val="00E339B5"/>
    <w:rsid w:val="00E363C0"/>
    <w:rsid w:val="00E53739"/>
    <w:rsid w:val="00E75A38"/>
    <w:rsid w:val="00E81E48"/>
    <w:rsid w:val="00E862C4"/>
    <w:rsid w:val="00E86BFC"/>
    <w:rsid w:val="00E86ED1"/>
    <w:rsid w:val="00E872B1"/>
    <w:rsid w:val="00EB3520"/>
    <w:rsid w:val="00ED3010"/>
    <w:rsid w:val="00EE493C"/>
    <w:rsid w:val="00EE4DE1"/>
    <w:rsid w:val="00EF3CDE"/>
    <w:rsid w:val="00EF49D6"/>
    <w:rsid w:val="00F04FDC"/>
    <w:rsid w:val="00F06E11"/>
    <w:rsid w:val="00F115B8"/>
    <w:rsid w:val="00F13DDF"/>
    <w:rsid w:val="00F16A6F"/>
    <w:rsid w:val="00F17F7E"/>
    <w:rsid w:val="00F21E8C"/>
    <w:rsid w:val="00F24196"/>
    <w:rsid w:val="00F26ECD"/>
    <w:rsid w:val="00F31F0B"/>
    <w:rsid w:val="00F323D1"/>
    <w:rsid w:val="00F36840"/>
    <w:rsid w:val="00F4598C"/>
    <w:rsid w:val="00F50EB7"/>
    <w:rsid w:val="00F522E6"/>
    <w:rsid w:val="00F547AE"/>
    <w:rsid w:val="00F63136"/>
    <w:rsid w:val="00F64975"/>
    <w:rsid w:val="00F661AA"/>
    <w:rsid w:val="00F6633E"/>
    <w:rsid w:val="00F710B5"/>
    <w:rsid w:val="00F7797F"/>
    <w:rsid w:val="00F82F75"/>
    <w:rsid w:val="00F84CF6"/>
    <w:rsid w:val="00F85535"/>
    <w:rsid w:val="00F9188A"/>
    <w:rsid w:val="00F93787"/>
    <w:rsid w:val="00FA64BF"/>
    <w:rsid w:val="00FA77B0"/>
    <w:rsid w:val="00FB0E52"/>
    <w:rsid w:val="00FB1A13"/>
    <w:rsid w:val="00FB22F0"/>
    <w:rsid w:val="00FB31CA"/>
    <w:rsid w:val="00FB59B7"/>
    <w:rsid w:val="00FB615C"/>
    <w:rsid w:val="00FC7AE7"/>
    <w:rsid w:val="00FD52BA"/>
    <w:rsid w:val="00FD615C"/>
    <w:rsid w:val="00FD6816"/>
    <w:rsid w:val="00FE7459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2A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8CFF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C2A05"/>
    <w:rPr>
      <w:rFonts w:asciiTheme="majorHAnsi" w:eastAsiaTheme="majorEastAsia" w:hAnsiTheme="majorHAnsi" w:cstheme="majorBidi"/>
      <w:b/>
      <w:bCs/>
      <w:color w:val="008CFF" w:themeColor="accent1"/>
      <w:sz w:val="26"/>
      <w:szCs w:val="26"/>
      <w:lang w:eastAsia="pl-PL"/>
    </w:rPr>
  </w:style>
  <w:style w:type="paragraph" w:customStyle="1" w:styleId="gmail-msonospacing">
    <w:name w:val="gmail-msonospacing"/>
    <w:basedOn w:val="Normalny"/>
    <w:rsid w:val="008446F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3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37C"/>
    <w:rPr>
      <w:rFonts w:ascii="Segoe UI" w:hAnsi="Segoe UI" w:cs="Segoe UI"/>
      <w:color w:val="161616"/>
      <w:sz w:val="18"/>
      <w:szCs w:val="18"/>
    </w:rPr>
  </w:style>
  <w:style w:type="character" w:customStyle="1" w:styleId="normaltextrun">
    <w:name w:val="normaltextrun"/>
    <w:basedOn w:val="Domylnaczcionkaakapitu"/>
    <w:rsid w:val="00B627CF"/>
  </w:style>
  <w:style w:type="character" w:customStyle="1" w:styleId="apple-converted-space">
    <w:name w:val="apple-converted-space"/>
    <w:basedOn w:val="Domylnaczcionkaakapitu"/>
    <w:rsid w:val="00B627CF"/>
  </w:style>
  <w:style w:type="character" w:customStyle="1" w:styleId="spellingerror">
    <w:name w:val="spellingerror"/>
    <w:basedOn w:val="Domylnaczcionkaakapitu"/>
    <w:rsid w:val="00B627CF"/>
  </w:style>
  <w:style w:type="character" w:customStyle="1" w:styleId="contextualspellingandgrammarerror">
    <w:name w:val="contextualspellingandgrammarerror"/>
    <w:basedOn w:val="Domylnaczcionkaakapitu"/>
    <w:rsid w:val="00B627CF"/>
  </w:style>
  <w:style w:type="character" w:customStyle="1" w:styleId="eop">
    <w:name w:val="eop"/>
    <w:basedOn w:val="Domylnaczcionkaakapitu"/>
    <w:rsid w:val="00B627CF"/>
  </w:style>
  <w:style w:type="character" w:styleId="Nierozpoznanawzmianka">
    <w:name w:val="Unresolved Mention"/>
    <w:basedOn w:val="Domylnaczcionkaakapitu"/>
    <w:uiPriority w:val="99"/>
    <w:semiHidden/>
    <w:unhideWhenUsed/>
    <w:rsid w:val="00FB5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35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35F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35F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7A0E1F"/>
    <w:pPr>
      <w:spacing w:after="0" w:line="240" w:lineRule="auto"/>
    </w:pPr>
    <w:rPr>
      <w:color w:val="16161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ksandra.stankiewicz-billewicz@bik.p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edia.bik.pl/analizy-rynkow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klienci-indywidualni/alerty-bik?utm_source=gazeta.pl&amp;utm_medium=artykul&amp;utm_campaign=alert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ik.pl/moj-bi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ik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F5080041-40FB-437F-8D41-3427F3A1A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809E20-801C-4B95-9EDE-E961B9370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9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Borowiecka Diana</cp:lastModifiedBy>
  <cp:revision>9</cp:revision>
  <cp:lastPrinted>2021-05-26T12:27:00Z</cp:lastPrinted>
  <dcterms:created xsi:type="dcterms:W3CDTF">2022-04-07T12:03:00Z</dcterms:created>
  <dcterms:modified xsi:type="dcterms:W3CDTF">2022-04-08T06:57:00Z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74c57d73-a0e4-40e4-875a-24f72064e8ff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2022-04-08T06:57:00Z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3468b3a0-caee-4480-bbb4-54ea8dc10511</vt:lpwstr>
  </property>
  <property fmtid="{D5CDD505-2E9C-101B-9397-08002B2CF9AE}" pid="13" name="MSIP_Label_1391a466-f120-4668-a5e5-7af4d8a99d82_ContentBits">
    <vt:lpwstr>2</vt:lpwstr>
  </property>
</Properties>
</file>