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ED189" w14:textId="4355BA22" w:rsidR="004A3763" w:rsidRPr="00EC4A8F" w:rsidRDefault="004A3763" w:rsidP="00B5378E">
      <w:pPr>
        <w:rPr>
          <w:rFonts w:ascii="Arial" w:hAnsi="Arial" w:cs="Arial"/>
          <w:sz w:val="20"/>
        </w:rPr>
      </w:pPr>
      <w:r w:rsidRPr="00EC4A8F">
        <w:rPr>
          <w:rFonts w:ascii="Arial" w:hAnsi="Arial" w:cs="Arial"/>
          <w:sz w:val="20"/>
        </w:rPr>
        <w:t>Informacja prasowa</w:t>
      </w:r>
    </w:p>
    <w:p w14:paraId="22406B6A" w14:textId="6CFF970B" w:rsidR="00C545AE" w:rsidRPr="00EC4A8F" w:rsidRDefault="00B5378E" w:rsidP="00B5378E">
      <w:pPr>
        <w:rPr>
          <w:rFonts w:ascii="Arial" w:hAnsi="Arial" w:cs="Arial"/>
          <w:sz w:val="20"/>
        </w:rPr>
      </w:pPr>
      <w:r w:rsidRPr="00EC4A8F">
        <w:rPr>
          <w:rFonts w:ascii="Arial" w:hAnsi="Arial" w:cs="Arial"/>
          <w:sz w:val="20"/>
        </w:rPr>
        <w:t xml:space="preserve">Wrocław, </w:t>
      </w:r>
      <w:r w:rsidR="00440745" w:rsidRPr="00EC4A8F">
        <w:rPr>
          <w:rFonts w:ascii="Arial" w:hAnsi="Arial" w:cs="Arial"/>
          <w:sz w:val="20"/>
        </w:rPr>
        <w:t>30</w:t>
      </w:r>
      <w:r w:rsidRPr="00EC4A8F">
        <w:rPr>
          <w:rFonts w:ascii="Arial" w:hAnsi="Arial" w:cs="Arial"/>
          <w:sz w:val="20"/>
        </w:rPr>
        <w:t xml:space="preserve"> maja 2022</w:t>
      </w:r>
    </w:p>
    <w:p w14:paraId="032C1D2E" w14:textId="53D08F81" w:rsidR="00B5378E" w:rsidRPr="00426047" w:rsidRDefault="004557F2" w:rsidP="00EC4A8F">
      <w:pPr>
        <w:spacing w:before="360" w:after="360"/>
        <w:jc w:val="center"/>
        <w:rPr>
          <w:color w:val="2F7366"/>
        </w:rPr>
      </w:pPr>
      <w:r w:rsidRPr="00426047">
        <w:rPr>
          <w:rFonts w:ascii="Arial" w:hAnsi="Arial" w:cs="Arial"/>
          <w:b/>
          <w:color w:val="2F7366"/>
          <w:sz w:val="28"/>
          <w:szCs w:val="28"/>
        </w:rPr>
        <w:t xml:space="preserve">Kurtyny </w:t>
      </w:r>
      <w:r w:rsidR="003B77F2">
        <w:rPr>
          <w:rFonts w:ascii="Arial" w:hAnsi="Arial" w:cs="Arial"/>
          <w:b/>
          <w:color w:val="2F7366"/>
          <w:sz w:val="28"/>
          <w:szCs w:val="28"/>
        </w:rPr>
        <w:t xml:space="preserve">marki </w:t>
      </w:r>
      <w:r w:rsidRPr="00426047">
        <w:rPr>
          <w:rFonts w:ascii="Arial" w:hAnsi="Arial" w:cs="Arial"/>
          <w:b/>
          <w:color w:val="2F7366"/>
          <w:sz w:val="28"/>
          <w:szCs w:val="28"/>
        </w:rPr>
        <w:t xml:space="preserve">Wielton </w:t>
      </w:r>
      <w:r w:rsidR="00120045">
        <w:rPr>
          <w:rFonts w:ascii="Arial" w:hAnsi="Arial" w:cs="Arial"/>
          <w:b/>
          <w:color w:val="2F7366"/>
          <w:sz w:val="28"/>
          <w:szCs w:val="28"/>
        </w:rPr>
        <w:t xml:space="preserve">pojadą </w:t>
      </w:r>
      <w:r w:rsidRPr="00426047">
        <w:rPr>
          <w:rFonts w:ascii="Arial" w:hAnsi="Arial" w:cs="Arial"/>
          <w:b/>
          <w:color w:val="2F7366"/>
          <w:sz w:val="28"/>
          <w:szCs w:val="28"/>
        </w:rPr>
        <w:t>z niską ratą w promocji EFL</w:t>
      </w:r>
    </w:p>
    <w:p w14:paraId="57650872" w14:textId="4C7531BC" w:rsidR="00137F5D" w:rsidRDefault="003A4405" w:rsidP="00EC4A8F">
      <w:pPr>
        <w:spacing w:after="120" w:line="360" w:lineRule="auto"/>
        <w:jc w:val="both"/>
        <w:rPr>
          <w:rFonts w:ascii="Arial" w:hAnsi="Arial" w:cs="Arial"/>
          <w:b/>
          <w:color w:val="2F7366"/>
          <w:sz w:val="21"/>
        </w:rPr>
      </w:pPr>
      <w:r w:rsidRPr="00EC4A8F">
        <w:rPr>
          <w:rFonts w:ascii="Arial" w:hAnsi="Arial" w:cs="Arial"/>
          <w:b/>
          <w:color w:val="2F7366"/>
          <w:sz w:val="21"/>
        </w:rPr>
        <w:t>Wystartowała promocyjna oferta EFL na naczepy</w:t>
      </w:r>
      <w:r w:rsidR="003B77F2" w:rsidRPr="00EC4A8F">
        <w:rPr>
          <w:rFonts w:ascii="Arial" w:hAnsi="Arial" w:cs="Arial"/>
          <w:b/>
          <w:color w:val="2F7366"/>
          <w:sz w:val="21"/>
        </w:rPr>
        <w:t xml:space="preserve"> marki</w:t>
      </w:r>
      <w:r w:rsidRPr="00EC4A8F">
        <w:rPr>
          <w:rFonts w:ascii="Arial" w:hAnsi="Arial" w:cs="Arial"/>
          <w:b/>
          <w:color w:val="2F7366"/>
          <w:sz w:val="21"/>
        </w:rPr>
        <w:t xml:space="preserve"> Wielton z niską ratą już od 442 Euro miesięcznie. </w:t>
      </w:r>
      <w:r w:rsidR="00860E00">
        <w:rPr>
          <w:rFonts w:ascii="Arial" w:hAnsi="Arial" w:cs="Arial"/>
          <w:b/>
          <w:color w:val="2F7366"/>
          <w:sz w:val="21"/>
        </w:rPr>
        <w:t>Co więcej oferta wzbogacona będzie o promocyjną ofertę ubezpieczeniową.</w:t>
      </w:r>
      <w:r w:rsidR="00DC46AC">
        <w:rPr>
          <w:rFonts w:ascii="Arial" w:hAnsi="Arial" w:cs="Arial"/>
          <w:b/>
          <w:color w:val="2F7366"/>
          <w:sz w:val="21"/>
        </w:rPr>
        <w:t xml:space="preserve"> </w:t>
      </w:r>
      <w:r w:rsidR="00137F5D" w:rsidRPr="00EC4A8F">
        <w:rPr>
          <w:rFonts w:ascii="Arial" w:hAnsi="Arial" w:cs="Arial"/>
          <w:b/>
          <w:color w:val="2F7366"/>
          <w:sz w:val="21"/>
        </w:rPr>
        <w:t>Eksperci EFL zwracają uwagę, że dynamika leasingu naczep i przyczep w 2021 roku była najwyższą na rynku i wyniosła prawie +90% r/r.</w:t>
      </w:r>
    </w:p>
    <w:p w14:paraId="486C3910" w14:textId="06BB05F4" w:rsidR="00EC4A8F" w:rsidRDefault="00EC4A8F" w:rsidP="00EC4A8F">
      <w:pPr>
        <w:spacing w:after="120" w:line="360" w:lineRule="auto"/>
        <w:jc w:val="both"/>
        <w:rPr>
          <w:rFonts w:ascii="Arial" w:hAnsi="Arial" w:cs="Arial"/>
          <w:b/>
          <w:color w:val="2F7366"/>
          <w:sz w:val="21"/>
        </w:rPr>
      </w:pPr>
      <w:r>
        <w:rPr>
          <w:rFonts w:ascii="Arial" w:hAnsi="Arial" w:cs="Arial"/>
          <w:sz w:val="21"/>
        </w:rPr>
        <w:t xml:space="preserve">- </w:t>
      </w:r>
      <w:r w:rsidRPr="00DA4167">
        <w:rPr>
          <w:rFonts w:ascii="Arial" w:hAnsi="Arial" w:cs="Arial"/>
          <w:i/>
          <w:sz w:val="21"/>
        </w:rPr>
        <w:t>F</w:t>
      </w:r>
      <w:r w:rsidRPr="00DA4167">
        <w:rPr>
          <w:rFonts w:ascii="Arial" w:hAnsi="Arial" w:cs="Arial"/>
          <w:i/>
          <w:sz w:val="21"/>
          <w:szCs w:val="21"/>
        </w:rPr>
        <w:t>inansowanie naczep i przyczep jest jednym z kluczowych segmentów leasingowych. I pomimo pandemii, ubiegły rok okazał się dla niego rekordowy. Jak wynika z danych Związku Polskiego Leasingu, od stycznia do grudnia 2021 roku wartość sfinansowanych leasingiem i pożyczką naczep i przyczep wyniosła 4,6 mld zł, co oznacza aż 90% wzrost r/r. To najlepszy w historii finansowania tego segmentu. W pierwszych miesiącach tego roku pozytywny trend został przerwany, przede wszystkim w związku z sytuacją za naszą wschodnią granicą. Jednak to kwestia miesięcy, kiedy ponownie transport ciężki będzie bić kolejne rekordy finansowania wymieniając park pojazdów na nowszy. A wspólna oferta EFL i Wielton pozwoli dotrzeć do nowych klientów i jeszcze bardziej zwiększy</w:t>
      </w:r>
      <w:r w:rsidR="00860E00">
        <w:rPr>
          <w:rFonts w:ascii="Arial" w:hAnsi="Arial" w:cs="Arial"/>
          <w:i/>
          <w:sz w:val="21"/>
          <w:szCs w:val="21"/>
        </w:rPr>
        <w:t xml:space="preserve"> grono firm korzystających z atrakcyjnych rozwiązań obu firm</w:t>
      </w:r>
      <w:r w:rsidRPr="00DA4167">
        <w:rPr>
          <w:rFonts w:ascii="Arial" w:hAnsi="Arial" w:cs="Arial"/>
          <w:i/>
          <w:sz w:val="21"/>
        </w:rPr>
        <w:t xml:space="preserve"> </w:t>
      </w:r>
      <w:r w:rsidRPr="00DA4167">
        <w:rPr>
          <w:rFonts w:ascii="Arial" w:hAnsi="Arial" w:cs="Arial"/>
          <w:sz w:val="21"/>
        </w:rPr>
        <w:t xml:space="preserve">– powiedziała </w:t>
      </w:r>
      <w:r w:rsidRPr="00DA4167">
        <w:rPr>
          <w:rFonts w:ascii="Arial" w:hAnsi="Arial" w:cs="Arial"/>
          <w:b/>
          <w:color w:val="2F7366"/>
          <w:sz w:val="21"/>
        </w:rPr>
        <w:t>Agata Derlatka Vendor Program Manager w EFL.</w:t>
      </w:r>
    </w:p>
    <w:p w14:paraId="741ECA35" w14:textId="0FCD279B" w:rsidR="00C545AE" w:rsidRPr="00EC4A8F" w:rsidRDefault="00C545AE" w:rsidP="00EC4A8F">
      <w:pPr>
        <w:spacing w:after="120" w:line="360" w:lineRule="auto"/>
        <w:jc w:val="both"/>
        <w:rPr>
          <w:rFonts w:ascii="Arial" w:hAnsi="Arial" w:cs="Arial"/>
          <w:sz w:val="21"/>
        </w:rPr>
      </w:pPr>
      <w:r w:rsidRPr="00EC4A8F">
        <w:rPr>
          <w:rFonts w:ascii="Arial" w:hAnsi="Arial" w:cs="Arial"/>
          <w:sz w:val="21"/>
        </w:rPr>
        <w:t>E</w:t>
      </w:r>
      <w:r w:rsidR="00D828DD" w:rsidRPr="00EC4A8F">
        <w:rPr>
          <w:rFonts w:ascii="Arial" w:hAnsi="Arial" w:cs="Arial"/>
          <w:sz w:val="21"/>
        </w:rPr>
        <w:t>FL i Wielton współpracują od</w:t>
      </w:r>
      <w:r w:rsidR="00B56139" w:rsidRPr="00EC4A8F">
        <w:rPr>
          <w:rFonts w:ascii="Arial" w:hAnsi="Arial" w:cs="Arial"/>
          <w:sz w:val="21"/>
        </w:rPr>
        <w:t xml:space="preserve"> 17 </w:t>
      </w:r>
      <w:r w:rsidR="00D828DD" w:rsidRPr="00EC4A8F">
        <w:rPr>
          <w:rFonts w:ascii="Arial" w:hAnsi="Arial" w:cs="Arial"/>
          <w:sz w:val="21"/>
        </w:rPr>
        <w:t>lat, a b</w:t>
      </w:r>
      <w:r w:rsidR="003A4405" w:rsidRPr="00EC4A8F">
        <w:rPr>
          <w:rFonts w:ascii="Arial" w:hAnsi="Arial" w:cs="Arial"/>
          <w:sz w:val="21"/>
        </w:rPr>
        <w:t xml:space="preserve">ieżąca promocja jest </w:t>
      </w:r>
      <w:r w:rsidR="0052188A" w:rsidRPr="00EC4A8F">
        <w:rPr>
          <w:rFonts w:ascii="Arial" w:hAnsi="Arial" w:cs="Arial"/>
          <w:sz w:val="21"/>
        </w:rPr>
        <w:t>ofertą</w:t>
      </w:r>
      <w:r w:rsidR="003B77F2" w:rsidRPr="00EC4A8F">
        <w:rPr>
          <w:rFonts w:ascii="Arial" w:hAnsi="Arial" w:cs="Arial"/>
          <w:sz w:val="21"/>
        </w:rPr>
        <w:t>,</w:t>
      </w:r>
      <w:r w:rsidR="0052188A" w:rsidRPr="00EC4A8F">
        <w:rPr>
          <w:rFonts w:ascii="Arial" w:hAnsi="Arial" w:cs="Arial"/>
          <w:sz w:val="21"/>
        </w:rPr>
        <w:t xml:space="preserve"> która ma dać możliwość finansowania naczep </w:t>
      </w:r>
      <w:r w:rsidR="003B77F2" w:rsidRPr="00EC4A8F">
        <w:rPr>
          <w:rFonts w:ascii="Arial" w:hAnsi="Arial" w:cs="Arial"/>
          <w:sz w:val="21"/>
        </w:rPr>
        <w:t xml:space="preserve">na korzystnych </w:t>
      </w:r>
      <w:r w:rsidR="006A602A" w:rsidRPr="00EC4A8F">
        <w:rPr>
          <w:rFonts w:ascii="Arial" w:hAnsi="Arial" w:cs="Arial"/>
          <w:sz w:val="21"/>
        </w:rPr>
        <w:t xml:space="preserve">dla użytkownika </w:t>
      </w:r>
      <w:r w:rsidR="003B77F2" w:rsidRPr="00EC4A8F">
        <w:rPr>
          <w:rFonts w:ascii="Arial" w:hAnsi="Arial" w:cs="Arial"/>
          <w:sz w:val="21"/>
        </w:rPr>
        <w:t>warunkach.</w:t>
      </w:r>
      <w:r w:rsidR="0052188A" w:rsidRPr="00EC4A8F">
        <w:rPr>
          <w:rFonts w:ascii="Arial" w:hAnsi="Arial" w:cs="Arial"/>
          <w:sz w:val="21"/>
        </w:rPr>
        <w:t xml:space="preserve"> </w:t>
      </w:r>
      <w:r w:rsidR="00D828DD" w:rsidRPr="00EC4A8F">
        <w:rPr>
          <w:rFonts w:ascii="Arial" w:hAnsi="Arial" w:cs="Arial"/>
          <w:sz w:val="21"/>
        </w:rPr>
        <w:t xml:space="preserve">Z oferty mogą skorzystać klienci </w:t>
      </w:r>
      <w:r w:rsidR="00DA313E" w:rsidRPr="00EC4A8F">
        <w:rPr>
          <w:rFonts w:ascii="Arial" w:hAnsi="Arial" w:cs="Arial"/>
          <w:sz w:val="21"/>
        </w:rPr>
        <w:t>zainteresowani</w:t>
      </w:r>
      <w:r w:rsidR="00D828DD" w:rsidRPr="00EC4A8F">
        <w:rPr>
          <w:rFonts w:ascii="Arial" w:hAnsi="Arial" w:cs="Arial"/>
          <w:sz w:val="21"/>
        </w:rPr>
        <w:t xml:space="preserve"> nabyciem nowych </w:t>
      </w:r>
      <w:r w:rsidR="00B2405E" w:rsidRPr="00EC4A8F">
        <w:rPr>
          <w:rFonts w:ascii="Arial" w:hAnsi="Arial" w:cs="Arial"/>
          <w:sz w:val="21"/>
        </w:rPr>
        <w:t xml:space="preserve">naczep </w:t>
      </w:r>
      <w:r w:rsidR="00D828DD" w:rsidRPr="00EC4A8F">
        <w:rPr>
          <w:rFonts w:ascii="Arial" w:hAnsi="Arial" w:cs="Arial"/>
          <w:sz w:val="21"/>
        </w:rPr>
        <w:t>kurtyn</w:t>
      </w:r>
      <w:r w:rsidR="003B77F2" w:rsidRPr="00EC4A8F">
        <w:rPr>
          <w:rFonts w:ascii="Arial" w:hAnsi="Arial" w:cs="Arial"/>
          <w:sz w:val="21"/>
        </w:rPr>
        <w:t>owych</w:t>
      </w:r>
      <w:r w:rsidR="00D828DD" w:rsidRPr="00EC4A8F">
        <w:rPr>
          <w:rFonts w:ascii="Arial" w:hAnsi="Arial" w:cs="Arial"/>
          <w:sz w:val="21"/>
        </w:rPr>
        <w:t xml:space="preserve"> </w:t>
      </w:r>
      <w:r w:rsidR="00B2405E" w:rsidRPr="00EC4A8F">
        <w:rPr>
          <w:rFonts w:ascii="Arial" w:hAnsi="Arial" w:cs="Arial"/>
          <w:sz w:val="21"/>
        </w:rPr>
        <w:t xml:space="preserve">marki </w:t>
      </w:r>
      <w:r w:rsidR="00D828DD" w:rsidRPr="00EC4A8F">
        <w:rPr>
          <w:rFonts w:ascii="Arial" w:hAnsi="Arial" w:cs="Arial"/>
          <w:sz w:val="21"/>
        </w:rPr>
        <w:t>Wielton.</w:t>
      </w:r>
      <w:r w:rsidR="00137F5D">
        <w:rPr>
          <w:rFonts w:ascii="Arial" w:hAnsi="Arial" w:cs="Arial"/>
          <w:sz w:val="21"/>
        </w:rPr>
        <w:t xml:space="preserve"> </w:t>
      </w:r>
      <w:r w:rsidR="00DA313E" w:rsidRPr="00EC4A8F">
        <w:rPr>
          <w:rFonts w:ascii="Arial" w:hAnsi="Arial" w:cs="Arial"/>
          <w:sz w:val="21"/>
        </w:rPr>
        <w:t>Oprócz</w:t>
      </w:r>
      <w:r w:rsidRPr="00EC4A8F">
        <w:rPr>
          <w:rFonts w:ascii="Arial" w:hAnsi="Arial" w:cs="Arial"/>
          <w:sz w:val="21"/>
        </w:rPr>
        <w:t xml:space="preserve"> niskiej raty, </w:t>
      </w:r>
      <w:r w:rsidR="00DA313E" w:rsidRPr="00EC4A8F">
        <w:rPr>
          <w:rFonts w:ascii="Arial" w:hAnsi="Arial" w:cs="Arial"/>
          <w:sz w:val="21"/>
        </w:rPr>
        <w:t xml:space="preserve">szybkiej </w:t>
      </w:r>
      <w:r w:rsidR="00B2405E" w:rsidRPr="00EC4A8F">
        <w:rPr>
          <w:rFonts w:ascii="Arial" w:hAnsi="Arial" w:cs="Arial"/>
          <w:sz w:val="21"/>
        </w:rPr>
        <w:t>procedury</w:t>
      </w:r>
      <w:r w:rsidR="00DA313E" w:rsidRPr="00EC4A8F">
        <w:rPr>
          <w:rFonts w:ascii="Arial" w:hAnsi="Arial" w:cs="Arial"/>
          <w:sz w:val="21"/>
        </w:rPr>
        <w:t xml:space="preserve"> </w:t>
      </w:r>
      <w:r w:rsidR="006A602A" w:rsidRPr="00EC4A8F">
        <w:rPr>
          <w:rFonts w:ascii="Arial" w:hAnsi="Arial" w:cs="Arial"/>
          <w:sz w:val="21"/>
        </w:rPr>
        <w:t>oraz atrakcyjne</w:t>
      </w:r>
      <w:r w:rsidR="008B76FD">
        <w:rPr>
          <w:rFonts w:ascii="Arial" w:hAnsi="Arial" w:cs="Arial"/>
          <w:sz w:val="21"/>
        </w:rPr>
        <w:t xml:space="preserve">go </w:t>
      </w:r>
      <w:r w:rsidR="00DA313E" w:rsidRPr="00EC4A8F">
        <w:rPr>
          <w:rFonts w:ascii="Arial" w:hAnsi="Arial" w:cs="Arial"/>
          <w:sz w:val="21"/>
        </w:rPr>
        <w:t>ubezpieczenia</w:t>
      </w:r>
      <w:r w:rsidR="006A602A" w:rsidRPr="00EC4A8F">
        <w:rPr>
          <w:rFonts w:ascii="Arial" w:hAnsi="Arial" w:cs="Arial"/>
          <w:sz w:val="21"/>
        </w:rPr>
        <w:t>,</w:t>
      </w:r>
      <w:r w:rsidR="00860E00">
        <w:rPr>
          <w:rFonts w:ascii="Arial" w:hAnsi="Arial" w:cs="Arial"/>
          <w:sz w:val="21"/>
        </w:rPr>
        <w:t xml:space="preserve"> oferta jest tak skonstruowana aby większość transakcji była realizowana automatycznie co oznacza minimalny poziom wymaganych dokumentów.</w:t>
      </w:r>
      <w:r w:rsidR="00DA313E" w:rsidRPr="00EC4A8F">
        <w:rPr>
          <w:rFonts w:ascii="Arial" w:hAnsi="Arial" w:cs="Arial"/>
          <w:sz w:val="21"/>
        </w:rPr>
        <w:t xml:space="preserve"> </w:t>
      </w:r>
    </w:p>
    <w:p w14:paraId="4060C9E6" w14:textId="52725AEB" w:rsidR="00DA313E" w:rsidRPr="00EC4A8F" w:rsidRDefault="00C545AE" w:rsidP="00EC4A8F">
      <w:pPr>
        <w:spacing w:after="120" w:line="360" w:lineRule="auto"/>
        <w:jc w:val="both"/>
        <w:rPr>
          <w:rFonts w:ascii="Arial" w:hAnsi="Arial" w:cs="Arial"/>
          <w:sz w:val="21"/>
        </w:rPr>
      </w:pPr>
      <w:r w:rsidRPr="00EC4A8F">
        <w:rPr>
          <w:rFonts w:ascii="Arial" w:hAnsi="Arial" w:cs="Arial"/>
          <w:sz w:val="21"/>
        </w:rPr>
        <w:t xml:space="preserve">Okres trwania umowy </w:t>
      </w:r>
      <w:r w:rsidR="00DA313E" w:rsidRPr="00EC4A8F">
        <w:rPr>
          <w:rFonts w:ascii="Arial" w:hAnsi="Arial" w:cs="Arial"/>
          <w:sz w:val="21"/>
        </w:rPr>
        <w:t xml:space="preserve">wynosi 3 lata. </w:t>
      </w:r>
      <w:r w:rsidRPr="00EC4A8F">
        <w:rPr>
          <w:rFonts w:ascii="Arial" w:hAnsi="Arial" w:cs="Arial"/>
          <w:sz w:val="21"/>
        </w:rPr>
        <w:t xml:space="preserve">Umowa zawierana jest w EURO w oparciu </w:t>
      </w:r>
      <w:r w:rsidR="008B76FD">
        <w:rPr>
          <w:rFonts w:ascii="Arial" w:hAnsi="Arial" w:cs="Arial"/>
          <w:sz w:val="21"/>
        </w:rPr>
        <w:t>o</w:t>
      </w:r>
      <w:r w:rsidRPr="00EC4A8F">
        <w:rPr>
          <w:rFonts w:ascii="Arial" w:hAnsi="Arial" w:cs="Arial"/>
          <w:sz w:val="21"/>
        </w:rPr>
        <w:t xml:space="preserve"> zmienną stopę. </w:t>
      </w:r>
      <w:r w:rsidR="00DA313E" w:rsidRPr="00EC4A8F">
        <w:rPr>
          <w:rFonts w:ascii="Arial" w:hAnsi="Arial" w:cs="Arial"/>
          <w:sz w:val="21"/>
        </w:rPr>
        <w:t xml:space="preserve">Wpłata własna </w:t>
      </w:r>
      <w:r w:rsidRPr="00EC4A8F">
        <w:rPr>
          <w:rFonts w:ascii="Arial" w:hAnsi="Arial" w:cs="Arial"/>
          <w:sz w:val="21"/>
        </w:rPr>
        <w:t>wynosi 11%.</w:t>
      </w:r>
      <w:r w:rsidR="003B77F2" w:rsidRPr="00EC4A8F">
        <w:rPr>
          <w:rFonts w:ascii="Arial" w:hAnsi="Arial" w:cs="Arial"/>
          <w:sz w:val="21"/>
        </w:rPr>
        <w:t xml:space="preserve"> </w:t>
      </w:r>
      <w:r w:rsidR="00A72AAC" w:rsidRPr="00EC4A8F">
        <w:rPr>
          <w:rFonts w:ascii="Arial" w:hAnsi="Arial" w:cs="Arial"/>
          <w:sz w:val="21"/>
        </w:rPr>
        <w:t>Promocja</w:t>
      </w:r>
      <w:r w:rsidR="00DA313E" w:rsidRPr="00EC4A8F">
        <w:rPr>
          <w:rFonts w:ascii="Arial" w:hAnsi="Arial" w:cs="Arial"/>
          <w:sz w:val="21"/>
        </w:rPr>
        <w:t xml:space="preserve"> potrwa do wyczerpania zasobów </w:t>
      </w:r>
      <w:r w:rsidR="003B77F2" w:rsidRPr="00EC4A8F">
        <w:rPr>
          <w:rFonts w:ascii="Arial" w:hAnsi="Arial" w:cs="Arial"/>
          <w:sz w:val="21"/>
        </w:rPr>
        <w:t xml:space="preserve">firmy </w:t>
      </w:r>
      <w:r w:rsidR="00DA313E" w:rsidRPr="00EC4A8F">
        <w:rPr>
          <w:rFonts w:ascii="Arial" w:hAnsi="Arial" w:cs="Arial"/>
          <w:sz w:val="21"/>
        </w:rPr>
        <w:t>Wielton</w:t>
      </w:r>
      <w:r w:rsidR="00B2405E" w:rsidRPr="00EC4A8F">
        <w:rPr>
          <w:rFonts w:ascii="Arial" w:hAnsi="Arial" w:cs="Arial"/>
          <w:sz w:val="21"/>
        </w:rPr>
        <w:t xml:space="preserve"> lub do końca pa</w:t>
      </w:r>
      <w:r w:rsidR="002E69FD" w:rsidRPr="00EC4A8F">
        <w:rPr>
          <w:rFonts w:ascii="Arial" w:hAnsi="Arial" w:cs="Arial"/>
          <w:sz w:val="21"/>
        </w:rPr>
        <w:t>ź</w:t>
      </w:r>
      <w:r w:rsidR="00B2405E" w:rsidRPr="00EC4A8F">
        <w:rPr>
          <w:rFonts w:ascii="Arial" w:hAnsi="Arial" w:cs="Arial"/>
          <w:sz w:val="21"/>
        </w:rPr>
        <w:t>dziernika</w:t>
      </w:r>
      <w:r w:rsidR="008B76FD">
        <w:rPr>
          <w:rFonts w:ascii="Arial" w:hAnsi="Arial" w:cs="Arial"/>
          <w:sz w:val="21"/>
        </w:rPr>
        <w:t xml:space="preserve"> br.</w:t>
      </w:r>
    </w:p>
    <w:p w14:paraId="4E488406" w14:textId="59D37B25" w:rsidR="003B77F2" w:rsidRDefault="00EC4A8F" w:rsidP="00EC4A8F">
      <w:pPr>
        <w:spacing w:after="120" w:line="360" w:lineRule="auto"/>
        <w:jc w:val="both"/>
      </w:pPr>
      <w:r>
        <w:rPr>
          <w:rFonts w:ascii="Arial" w:hAnsi="Arial" w:cs="Arial"/>
          <w:i/>
          <w:sz w:val="21"/>
        </w:rPr>
        <w:t xml:space="preserve">- </w:t>
      </w:r>
      <w:r w:rsidR="003B77F2" w:rsidRPr="00EC4A8F">
        <w:rPr>
          <w:rFonts w:ascii="Arial" w:hAnsi="Arial" w:cs="Arial"/>
          <w:i/>
          <w:sz w:val="21"/>
        </w:rPr>
        <w:t xml:space="preserve">Branża transportowa zmaga się współcześnie z wieloma wyzwaniami. Z tego powodu rozwój biznesu w tym sektorze oraz podjęcie decyzji o wymianie floty na nową nie należą do łatwych. Tym bardziej cieszymy się, że firmy transportowe mogą skorzystać ze wsparcia w realizacji ich zamówień. Dzięki współpracy z EFL możemy zaproponować naszym klientom narzędzie, dzięki któremu mogą </w:t>
      </w:r>
      <w:r w:rsidR="006A602A" w:rsidRPr="00EC4A8F">
        <w:rPr>
          <w:rFonts w:ascii="Arial" w:hAnsi="Arial" w:cs="Arial"/>
          <w:i/>
          <w:sz w:val="21"/>
        </w:rPr>
        <w:t>pozyskać</w:t>
      </w:r>
      <w:r w:rsidR="003B77F2" w:rsidRPr="00EC4A8F">
        <w:rPr>
          <w:rFonts w:ascii="Arial" w:hAnsi="Arial" w:cs="Arial"/>
          <w:i/>
          <w:sz w:val="21"/>
        </w:rPr>
        <w:t xml:space="preserve"> naczepę kurtynową marki Wielton na bardzo dogodnych warunkach. Naszym wspólnym </w:t>
      </w:r>
      <w:r w:rsidR="00BF64AF" w:rsidRPr="00EC4A8F">
        <w:rPr>
          <w:rFonts w:ascii="Arial" w:hAnsi="Arial" w:cs="Arial"/>
          <w:i/>
          <w:sz w:val="21"/>
        </w:rPr>
        <w:t xml:space="preserve">z firmą EFL </w:t>
      </w:r>
      <w:r w:rsidR="003B77F2" w:rsidRPr="00EC4A8F">
        <w:rPr>
          <w:rFonts w:ascii="Arial" w:hAnsi="Arial" w:cs="Arial"/>
          <w:i/>
          <w:sz w:val="21"/>
        </w:rPr>
        <w:t xml:space="preserve">celem, niezmiennym od wielu lat, jest dostarczanie rozwiązań transportowych i finansowych w pełni dopasowanych do wymagań </w:t>
      </w:r>
      <w:r w:rsidR="003B77F2" w:rsidRPr="00EC4A8F">
        <w:rPr>
          <w:rFonts w:ascii="Arial" w:hAnsi="Arial" w:cs="Arial"/>
          <w:i/>
          <w:sz w:val="21"/>
        </w:rPr>
        <w:lastRenderedPageBreak/>
        <w:t>naszych partnerów biznesowych i wspieranie rozwoju ich działalności</w:t>
      </w:r>
      <w:r w:rsidR="003B77F2" w:rsidRPr="00EC4A8F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>–</w:t>
      </w:r>
      <w:r w:rsidR="003B77F2" w:rsidRPr="00EC4A8F">
        <w:rPr>
          <w:rFonts w:ascii="Arial" w:hAnsi="Arial" w:cs="Arial"/>
          <w:sz w:val="21"/>
        </w:rPr>
        <w:t xml:space="preserve"> mówi </w:t>
      </w:r>
      <w:r w:rsidR="003B77F2" w:rsidRPr="00EC4A8F">
        <w:rPr>
          <w:rFonts w:ascii="Arial" w:hAnsi="Arial" w:cs="Arial"/>
          <w:b/>
          <w:color w:val="2F7366"/>
          <w:sz w:val="21"/>
        </w:rPr>
        <w:t>Ajdar Dziadosz, Dyrektor Remarketingu i Programów Finansowych Wielton S.A.</w:t>
      </w:r>
    </w:p>
    <w:p w14:paraId="0D82E86B" w14:textId="21281DE0" w:rsidR="00C545AE" w:rsidRDefault="00F44F87" w:rsidP="00EC4A8F">
      <w:pPr>
        <w:spacing w:after="120"/>
        <w:jc w:val="center"/>
      </w:pPr>
      <w:r w:rsidRPr="00ED3203">
        <w:rPr>
          <w:rFonts w:ascii="Arial" w:hAnsi="Arial" w:cs="Arial"/>
          <w:b/>
          <w:color w:val="26744D"/>
          <w:sz w:val="20"/>
        </w:rPr>
        <w:t>***</w:t>
      </w:r>
    </w:p>
    <w:p w14:paraId="0434FBE6" w14:textId="2552AA51" w:rsidR="004D3CC2" w:rsidRDefault="004D3CC2" w:rsidP="004D3CC2">
      <w:pPr>
        <w:autoSpaceDE w:val="0"/>
        <w:spacing w:after="120"/>
        <w:jc w:val="both"/>
        <w:rPr>
          <w:rStyle w:val="Hipercze"/>
          <w:rFonts w:ascii="Arial" w:hAnsi="Arial" w:cs="Arial"/>
          <w:sz w:val="18"/>
          <w:szCs w:val="18"/>
        </w:rPr>
      </w:pPr>
      <w:r w:rsidRPr="00F44F87">
        <w:rPr>
          <w:rFonts w:ascii="Arial" w:hAnsi="Arial" w:cs="Arial"/>
          <w:b/>
          <w:bCs/>
          <w:color w:val="3B896D"/>
          <w:sz w:val="18"/>
          <w:szCs w:val="18"/>
        </w:rPr>
        <w:t xml:space="preserve">Europejski Fundusz Leasingowy SA </w:t>
      </w:r>
      <w:r w:rsidRPr="00F44F87">
        <w:rPr>
          <w:rFonts w:ascii="Arial" w:hAnsi="Arial" w:cs="Arial"/>
          <w:sz w:val="18"/>
          <w:szCs w:val="18"/>
        </w:rPr>
        <w:t>powstał w 1991 roku, jako jedna z pierwszych firm leasingowych w Polsce. Od 2001 roku EFL jest częścią Grupy Crédit Agricole, co gwarantuje firmie finansową stabilność i bezpieczeństwo oraz pozwala korzystać z wiedzy i doświadczeń instytucji finansowej o międzynarodowym zasięgu. EFL konsekwentnie poszerza zakres rozwiązań dla biznesu. Spółka oferuje szeroki pakiet produktów: leasing, pożyczkę, wynajem długoterminowy, ubezpiec</w:t>
      </w:r>
      <w:r w:rsidR="00F44F87" w:rsidRPr="00F44F87">
        <w:rPr>
          <w:rFonts w:ascii="Arial" w:hAnsi="Arial" w:cs="Arial"/>
          <w:sz w:val="18"/>
          <w:szCs w:val="18"/>
        </w:rPr>
        <w:t xml:space="preserve">zenia i faktoring. Od ponad 30 lat </w:t>
      </w:r>
      <w:r w:rsidRPr="00F44F87">
        <w:rPr>
          <w:rFonts w:ascii="Arial" w:hAnsi="Arial" w:cs="Arial"/>
          <w:sz w:val="18"/>
          <w:szCs w:val="18"/>
        </w:rPr>
        <w:t xml:space="preserve">współpracuje z najbardziej liczącymi się producentami i dostawcami maszyn, urządzeń, pojazdów oraz innych środków trwałych. Firmę wyróżniono m.in. </w:t>
      </w:r>
      <w:r w:rsidR="00F44F87" w:rsidRPr="00F44F87">
        <w:rPr>
          <w:rFonts w:ascii="Arial" w:hAnsi="Arial" w:cs="Arial"/>
          <w:sz w:val="18"/>
          <w:szCs w:val="18"/>
        </w:rPr>
        <w:t xml:space="preserve"> </w:t>
      </w:r>
      <w:r w:rsidR="00F44F87" w:rsidRPr="00F44F87">
        <w:rPr>
          <w:rStyle w:val="Pogrubienie"/>
          <w:rFonts w:ascii="Arial" w:hAnsi="Arial" w:cs="Arial"/>
          <w:b w:val="0"/>
          <w:sz w:val="18"/>
          <w:szCs w:val="18"/>
        </w:rPr>
        <w:t>Business Superbrands 2021</w:t>
      </w:r>
      <w:r w:rsidR="00F44F87" w:rsidRPr="00F44F87">
        <w:rPr>
          <w:rStyle w:val="Pogrubienie"/>
          <w:rFonts w:ascii="Arial" w:hAnsi="Arial" w:cs="Arial"/>
          <w:color w:val="43856D"/>
          <w:sz w:val="18"/>
          <w:szCs w:val="18"/>
        </w:rPr>
        <w:t xml:space="preserve">, </w:t>
      </w:r>
      <w:r w:rsidRPr="00F44F87">
        <w:rPr>
          <w:rFonts w:ascii="Arial" w:hAnsi="Arial" w:cs="Arial"/>
          <w:sz w:val="18"/>
          <w:szCs w:val="18"/>
        </w:rPr>
        <w:t>sześciokrotnie tytułem: Firmy Przyjaznej Klientowi i siedmiokrotnie Finansowej Marki Roku. Już ponad 3</w:t>
      </w:r>
      <w:r w:rsidR="00F44F87" w:rsidRPr="00F44F87">
        <w:rPr>
          <w:rFonts w:ascii="Arial" w:hAnsi="Arial" w:cs="Arial"/>
          <w:sz w:val="18"/>
          <w:szCs w:val="18"/>
        </w:rPr>
        <w:t>36</w:t>
      </w:r>
      <w:r w:rsidRPr="00F44F87">
        <w:rPr>
          <w:rFonts w:ascii="Arial" w:hAnsi="Arial" w:cs="Arial"/>
          <w:sz w:val="18"/>
          <w:szCs w:val="18"/>
        </w:rPr>
        <w:t xml:space="preserve"> tysiące klientów wybrało EFL na swojego partnera </w:t>
      </w:r>
      <w:r w:rsidR="007D59BE">
        <w:rPr>
          <w:rFonts w:ascii="Arial" w:hAnsi="Arial" w:cs="Arial"/>
          <w:sz w:val="18"/>
          <w:szCs w:val="18"/>
        </w:rPr>
        <w:br/>
      </w:r>
      <w:r w:rsidRPr="00F44F87">
        <w:rPr>
          <w:rFonts w:ascii="Arial" w:hAnsi="Arial" w:cs="Arial"/>
          <w:sz w:val="18"/>
          <w:szCs w:val="18"/>
        </w:rPr>
        <w:t xml:space="preserve">w biznesie. Więcej na: </w:t>
      </w:r>
      <w:hyperlink r:id="rId11" w:history="1">
        <w:r w:rsidRPr="00F44F87">
          <w:rPr>
            <w:rStyle w:val="Hipercze"/>
            <w:rFonts w:ascii="Arial" w:hAnsi="Arial" w:cs="Arial"/>
            <w:sz w:val="18"/>
            <w:szCs w:val="18"/>
          </w:rPr>
          <w:t>www.efl.pl</w:t>
        </w:r>
      </w:hyperlink>
      <w:r w:rsidRPr="00F44F87">
        <w:rPr>
          <w:rStyle w:val="Hipercze"/>
          <w:rFonts w:ascii="Arial" w:hAnsi="Arial" w:cs="Arial"/>
          <w:sz w:val="18"/>
          <w:szCs w:val="18"/>
        </w:rPr>
        <w:t>.</w:t>
      </w:r>
    </w:p>
    <w:p w14:paraId="2F9A6B6D" w14:textId="1B0ECF47" w:rsidR="007D59BE" w:rsidRPr="007D59BE" w:rsidRDefault="007D59BE" w:rsidP="00EC4A8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D59BE">
        <w:rPr>
          <w:rFonts w:ascii="Arial" w:hAnsi="Arial" w:cs="Arial"/>
          <w:b/>
          <w:bCs/>
          <w:color w:val="000000" w:themeColor="text1"/>
          <w:sz w:val="18"/>
          <w:szCs w:val="18"/>
        </w:rPr>
        <w:t>Wielton S.A.</w:t>
      </w:r>
      <w:r w:rsidRPr="007D59BE">
        <w:rPr>
          <w:rFonts w:ascii="Arial" w:hAnsi="Arial" w:cs="Arial"/>
          <w:color w:val="000000" w:themeColor="text1"/>
          <w:sz w:val="18"/>
          <w:szCs w:val="18"/>
        </w:rPr>
        <w:t xml:space="preserve"> z siedzibą w Wieluniu to największy polski producent naczep, przyczep i zabudów. Spółka notowana na Giełdzie Papierów Wartościowych w Warszawie należy do grona dziesięciu największych producentów w swojej branży na świecie. Klientami Wieltonu są firmy transportowe, budowlane, produkcyjne, dystrybucyjne i rolnicze. Grupa Wielton posiada cztery centra produkcyjne: w Polsce, Niemczech, we Francji oraz Wielkiej Brytanii, a także dwie montownie: we Włoszech i w Rosji. Pod koniec 2016 r. Wielton uruchomił spółkę zależną na Wybrzeżu Kości Słoniowej.</w:t>
      </w:r>
    </w:p>
    <w:p w14:paraId="5218012C" w14:textId="77777777" w:rsidR="007D59BE" w:rsidRPr="007D59BE" w:rsidRDefault="007D59BE" w:rsidP="00EC4A8F">
      <w:pPr>
        <w:rPr>
          <w:rFonts w:ascii="Arial" w:hAnsi="Arial" w:cs="Arial"/>
          <w:color w:val="000000" w:themeColor="text1"/>
          <w:sz w:val="18"/>
          <w:szCs w:val="18"/>
        </w:rPr>
      </w:pPr>
      <w:r w:rsidRPr="007D59B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7DF1E73F" w14:textId="426D0FAF" w:rsidR="007D59BE" w:rsidRPr="007D59BE" w:rsidRDefault="007D59BE" w:rsidP="00EC4A8F">
      <w:pPr>
        <w:jc w:val="both"/>
        <w:rPr>
          <w:rFonts w:ascii="Arial" w:hAnsi="Arial" w:cs="Arial"/>
          <w:sz w:val="18"/>
          <w:szCs w:val="18"/>
        </w:rPr>
      </w:pPr>
      <w:r w:rsidRPr="007D59BE">
        <w:rPr>
          <w:rFonts w:ascii="Arial" w:hAnsi="Arial" w:cs="Arial"/>
          <w:color w:val="000000" w:themeColor="text1"/>
          <w:sz w:val="18"/>
          <w:szCs w:val="18"/>
        </w:rPr>
        <w:t xml:space="preserve">W ramach całej Grupy zatrudnienie znajduje obecnie ok. 3,6 tys. pracowników, przy czym najwięcej, bo aż 2 tys. w Wieluniu. Swoim klientom producent zapewnia również wsparcie serwisowe. Kierowcy mogą skorzystać z jednego z ponad 550 punktów zlokalizowanych w 30 krajach Europy. W 2016 r. w Wieluniu Wielton otworzył Centrum Badawczo-Rozwojowe. Inwestycje w badania i rozwój to dla spółki istotny element strategii. Już dziś firma współpracuje z instytutami i uczelniami w Polsce i za granicą, a Dział Badań i Rozwoju posiada jedyną w Polsce, a drugą w Europie stację do całopojazdowego badania naczep, która umożliwia wykrywanie ewentualnych usterek już na etapie testów produkowanych pojazdów. Oferta Grupy Wielton z roku na rok się poszerza i zostaje wzbogacona o nowe produkty. Klienci mogą wybierać spośród 12 grup pojazdów, dostępnych w 800 konfiguracjach. Siłą Grupy jest konsekwentnie realizowana strategia, oparta na rozwoju organicznym i akwizycjach. W 2015 r. Grupa nabyła wiodące włoskie marki Viberti i Cardi. W maju 2017 r. Grupa Wielton przejęła niemiecką spółkę Langendorf, dzięki czemu poszerzyła swoją ofertę m.in. o specjalistyczne pojazdy do przewozu szkła i prefabrykatów betonowych, a w ostatnim kwartale 2017 roku sfinalizowała akwizycję 100% udziałów we francuskiej spółce Fruehauf. Przejęcie spółki Lawrence David we wrześniu 2018 r. pozwoliło wzbogacić ofertę Grupy o kolejne unikalne pojazdy. Na szczególną uwagę zasługują produkty z linii last mile delivery oraz bezsłupkowe naczepy kurtynowe, które pozwalają na bardziej efektywne ładowanie i szybszy transport. Z kolei przejęcie spółki </w:t>
      </w:r>
      <w:r w:rsidRPr="007D59BE">
        <w:rPr>
          <w:rFonts w:ascii="Arial" w:hAnsi="Arial" w:cs="Arial"/>
          <w:sz w:val="18"/>
          <w:szCs w:val="18"/>
        </w:rPr>
        <w:t>Guillén Desarrollos Industriales umożliwiło rozszerzenie działalności Grupy o kolejny ważny rynek – Hiszpanię.</w:t>
      </w:r>
    </w:p>
    <w:p w14:paraId="39803B86" w14:textId="77777777" w:rsidR="007D59BE" w:rsidRPr="00F44F87" w:rsidRDefault="007D59BE" w:rsidP="004D3CC2">
      <w:pPr>
        <w:autoSpaceDE w:val="0"/>
        <w:spacing w:after="120"/>
        <w:jc w:val="both"/>
        <w:rPr>
          <w:rStyle w:val="Hipercze"/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632"/>
      </w:tblGrid>
      <w:tr w:rsidR="00D77C82" w:rsidRPr="00ED3203" w14:paraId="540B43D6" w14:textId="77777777" w:rsidTr="006B074D">
        <w:tc>
          <w:tcPr>
            <w:tcW w:w="9632" w:type="dxa"/>
            <w:shd w:val="clear" w:color="auto" w:fill="22744F"/>
          </w:tcPr>
          <w:p w14:paraId="5B833814" w14:textId="77777777" w:rsidR="00D77C82" w:rsidRPr="00ED3203" w:rsidRDefault="00D77C82" w:rsidP="006B074D">
            <w:pPr>
              <w:tabs>
                <w:tab w:val="left" w:pos="4248"/>
                <w:tab w:val="left" w:pos="6684"/>
              </w:tabs>
              <w:outlineLvl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>Więcej informacji udziela:</w:t>
            </w: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</w:p>
        </w:tc>
      </w:tr>
      <w:tr w:rsidR="00D77C82" w:rsidRPr="003E0BE4" w14:paraId="5305555A" w14:textId="77777777" w:rsidTr="006B074D">
        <w:trPr>
          <w:trHeight w:val="964"/>
        </w:trPr>
        <w:tc>
          <w:tcPr>
            <w:tcW w:w="9632" w:type="dxa"/>
            <w:shd w:val="clear" w:color="auto" w:fill="auto"/>
            <w:vAlign w:val="center"/>
          </w:tcPr>
          <w:p w14:paraId="4F364A26" w14:textId="77777777" w:rsidR="00D77C82" w:rsidRPr="00ED3203" w:rsidRDefault="00D77C82" w:rsidP="006B074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b/>
                <w:sz w:val="20"/>
                <w:szCs w:val="20"/>
              </w:rPr>
              <w:t>Maja Lidke</w:t>
            </w:r>
          </w:p>
          <w:p w14:paraId="70C772BC" w14:textId="77777777" w:rsidR="00D77C82" w:rsidRPr="00ED3203" w:rsidRDefault="00D77C82" w:rsidP="006B074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sz w:val="20"/>
                <w:szCs w:val="20"/>
              </w:rPr>
              <w:t>Europejski Fundusz Leasingowy</w:t>
            </w:r>
          </w:p>
          <w:p w14:paraId="2E899BD2" w14:textId="77777777" w:rsidR="00D77C82" w:rsidRPr="00ED3203" w:rsidRDefault="00D77C82" w:rsidP="006B074D">
            <w:pPr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sz w:val="20"/>
                <w:szCs w:val="20"/>
              </w:rPr>
              <w:t>Tel.: 603 630 166</w:t>
            </w:r>
          </w:p>
          <w:p w14:paraId="702B9523" w14:textId="77777777" w:rsidR="00D77C82" w:rsidRPr="00575566" w:rsidRDefault="00D77C82" w:rsidP="006B074D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75566"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  <w:hyperlink r:id="rId12" w:history="1">
              <w:r w:rsidRPr="00575566">
                <w:rPr>
                  <w:rStyle w:val="Hipercze"/>
                  <w:rFonts w:ascii="Arial" w:hAnsi="Arial" w:cs="Arial"/>
                  <w:sz w:val="20"/>
                  <w:szCs w:val="20"/>
                  <w:lang w:val="en-GB"/>
                </w:rPr>
                <w:t>maja.lidke@efl.com.pl</w:t>
              </w:r>
            </w:hyperlink>
          </w:p>
        </w:tc>
      </w:tr>
    </w:tbl>
    <w:p w14:paraId="10B0C573" w14:textId="47E3AB71" w:rsidR="00C545AE" w:rsidRPr="00F44F87" w:rsidRDefault="00C545AE" w:rsidP="004D3CC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C545AE" w:rsidRPr="00F44F87" w:rsidSect="00A61696">
      <w:headerReference w:type="default" r:id="rId13"/>
      <w:footerReference w:type="default" r:id="rId14"/>
      <w:pgSz w:w="11906" w:h="16838"/>
      <w:pgMar w:top="851" w:right="964" w:bottom="794" w:left="964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B5C80" w14:textId="77777777" w:rsidR="006E04BD" w:rsidRDefault="006E04BD" w:rsidP="00A61696">
      <w:r>
        <w:separator/>
      </w:r>
    </w:p>
  </w:endnote>
  <w:endnote w:type="continuationSeparator" w:id="0">
    <w:p w14:paraId="5563C95D" w14:textId="77777777" w:rsidR="006E04BD" w:rsidRDefault="006E04BD" w:rsidP="00A6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98143" w14:textId="3850707C" w:rsidR="00A61696" w:rsidRDefault="00EA11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C53775D" wp14:editId="63C36726">
          <wp:simplePos x="0" y="0"/>
          <wp:positionH relativeFrom="page">
            <wp:align>right</wp:align>
          </wp:positionH>
          <wp:positionV relativeFrom="paragraph">
            <wp:posOffset>-937246</wp:posOffset>
          </wp:positionV>
          <wp:extent cx="7553325" cy="15316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956" cy="1532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4B2B5" w14:textId="77777777" w:rsidR="006E04BD" w:rsidRDefault="006E04BD" w:rsidP="00A61696">
      <w:r>
        <w:separator/>
      </w:r>
    </w:p>
  </w:footnote>
  <w:footnote w:type="continuationSeparator" w:id="0">
    <w:p w14:paraId="3F012F30" w14:textId="77777777" w:rsidR="006E04BD" w:rsidRDefault="006E04BD" w:rsidP="00A6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6C240" w14:textId="7186C354" w:rsidR="00A61696" w:rsidRDefault="00A616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006972" wp14:editId="3A00BDC2">
          <wp:simplePos x="0" y="0"/>
          <wp:positionH relativeFrom="page">
            <wp:align>right</wp:align>
          </wp:positionH>
          <wp:positionV relativeFrom="paragraph">
            <wp:posOffset>-973455</wp:posOffset>
          </wp:positionV>
          <wp:extent cx="7535505" cy="1528549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05" cy="1528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4A81"/>
    <w:multiLevelType w:val="multilevel"/>
    <w:tmpl w:val="DB14160A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64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72" w:hanging="1800"/>
      </w:pPr>
      <w:rPr>
        <w:rFonts w:hint="default"/>
      </w:rPr>
    </w:lvl>
  </w:abstractNum>
  <w:abstractNum w:abstractNumId="1" w15:restartNumberingAfterBreak="0">
    <w:nsid w:val="6C3161F3"/>
    <w:multiLevelType w:val="hybridMultilevel"/>
    <w:tmpl w:val="03144E3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2B2EC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96"/>
    <w:rsid w:val="00026596"/>
    <w:rsid w:val="00040A58"/>
    <w:rsid w:val="000747EE"/>
    <w:rsid w:val="00087FEB"/>
    <w:rsid w:val="000A08B3"/>
    <w:rsid w:val="00104CED"/>
    <w:rsid w:val="00117CC3"/>
    <w:rsid w:val="00120045"/>
    <w:rsid w:val="00137F5D"/>
    <w:rsid w:val="00160248"/>
    <w:rsid w:val="001749EF"/>
    <w:rsid w:val="001A3B0A"/>
    <w:rsid w:val="001C5627"/>
    <w:rsid w:val="001D7678"/>
    <w:rsid w:val="00203950"/>
    <w:rsid w:val="0023529D"/>
    <w:rsid w:val="002549B2"/>
    <w:rsid w:val="0028409F"/>
    <w:rsid w:val="00285776"/>
    <w:rsid w:val="002C6404"/>
    <w:rsid w:val="002E16CA"/>
    <w:rsid w:val="002E69FD"/>
    <w:rsid w:val="002F2B84"/>
    <w:rsid w:val="003608BD"/>
    <w:rsid w:val="00394620"/>
    <w:rsid w:val="003965B8"/>
    <w:rsid w:val="00397B28"/>
    <w:rsid w:val="003A4405"/>
    <w:rsid w:val="003B77F2"/>
    <w:rsid w:val="003C3EBC"/>
    <w:rsid w:val="00404BA1"/>
    <w:rsid w:val="00412645"/>
    <w:rsid w:val="004250ED"/>
    <w:rsid w:val="00426047"/>
    <w:rsid w:val="004347F7"/>
    <w:rsid w:val="00440745"/>
    <w:rsid w:val="004557F2"/>
    <w:rsid w:val="00486C60"/>
    <w:rsid w:val="004941F7"/>
    <w:rsid w:val="004A3763"/>
    <w:rsid w:val="004C7F74"/>
    <w:rsid w:val="004D3CC2"/>
    <w:rsid w:val="004D468E"/>
    <w:rsid w:val="004E107B"/>
    <w:rsid w:val="004F5DBB"/>
    <w:rsid w:val="0052188A"/>
    <w:rsid w:val="00521B83"/>
    <w:rsid w:val="00536B41"/>
    <w:rsid w:val="00563A98"/>
    <w:rsid w:val="00580D7C"/>
    <w:rsid w:val="00584FC6"/>
    <w:rsid w:val="005A1381"/>
    <w:rsid w:val="005B5DC1"/>
    <w:rsid w:val="005E7B2B"/>
    <w:rsid w:val="005F2506"/>
    <w:rsid w:val="00610EFB"/>
    <w:rsid w:val="00620072"/>
    <w:rsid w:val="00676148"/>
    <w:rsid w:val="0068000E"/>
    <w:rsid w:val="006A2735"/>
    <w:rsid w:val="006A602A"/>
    <w:rsid w:val="006B7419"/>
    <w:rsid w:val="006D3E09"/>
    <w:rsid w:val="006E04BD"/>
    <w:rsid w:val="006E0FA5"/>
    <w:rsid w:val="006E56D9"/>
    <w:rsid w:val="00700506"/>
    <w:rsid w:val="007D59BE"/>
    <w:rsid w:val="007E6641"/>
    <w:rsid w:val="007E79DF"/>
    <w:rsid w:val="007E7B4A"/>
    <w:rsid w:val="007F0927"/>
    <w:rsid w:val="00817542"/>
    <w:rsid w:val="0085799C"/>
    <w:rsid w:val="00860E00"/>
    <w:rsid w:val="008A2450"/>
    <w:rsid w:val="008B76FD"/>
    <w:rsid w:val="00901F66"/>
    <w:rsid w:val="00963ACC"/>
    <w:rsid w:val="00996314"/>
    <w:rsid w:val="009A3496"/>
    <w:rsid w:val="009B1CB9"/>
    <w:rsid w:val="009F23C3"/>
    <w:rsid w:val="00A441D1"/>
    <w:rsid w:val="00A61696"/>
    <w:rsid w:val="00A72AAC"/>
    <w:rsid w:val="00AE1265"/>
    <w:rsid w:val="00AF1A3F"/>
    <w:rsid w:val="00B2405E"/>
    <w:rsid w:val="00B30A38"/>
    <w:rsid w:val="00B5378E"/>
    <w:rsid w:val="00B56139"/>
    <w:rsid w:val="00B62F34"/>
    <w:rsid w:val="00BF2BE2"/>
    <w:rsid w:val="00BF64AF"/>
    <w:rsid w:val="00C041D8"/>
    <w:rsid w:val="00C04326"/>
    <w:rsid w:val="00C11177"/>
    <w:rsid w:val="00C21FB4"/>
    <w:rsid w:val="00C52E60"/>
    <w:rsid w:val="00C545AE"/>
    <w:rsid w:val="00C71343"/>
    <w:rsid w:val="00CB0611"/>
    <w:rsid w:val="00CB67E3"/>
    <w:rsid w:val="00CE5AA5"/>
    <w:rsid w:val="00D4410E"/>
    <w:rsid w:val="00D65EDE"/>
    <w:rsid w:val="00D70507"/>
    <w:rsid w:val="00D77C82"/>
    <w:rsid w:val="00D828DD"/>
    <w:rsid w:val="00DA243D"/>
    <w:rsid w:val="00DA313E"/>
    <w:rsid w:val="00DC46AC"/>
    <w:rsid w:val="00DF055D"/>
    <w:rsid w:val="00E30ED2"/>
    <w:rsid w:val="00E925C6"/>
    <w:rsid w:val="00EA11E6"/>
    <w:rsid w:val="00EC4A8F"/>
    <w:rsid w:val="00EF553E"/>
    <w:rsid w:val="00F030E9"/>
    <w:rsid w:val="00F44F87"/>
    <w:rsid w:val="00F555C9"/>
    <w:rsid w:val="00F9149A"/>
    <w:rsid w:val="00FA3142"/>
    <w:rsid w:val="00FC71E3"/>
    <w:rsid w:val="00FE4C1F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1CE1A"/>
  <w15:docId w15:val="{50E533B1-5B10-434B-8C23-6FA18CCB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419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6169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1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6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696"/>
  </w:style>
  <w:style w:type="paragraph" w:styleId="Stopka">
    <w:name w:val="footer"/>
    <w:basedOn w:val="Normalny"/>
    <w:link w:val="StopkaZnak"/>
    <w:uiPriority w:val="99"/>
    <w:unhideWhenUsed/>
    <w:rsid w:val="00A6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696"/>
  </w:style>
  <w:style w:type="paragraph" w:styleId="Bezodstpw">
    <w:name w:val="No Spacing"/>
    <w:uiPriority w:val="1"/>
    <w:qFormat/>
    <w:rsid w:val="00087FE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3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1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1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1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11177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1177"/>
    <w:rPr>
      <w:rFonts w:ascii="Arial" w:hAnsi="Arial" w:cs="Arial"/>
      <w:sz w:val="18"/>
      <w:szCs w:val="18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1177"/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1117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4F87"/>
    <w:rPr>
      <w:b/>
      <w:bCs/>
    </w:rPr>
  </w:style>
  <w:style w:type="paragraph" w:styleId="Poprawka">
    <w:name w:val="Revision"/>
    <w:hidden/>
    <w:uiPriority w:val="99"/>
    <w:semiHidden/>
    <w:rsid w:val="003B7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ja.lidke@efl.com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fl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e04b59-6f99-4763-9cdb-33f03068740f">
      <Terms xmlns="http://schemas.microsoft.com/office/infopath/2007/PartnerControls"/>
    </lcf76f155ced4ddcb4097134ff3c332f>
    <TaxCatchAll xmlns="68b9c30a-62d2-4214-b56a-bf874bcb7f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96F2FEBBF20F48BBAC289613E0A715" ma:contentTypeVersion="16" ma:contentTypeDescription="Utwórz nowy dokument." ma:contentTypeScope="" ma:versionID="6fcd799edebd4231a1195e6e6ac167ee">
  <xsd:schema xmlns:xsd="http://www.w3.org/2001/XMLSchema" xmlns:xs="http://www.w3.org/2001/XMLSchema" xmlns:p="http://schemas.microsoft.com/office/2006/metadata/properties" xmlns:ns2="a2e04b59-6f99-4763-9cdb-33f03068740f" xmlns:ns3="68b9c30a-62d2-4214-b56a-bf874bcb7fbb" targetNamespace="http://schemas.microsoft.com/office/2006/metadata/properties" ma:root="true" ma:fieldsID="175e8006eb25a8191e279324c35524c7" ns2:_="" ns3:_="">
    <xsd:import namespace="a2e04b59-6f99-4763-9cdb-33f03068740f"/>
    <xsd:import namespace="68b9c30a-62d2-4214-b56a-bf874bcb7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04b59-6f99-4763-9cdb-33f030687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9c30a-62d2-4214-b56a-bf874bcb7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498186-f6c7-45ef-8059-792a26b513cd}" ma:internalName="TaxCatchAll" ma:showField="CatchAllData" ma:web="68b9c30a-62d2-4214-b56a-bf874bcb7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2DE7-E344-44E8-BF00-45BAC37BC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7F04F-D277-40DE-BF9F-F71EC0C4AFA7}">
  <ds:schemaRefs>
    <ds:schemaRef ds:uri="http://schemas.microsoft.com/office/2006/metadata/properties"/>
    <ds:schemaRef ds:uri="http://schemas.microsoft.com/office/infopath/2007/PartnerControls"/>
    <ds:schemaRef ds:uri="a2e04b59-6f99-4763-9cdb-33f03068740f"/>
    <ds:schemaRef ds:uri="68b9c30a-62d2-4214-b56a-bf874bcb7fbb"/>
  </ds:schemaRefs>
</ds:datastoreItem>
</file>

<file path=customXml/itemProps3.xml><?xml version="1.0" encoding="utf-8"?>
<ds:datastoreItem xmlns:ds="http://schemas.openxmlformats.org/officeDocument/2006/customXml" ds:itemID="{EA66FA08-CA86-460E-B5C2-8E881FC29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04b59-6f99-4763-9cdb-33f03068740f"/>
    <ds:schemaRef ds:uri="68b9c30a-62d2-4214-b56a-bf874bcb7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967F02-6238-41FB-9130-DA16AA12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Kaminski</dc:creator>
  <cp:keywords/>
  <dc:description/>
  <cp:lastModifiedBy>Maja Lidke</cp:lastModifiedBy>
  <cp:revision>4</cp:revision>
  <dcterms:created xsi:type="dcterms:W3CDTF">2022-05-30T06:48:00Z</dcterms:created>
  <dcterms:modified xsi:type="dcterms:W3CDTF">2022-05-30T06:50:00Z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0x0101005596F2FEBBF20F48BBAC289613E0A715</vt:lpwstr>
  </property>
</Properties>
</file>