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6E307" w14:textId="3DE37C49" w:rsidR="001869DD" w:rsidRDefault="000F38EF" w:rsidP="006678A7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Otyłość to choroba</w:t>
      </w:r>
      <w:r w:rsidR="002064B6">
        <w:rPr>
          <w:b/>
          <w:bCs/>
          <w:sz w:val="24"/>
          <w:szCs w:val="24"/>
        </w:rPr>
        <w:t>, o której powinieneś p</w:t>
      </w:r>
      <w:r>
        <w:rPr>
          <w:b/>
          <w:bCs/>
          <w:sz w:val="24"/>
          <w:szCs w:val="24"/>
        </w:rPr>
        <w:t>orozmawia</w:t>
      </w:r>
      <w:r w:rsidR="002064B6">
        <w:rPr>
          <w:b/>
          <w:bCs/>
          <w:sz w:val="24"/>
          <w:szCs w:val="24"/>
        </w:rPr>
        <w:t>ć</w:t>
      </w:r>
      <w:r w:rsidR="0052106B">
        <w:rPr>
          <w:b/>
          <w:bCs/>
          <w:sz w:val="24"/>
          <w:szCs w:val="24"/>
        </w:rPr>
        <w:t xml:space="preserve"> z lekarzem.</w:t>
      </w:r>
      <w:r w:rsidR="00DE4D0E">
        <w:rPr>
          <w:b/>
          <w:bCs/>
          <w:sz w:val="24"/>
          <w:szCs w:val="24"/>
        </w:rPr>
        <w:t xml:space="preserve"> </w:t>
      </w:r>
    </w:p>
    <w:p w14:paraId="5B23DDA0" w14:textId="71032D2C" w:rsidR="001869DD" w:rsidRDefault="001869DD" w:rsidP="006678A7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Otyłość się leczy a nie odchudza!</w:t>
      </w:r>
    </w:p>
    <w:p w14:paraId="1BA5A9AF" w14:textId="63B2370E" w:rsidR="000F38EF" w:rsidRDefault="002064B6" w:rsidP="006678A7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Startuje</w:t>
      </w:r>
      <w:r w:rsidR="000F38EF">
        <w:rPr>
          <w:b/>
          <w:bCs/>
          <w:sz w:val="24"/>
          <w:szCs w:val="24"/>
        </w:rPr>
        <w:t xml:space="preserve"> 3. edycja kampanii „Porozmawiajmy szczerze o otyłości”</w:t>
      </w:r>
    </w:p>
    <w:p w14:paraId="088A0308" w14:textId="2F384B71" w:rsidR="00AA07C9" w:rsidRDefault="00D53051" w:rsidP="00AA07C9">
      <w:pPr>
        <w:jc w:val="both"/>
        <w:rPr>
          <w:b/>
        </w:rPr>
      </w:pPr>
      <w:r>
        <w:rPr>
          <w:b/>
        </w:rPr>
        <w:t>7 czerwca rusza</w:t>
      </w:r>
      <w:r w:rsidR="00E951E4">
        <w:rPr>
          <w:b/>
        </w:rPr>
        <w:t xml:space="preserve"> 3. edycja ogólnopolskiej kampanii edukacyjnej pt. „Porozmawiajmy szczerze o otyłości”. Jej celem jest budowanie społecznej świadomości, że otyłość to choroba, którą </w:t>
      </w:r>
      <w:r w:rsidR="002064B6">
        <w:rPr>
          <w:b/>
        </w:rPr>
        <w:t xml:space="preserve">można </w:t>
      </w:r>
      <w:r w:rsidR="00E951E4">
        <w:rPr>
          <w:b/>
        </w:rPr>
        <w:t>i </w:t>
      </w:r>
      <w:r w:rsidR="002064B6">
        <w:rPr>
          <w:b/>
        </w:rPr>
        <w:t xml:space="preserve">należy </w:t>
      </w:r>
      <w:r w:rsidR="00E951E4">
        <w:rPr>
          <w:b/>
        </w:rPr>
        <w:t xml:space="preserve">leczyć. Brak rozumienia otyłości </w:t>
      </w:r>
      <w:r w:rsidR="002064B6">
        <w:rPr>
          <w:b/>
        </w:rPr>
        <w:t xml:space="preserve">jako choroby </w:t>
      </w:r>
      <w:r w:rsidR="00E951E4">
        <w:rPr>
          <w:b/>
        </w:rPr>
        <w:t>przekłada się na przekonanie, że jest ona świadomym wyborem chorego</w:t>
      </w:r>
      <w:r w:rsidR="002064B6">
        <w:rPr>
          <w:b/>
        </w:rPr>
        <w:t xml:space="preserve"> i efektem jego słabej woli czy </w:t>
      </w:r>
      <w:r w:rsidR="00BC0198">
        <w:rPr>
          <w:b/>
        </w:rPr>
        <w:t xml:space="preserve">niewłaściwego </w:t>
      </w:r>
      <w:r w:rsidR="002064B6">
        <w:rPr>
          <w:b/>
        </w:rPr>
        <w:t>stylu życia</w:t>
      </w:r>
      <w:r w:rsidR="000D63D5">
        <w:rPr>
          <w:b/>
        </w:rPr>
        <w:t>, co jest krzywdzące dla tej grupy chorych</w:t>
      </w:r>
      <w:r w:rsidR="006954D5">
        <w:rPr>
          <w:b/>
        </w:rPr>
        <w:t>.</w:t>
      </w:r>
      <w:r w:rsidR="00E951E4">
        <w:rPr>
          <w:b/>
        </w:rPr>
        <w:t xml:space="preserve"> </w:t>
      </w:r>
      <w:r w:rsidR="002064B6">
        <w:rPr>
          <w:b/>
        </w:rPr>
        <w:t>Tymczasem szczera rozmowa z lekarzem może być pun</w:t>
      </w:r>
      <w:r w:rsidR="008246FB">
        <w:rPr>
          <w:b/>
        </w:rPr>
        <w:t>k</w:t>
      </w:r>
      <w:r w:rsidR="0052106B">
        <w:rPr>
          <w:b/>
        </w:rPr>
        <w:t>tem zwrotnym w </w:t>
      </w:r>
      <w:r w:rsidR="002064B6">
        <w:rPr>
          <w:b/>
        </w:rPr>
        <w:t xml:space="preserve">długim i </w:t>
      </w:r>
      <w:r w:rsidR="00C706CC">
        <w:rPr>
          <w:b/>
        </w:rPr>
        <w:t xml:space="preserve">często </w:t>
      </w:r>
      <w:r w:rsidR="002064B6">
        <w:rPr>
          <w:b/>
        </w:rPr>
        <w:t>nieefektywnym procesie prób redukcji masy</w:t>
      </w:r>
      <w:r w:rsidR="0052106B">
        <w:rPr>
          <w:b/>
        </w:rPr>
        <w:t xml:space="preserve"> ciała</w:t>
      </w:r>
      <w:r w:rsidR="00C706CC">
        <w:rPr>
          <w:b/>
        </w:rPr>
        <w:t xml:space="preserve"> i powrotu do zdrowia</w:t>
      </w:r>
      <w:r w:rsidR="0052106B">
        <w:rPr>
          <w:b/>
        </w:rPr>
        <w:t>. Bohaterowie kampanii, w </w:t>
      </w:r>
      <w:r w:rsidR="002064B6">
        <w:rPr>
          <w:b/>
        </w:rPr>
        <w:t xml:space="preserve">tym Cezary Żak, aktor oraz Justyna Mazur, </w:t>
      </w:r>
      <w:proofErr w:type="spellStart"/>
      <w:r w:rsidR="002064B6">
        <w:rPr>
          <w:b/>
        </w:rPr>
        <w:t>podcasterka</w:t>
      </w:r>
      <w:proofErr w:type="spellEnd"/>
      <w:r w:rsidR="002064B6">
        <w:rPr>
          <w:b/>
        </w:rPr>
        <w:t>, podkreślają, że to właśnie lekarz powinien być oso</w:t>
      </w:r>
      <w:r w:rsidR="000D63D5">
        <w:rPr>
          <w:b/>
        </w:rPr>
        <w:t xml:space="preserve">bą, do której w pierwszej kolejności zgłasza się chory po pomoc. Zdarza się, że </w:t>
      </w:r>
      <w:r w:rsidR="001B355E">
        <w:rPr>
          <w:b/>
        </w:rPr>
        <w:t xml:space="preserve">chorzy </w:t>
      </w:r>
      <w:r w:rsidR="000D63D5">
        <w:rPr>
          <w:b/>
        </w:rPr>
        <w:t xml:space="preserve">bardzo często nie wiedzą, czego mogą oczekiwać od przedstawicieli systemu </w:t>
      </w:r>
      <w:r w:rsidR="00A43A8D">
        <w:rPr>
          <w:b/>
        </w:rPr>
        <w:t>ochrony</w:t>
      </w:r>
      <w:r w:rsidR="000D63D5">
        <w:rPr>
          <w:b/>
        </w:rPr>
        <w:t xml:space="preserve"> zdrowia, spotykając się z niezrozumieniem, a nawet stygmatyzacją również w tym środowisku.</w:t>
      </w:r>
      <w:r w:rsidR="00DE4D0E">
        <w:rPr>
          <w:b/>
        </w:rPr>
        <w:t xml:space="preserve"> W odpowiedzi na te potrzeby z</w:t>
      </w:r>
      <w:r w:rsidR="00DE4D0E" w:rsidRPr="00BE5A85">
        <w:rPr>
          <w:b/>
        </w:rPr>
        <w:t xml:space="preserve"> inicjatywy Instytutu Praw Pacjenta i Edukacji Zdrowotnej </w:t>
      </w:r>
      <w:r w:rsidR="00DE4D0E">
        <w:rPr>
          <w:b/>
        </w:rPr>
        <w:t xml:space="preserve">oraz Polskiego Towarzystwa </w:t>
      </w:r>
      <w:r w:rsidR="00A43A8D">
        <w:rPr>
          <w:b/>
        </w:rPr>
        <w:t xml:space="preserve">Leczenia Otyłości </w:t>
      </w:r>
      <w:r w:rsidR="001B355E">
        <w:rPr>
          <w:b/>
        </w:rPr>
        <w:t>powstaje</w:t>
      </w:r>
      <w:r w:rsidR="00DE4D0E" w:rsidRPr="00BE5A85">
        <w:rPr>
          <w:b/>
        </w:rPr>
        <w:t xml:space="preserve"> „</w:t>
      </w:r>
      <w:r w:rsidR="00A43A8D">
        <w:rPr>
          <w:b/>
        </w:rPr>
        <w:t xml:space="preserve">Karta praw </w:t>
      </w:r>
      <w:r w:rsidR="008370BF">
        <w:rPr>
          <w:b/>
        </w:rPr>
        <w:t>chorego na otyłość</w:t>
      </w:r>
      <w:r w:rsidR="00A43A8D">
        <w:rPr>
          <w:b/>
        </w:rPr>
        <w:t>”</w:t>
      </w:r>
      <w:r w:rsidR="007B42B7">
        <w:rPr>
          <w:b/>
        </w:rPr>
        <w:t>, która</w:t>
      </w:r>
      <w:r w:rsidR="00423B63">
        <w:rPr>
          <w:b/>
        </w:rPr>
        <w:t xml:space="preserve"> jest próbą usystematyzowania</w:t>
      </w:r>
      <w:r w:rsidR="00550AED">
        <w:rPr>
          <w:b/>
        </w:rPr>
        <w:t xml:space="preserve"> </w:t>
      </w:r>
      <w:r w:rsidR="00120420">
        <w:rPr>
          <w:b/>
        </w:rPr>
        <w:t xml:space="preserve">aktualnego </w:t>
      </w:r>
      <w:r w:rsidR="000A1BC9">
        <w:rPr>
          <w:b/>
        </w:rPr>
        <w:t>statusu</w:t>
      </w:r>
      <w:r w:rsidR="0014421D">
        <w:rPr>
          <w:b/>
        </w:rPr>
        <w:t xml:space="preserve"> chorego na otyłość w polskim systemie ochrony zdrowia</w:t>
      </w:r>
      <w:r w:rsidR="000A1BC9">
        <w:rPr>
          <w:b/>
        </w:rPr>
        <w:t>.</w:t>
      </w:r>
    </w:p>
    <w:p w14:paraId="60D25232" w14:textId="6B7B8955" w:rsidR="00DB51AE" w:rsidRDefault="007C0AE4" w:rsidP="009E17CD">
      <w:pPr>
        <w:jc w:val="both"/>
        <w:rPr>
          <w:bCs/>
        </w:rPr>
      </w:pPr>
      <w:r>
        <w:rPr>
          <w:bCs/>
        </w:rPr>
        <w:t xml:space="preserve">Otyłość </w:t>
      </w:r>
      <w:r w:rsidR="00A43A8D">
        <w:rPr>
          <w:bCs/>
        </w:rPr>
        <w:t>jest</w:t>
      </w:r>
      <w:r w:rsidR="000F5A4E">
        <w:rPr>
          <w:bCs/>
        </w:rPr>
        <w:t xml:space="preserve"> epidemią XXI wieku. Liczba chorych stale </w:t>
      </w:r>
      <w:r w:rsidR="0099468F">
        <w:rPr>
          <w:bCs/>
        </w:rPr>
        <w:t xml:space="preserve">i dynamicznie </w:t>
      </w:r>
      <w:r w:rsidR="000F5A4E">
        <w:rPr>
          <w:bCs/>
        </w:rPr>
        <w:t>wzrasta. W Polsce na otyłość choruje już ponad 8 milionów dorosłych Polaków</w:t>
      </w:r>
      <w:r w:rsidR="00A43A8D">
        <w:rPr>
          <w:bCs/>
        </w:rPr>
        <w:t xml:space="preserve">, zajmujemy też niechlubne </w:t>
      </w:r>
      <w:r w:rsidR="000F5A4E">
        <w:rPr>
          <w:bCs/>
        </w:rPr>
        <w:t>5</w:t>
      </w:r>
      <w:r w:rsidR="00A43A8D">
        <w:rPr>
          <w:bCs/>
        </w:rPr>
        <w:t>.</w:t>
      </w:r>
      <w:r w:rsidR="000F5A4E">
        <w:rPr>
          <w:bCs/>
        </w:rPr>
        <w:t xml:space="preserve"> miejsce na świecie pod względem liczby dzieci </w:t>
      </w:r>
      <w:r w:rsidR="008941E1">
        <w:rPr>
          <w:bCs/>
        </w:rPr>
        <w:t>z nadmierną masą ciała</w:t>
      </w:r>
      <w:r w:rsidR="000F5A4E">
        <w:rPr>
          <w:bCs/>
        </w:rPr>
        <w:t>.</w:t>
      </w:r>
      <w:r w:rsidR="006954D5">
        <w:rPr>
          <w:bCs/>
        </w:rPr>
        <w:t xml:space="preserve"> </w:t>
      </w:r>
      <w:r w:rsidR="009E17CD">
        <w:rPr>
          <w:bCs/>
        </w:rPr>
        <w:t xml:space="preserve">Dane są szczególne alarmujące w kontekście wpływu choroby </w:t>
      </w:r>
      <w:proofErr w:type="spellStart"/>
      <w:r w:rsidR="009E17CD">
        <w:rPr>
          <w:bCs/>
        </w:rPr>
        <w:t>otyłościowej</w:t>
      </w:r>
      <w:proofErr w:type="spellEnd"/>
      <w:r w:rsidR="009E17CD">
        <w:rPr>
          <w:bCs/>
        </w:rPr>
        <w:t xml:space="preserve"> na nasze zdrowie. Jest to jedyna choroba, która prowadzi do ponad 200 różnych powikłań, takich jak m.in. cukrzyca typu 2, nadciśnienie tętnicze, miażdżyca, a nawet nowotwory. </w:t>
      </w:r>
      <w:r w:rsidR="00732EA2" w:rsidRPr="00732EA2">
        <w:rPr>
          <w:bCs/>
        </w:rPr>
        <w:t>Wg danych OECD do 2050 r. średnia długość życia w Polsce zmniejszy się w jej wyniku o cztery lata - to d</w:t>
      </w:r>
      <w:r w:rsidR="0049052A">
        <w:rPr>
          <w:bCs/>
        </w:rPr>
        <w:t>rugi najgorszy wynik na świecie. Prognozuje się, że</w:t>
      </w:r>
      <w:r w:rsidR="00732EA2" w:rsidRPr="00732EA2">
        <w:rPr>
          <w:bCs/>
        </w:rPr>
        <w:t xml:space="preserve"> w ciągu najbliż</w:t>
      </w:r>
      <w:r w:rsidR="0049052A">
        <w:rPr>
          <w:bCs/>
        </w:rPr>
        <w:t>szych 30 lat wydatki związane z </w:t>
      </w:r>
      <w:r w:rsidR="00732EA2" w:rsidRPr="00732EA2">
        <w:rPr>
          <w:bCs/>
        </w:rPr>
        <w:t>nadwagą i otyłością oraz wynikającymi z nich powikłaniami, wyniosą ponad 4% PKB Polski</w:t>
      </w:r>
      <w:r w:rsidR="0049052A">
        <w:rPr>
          <w:rStyle w:val="FootnoteReference"/>
          <w:bCs/>
        </w:rPr>
        <w:footnoteReference w:id="2"/>
      </w:r>
      <w:r w:rsidR="0049052A">
        <w:rPr>
          <w:bCs/>
        </w:rPr>
        <w:t>.</w:t>
      </w:r>
    </w:p>
    <w:p w14:paraId="5B56420D" w14:textId="23EC3BAA" w:rsidR="007C0AE4" w:rsidRDefault="000D67CF" w:rsidP="00714591">
      <w:pPr>
        <w:jc w:val="both"/>
        <w:rPr>
          <w:b/>
          <w:bCs/>
        </w:rPr>
      </w:pPr>
      <w:r w:rsidRPr="00657D01">
        <w:rPr>
          <w:bCs/>
          <w:i/>
        </w:rPr>
        <w:t>Wzrost liczby chorych</w:t>
      </w:r>
      <w:r w:rsidR="003022BA" w:rsidRPr="00657D01">
        <w:rPr>
          <w:bCs/>
          <w:i/>
        </w:rPr>
        <w:t xml:space="preserve"> za</w:t>
      </w:r>
      <w:r w:rsidRPr="00657D01">
        <w:rPr>
          <w:bCs/>
          <w:i/>
        </w:rPr>
        <w:t>obserw</w:t>
      </w:r>
      <w:r w:rsidR="003022BA" w:rsidRPr="00657D01">
        <w:rPr>
          <w:bCs/>
          <w:i/>
        </w:rPr>
        <w:t>owany</w:t>
      </w:r>
      <w:r w:rsidRPr="00657D01">
        <w:rPr>
          <w:bCs/>
          <w:i/>
        </w:rPr>
        <w:t xml:space="preserve"> na przestrzeni</w:t>
      </w:r>
      <w:r w:rsidR="006954D5">
        <w:rPr>
          <w:bCs/>
          <w:i/>
        </w:rPr>
        <w:t xml:space="preserve"> ostatnich</w:t>
      </w:r>
      <w:r w:rsidRPr="00657D01">
        <w:rPr>
          <w:bCs/>
          <w:i/>
        </w:rPr>
        <w:t xml:space="preserve"> lat </w:t>
      </w:r>
      <w:r w:rsidR="003022BA" w:rsidRPr="00657D01">
        <w:rPr>
          <w:bCs/>
          <w:i/>
        </w:rPr>
        <w:t>ma realny</w:t>
      </w:r>
      <w:r w:rsidRPr="00657D01">
        <w:rPr>
          <w:bCs/>
          <w:i/>
        </w:rPr>
        <w:t xml:space="preserve"> wpływ na wydłużanie kolejek do różnych specjalistów. </w:t>
      </w:r>
      <w:r w:rsidR="00E46E93" w:rsidRPr="00657D01">
        <w:rPr>
          <w:bCs/>
          <w:i/>
        </w:rPr>
        <w:t>Bardzo często powikłania otyłości są traktowane jako</w:t>
      </w:r>
      <w:r w:rsidR="008941E1" w:rsidRPr="00657D01">
        <w:rPr>
          <w:bCs/>
          <w:i/>
        </w:rPr>
        <w:t xml:space="preserve"> niezależne jednostki chorobowe. Nie leczy się </w:t>
      </w:r>
      <w:r w:rsidR="006954D5">
        <w:rPr>
          <w:bCs/>
          <w:i/>
        </w:rPr>
        <w:t>otyłości jako głównej choroby</w:t>
      </w:r>
      <w:r w:rsidR="008941E1" w:rsidRPr="00657D01">
        <w:rPr>
          <w:bCs/>
          <w:i/>
        </w:rPr>
        <w:t>, a jedynie jej skutki</w:t>
      </w:r>
      <w:r w:rsidR="00105D9B">
        <w:rPr>
          <w:bCs/>
          <w:i/>
        </w:rPr>
        <w:t xml:space="preserve"> – liczne powikłania</w:t>
      </w:r>
      <w:r w:rsidRPr="00657D01">
        <w:rPr>
          <w:bCs/>
          <w:i/>
        </w:rPr>
        <w:t>. Istniej</w:t>
      </w:r>
      <w:r w:rsidR="006954D5">
        <w:rPr>
          <w:bCs/>
          <w:i/>
        </w:rPr>
        <w:t>e duża</w:t>
      </w:r>
      <w:r w:rsidR="00657D01">
        <w:rPr>
          <w:bCs/>
          <w:i/>
        </w:rPr>
        <w:t xml:space="preserve"> </w:t>
      </w:r>
      <w:r w:rsidRPr="00657D01">
        <w:rPr>
          <w:bCs/>
          <w:i/>
        </w:rPr>
        <w:t>potrzeba działań nakierowanych na edukację społeczeństwa</w:t>
      </w:r>
      <w:r w:rsidR="006954D5">
        <w:rPr>
          <w:bCs/>
          <w:i/>
        </w:rPr>
        <w:t>, ale również samych lekarzy</w:t>
      </w:r>
      <w:r w:rsidRPr="00657D01">
        <w:rPr>
          <w:bCs/>
          <w:i/>
        </w:rPr>
        <w:t xml:space="preserve"> </w:t>
      </w:r>
      <w:r w:rsidR="0049052A">
        <w:rPr>
          <w:bCs/>
          <w:i/>
        </w:rPr>
        <w:t>w obszarach profilaktyki,</w:t>
      </w:r>
      <w:r w:rsidR="003022BA" w:rsidRPr="00657D01">
        <w:rPr>
          <w:bCs/>
          <w:i/>
        </w:rPr>
        <w:t xml:space="preserve"> diagnostyki oraz leczenia</w:t>
      </w:r>
      <w:r>
        <w:rPr>
          <w:bCs/>
        </w:rPr>
        <w:t xml:space="preserve"> </w:t>
      </w:r>
      <w:r w:rsidR="00E4440E">
        <w:rPr>
          <w:bCs/>
        </w:rPr>
        <w:t xml:space="preserve">choroby </w:t>
      </w:r>
      <w:proofErr w:type="spellStart"/>
      <w:r w:rsidR="00E4440E">
        <w:rPr>
          <w:bCs/>
        </w:rPr>
        <w:t>otyłościowej</w:t>
      </w:r>
      <w:proofErr w:type="spellEnd"/>
      <w:r>
        <w:rPr>
          <w:bCs/>
        </w:rPr>
        <w:t xml:space="preserve">– </w:t>
      </w:r>
      <w:r w:rsidRPr="00657D01">
        <w:rPr>
          <w:b/>
          <w:bCs/>
        </w:rPr>
        <w:t xml:space="preserve">komentuje </w:t>
      </w:r>
      <w:r w:rsidR="0052106B">
        <w:rPr>
          <w:b/>
          <w:bCs/>
        </w:rPr>
        <w:t>prof. dr hab. n. </w:t>
      </w:r>
      <w:r w:rsidR="00DB51AE" w:rsidRPr="00657D01">
        <w:rPr>
          <w:b/>
          <w:bCs/>
        </w:rPr>
        <w:t>med. Paweł Bogdański, Katedra i Zakład Leczenia Otyłości, Zaburzeń Metabolicznych oraz Dietetyki Klinicznej, Uniwersytet Medyczny im. Karola Marcinkowskiego w Poznaniu</w:t>
      </w:r>
      <w:r w:rsidR="00B035A5">
        <w:rPr>
          <w:b/>
          <w:bCs/>
        </w:rPr>
        <w:t>,</w:t>
      </w:r>
      <w:r w:rsidR="00DB51AE" w:rsidRPr="00657D01">
        <w:rPr>
          <w:b/>
          <w:bCs/>
        </w:rPr>
        <w:t xml:space="preserve"> Prezes Polskiego Towarzystwa Leczenia Otyłości (PTLO).</w:t>
      </w:r>
      <w:r w:rsidRPr="00657D01">
        <w:rPr>
          <w:b/>
          <w:bCs/>
        </w:rPr>
        <w:t xml:space="preserve"> </w:t>
      </w:r>
    </w:p>
    <w:p w14:paraId="0C141D66" w14:textId="11B7025F" w:rsidR="004E4ABC" w:rsidRPr="00657D01" w:rsidRDefault="004E4ABC" w:rsidP="00657D01">
      <w:pPr>
        <w:jc w:val="center"/>
        <w:rPr>
          <w:b/>
          <w:bCs/>
        </w:rPr>
      </w:pPr>
      <w:r>
        <w:rPr>
          <w:b/>
          <w:bCs/>
        </w:rPr>
        <w:t>Wystawa zdjęć Bohaterów kampanii</w:t>
      </w:r>
    </w:p>
    <w:p w14:paraId="35A53D21" w14:textId="669988CA" w:rsidR="00B035A5" w:rsidRDefault="00655C06" w:rsidP="00714591">
      <w:pPr>
        <w:jc w:val="both"/>
        <w:rPr>
          <w:bCs/>
        </w:rPr>
      </w:pPr>
      <w:r>
        <w:rPr>
          <w:bCs/>
        </w:rPr>
        <w:t xml:space="preserve">Aby </w:t>
      </w:r>
      <w:r w:rsidR="00331AB0" w:rsidRPr="00331AB0">
        <w:rPr>
          <w:bCs/>
        </w:rPr>
        <w:t xml:space="preserve">zainicjować szczerą rozmowę na temat choroby </w:t>
      </w:r>
      <w:proofErr w:type="spellStart"/>
      <w:r w:rsidR="00331AB0" w:rsidRPr="00331AB0">
        <w:rPr>
          <w:bCs/>
        </w:rPr>
        <w:t>otyłościowej</w:t>
      </w:r>
      <w:proofErr w:type="spellEnd"/>
      <w:r w:rsidR="00BA3E00">
        <w:rPr>
          <w:bCs/>
        </w:rPr>
        <w:t>,</w:t>
      </w:r>
      <w:r w:rsidR="00331AB0" w:rsidRPr="00331AB0">
        <w:rPr>
          <w:bCs/>
        </w:rPr>
        <w:t xml:space="preserve"> w ramach tegorocznej edycji </w:t>
      </w:r>
      <w:r w:rsidR="0048551E">
        <w:rPr>
          <w:bCs/>
        </w:rPr>
        <w:t xml:space="preserve">kampanii </w:t>
      </w:r>
      <w:r w:rsidR="00B035A5">
        <w:rPr>
          <w:bCs/>
        </w:rPr>
        <w:t>zaplanow</w:t>
      </w:r>
      <w:r w:rsidR="00542B3F">
        <w:rPr>
          <w:bCs/>
        </w:rPr>
        <w:t>a</w:t>
      </w:r>
      <w:r w:rsidR="00B035A5">
        <w:rPr>
          <w:bCs/>
        </w:rPr>
        <w:t>na została</w:t>
      </w:r>
      <w:r w:rsidR="00331AB0" w:rsidRPr="00331AB0">
        <w:rPr>
          <w:bCs/>
        </w:rPr>
        <w:t xml:space="preserve"> wystawa plenerowa</w:t>
      </w:r>
      <w:r w:rsidR="008941E1">
        <w:rPr>
          <w:bCs/>
        </w:rPr>
        <w:t xml:space="preserve"> zdjęć </w:t>
      </w:r>
      <w:r w:rsidR="0048551E">
        <w:rPr>
          <w:bCs/>
        </w:rPr>
        <w:t xml:space="preserve">jej </w:t>
      </w:r>
      <w:r w:rsidR="008941E1">
        <w:rPr>
          <w:bCs/>
        </w:rPr>
        <w:t>Bohaterów</w:t>
      </w:r>
      <w:r w:rsidR="00BA3E00">
        <w:rPr>
          <w:bCs/>
        </w:rPr>
        <w:t>.</w:t>
      </w:r>
      <w:r w:rsidR="008941E1">
        <w:rPr>
          <w:bCs/>
        </w:rPr>
        <w:t xml:space="preserve"> </w:t>
      </w:r>
      <w:r w:rsidR="00331AB0" w:rsidRPr="00331AB0">
        <w:rPr>
          <w:bCs/>
        </w:rPr>
        <w:t>W</w:t>
      </w:r>
      <w:r w:rsidR="00B035A5">
        <w:rPr>
          <w:bCs/>
        </w:rPr>
        <w:t> </w:t>
      </w:r>
      <w:r w:rsidR="00331AB0" w:rsidRPr="00331AB0">
        <w:rPr>
          <w:bCs/>
        </w:rPr>
        <w:t>dniach od 7 do 21 czerwca 2022 roku będzie można ją obejrzeć w Galerii Plenerowej przy ul. Agrykola w</w:t>
      </w:r>
      <w:r w:rsidR="007E25E9">
        <w:rPr>
          <w:bCs/>
        </w:rPr>
        <w:t xml:space="preserve"> warszawskich</w:t>
      </w:r>
      <w:r w:rsidR="00331AB0" w:rsidRPr="00331AB0">
        <w:rPr>
          <w:bCs/>
        </w:rPr>
        <w:t xml:space="preserve"> Łazienkach Królewskich. Następnie od 21 czerwca do 5 lipca 2022 </w:t>
      </w:r>
      <w:r w:rsidR="0049052A">
        <w:rPr>
          <w:bCs/>
        </w:rPr>
        <w:t xml:space="preserve">roku </w:t>
      </w:r>
      <w:r w:rsidR="0052106B">
        <w:rPr>
          <w:bCs/>
        </w:rPr>
        <w:t>ekspozycję</w:t>
      </w:r>
      <w:r w:rsidR="00B035A5">
        <w:rPr>
          <w:bCs/>
        </w:rPr>
        <w:t xml:space="preserve"> będzie można obejrzeć</w:t>
      </w:r>
      <w:r w:rsidR="00331AB0" w:rsidRPr="00331AB0">
        <w:rPr>
          <w:bCs/>
        </w:rPr>
        <w:t xml:space="preserve"> na Krakowski</w:t>
      </w:r>
      <w:r w:rsidR="00B035A5">
        <w:rPr>
          <w:bCs/>
        </w:rPr>
        <w:t>m</w:t>
      </w:r>
      <w:r w:rsidR="00331AB0" w:rsidRPr="00331AB0">
        <w:rPr>
          <w:bCs/>
        </w:rPr>
        <w:t xml:space="preserve"> Przedmieści</w:t>
      </w:r>
      <w:r w:rsidR="00B035A5">
        <w:rPr>
          <w:bCs/>
        </w:rPr>
        <w:t>u</w:t>
      </w:r>
      <w:r w:rsidR="00331AB0" w:rsidRPr="00331AB0">
        <w:rPr>
          <w:bCs/>
        </w:rPr>
        <w:t xml:space="preserve"> przy Kościele Akademickim św. Anny. </w:t>
      </w:r>
    </w:p>
    <w:p w14:paraId="18444B9C" w14:textId="443B7A1D" w:rsidR="00E95E82" w:rsidRDefault="00331AB0" w:rsidP="00714591">
      <w:pPr>
        <w:jc w:val="both"/>
        <w:rPr>
          <w:bCs/>
        </w:rPr>
      </w:pPr>
      <w:r w:rsidRPr="00331AB0">
        <w:rPr>
          <w:bCs/>
        </w:rPr>
        <w:lastRenderedPageBreak/>
        <w:t xml:space="preserve">Wystawa </w:t>
      </w:r>
      <w:r w:rsidR="00B035A5">
        <w:rPr>
          <w:bCs/>
        </w:rPr>
        <w:t>prezentuje sylwetki czterech</w:t>
      </w:r>
      <w:r w:rsidRPr="00331AB0">
        <w:rPr>
          <w:bCs/>
        </w:rPr>
        <w:t xml:space="preserve"> Bohaterów </w:t>
      </w:r>
      <w:r w:rsidR="00B035A5">
        <w:rPr>
          <w:bCs/>
        </w:rPr>
        <w:t xml:space="preserve">kampanii, chorujących na otyłość, którzy </w:t>
      </w:r>
      <w:r w:rsidR="007D09B7">
        <w:rPr>
          <w:bCs/>
        </w:rPr>
        <w:t xml:space="preserve">dzięki </w:t>
      </w:r>
      <w:r w:rsidR="00B035A5">
        <w:rPr>
          <w:bCs/>
        </w:rPr>
        <w:t>udział</w:t>
      </w:r>
      <w:r w:rsidR="007D09B7">
        <w:rPr>
          <w:bCs/>
        </w:rPr>
        <w:t>owi</w:t>
      </w:r>
      <w:r w:rsidR="00B035A5">
        <w:rPr>
          <w:bCs/>
        </w:rPr>
        <w:t xml:space="preserve"> w inicjatywie opowiadają swoje historie</w:t>
      </w:r>
      <w:r w:rsidR="0049052A">
        <w:rPr>
          <w:bCs/>
        </w:rPr>
        <w:t>,</w:t>
      </w:r>
      <w:r w:rsidR="00B035A5">
        <w:rPr>
          <w:bCs/>
        </w:rPr>
        <w:t xml:space="preserve"> </w:t>
      </w:r>
      <w:r w:rsidR="004D1B18">
        <w:rPr>
          <w:bCs/>
        </w:rPr>
        <w:t>chcąc</w:t>
      </w:r>
      <w:r w:rsidR="00DD2EAD">
        <w:rPr>
          <w:bCs/>
        </w:rPr>
        <w:t xml:space="preserve"> zachęcić </w:t>
      </w:r>
      <w:r w:rsidR="00B035A5">
        <w:rPr>
          <w:bCs/>
        </w:rPr>
        <w:t xml:space="preserve">inne osoby </w:t>
      </w:r>
      <w:r w:rsidR="00105D9B">
        <w:rPr>
          <w:bCs/>
        </w:rPr>
        <w:t>chorujące na otyłość</w:t>
      </w:r>
      <w:r w:rsidR="00B035A5">
        <w:rPr>
          <w:bCs/>
        </w:rPr>
        <w:t xml:space="preserve"> do podjęcia działania i </w:t>
      </w:r>
      <w:r w:rsidR="00105D9B">
        <w:rPr>
          <w:bCs/>
        </w:rPr>
        <w:t xml:space="preserve">rozpoczęcia </w:t>
      </w:r>
      <w:r w:rsidR="007B42B7">
        <w:rPr>
          <w:bCs/>
        </w:rPr>
        <w:t>rozmowy z lekarzem,</w:t>
      </w:r>
      <w:r w:rsidR="00165478">
        <w:rPr>
          <w:bCs/>
        </w:rPr>
        <w:t xml:space="preserve"> wiedząc jak </w:t>
      </w:r>
      <w:r w:rsidR="00924983">
        <w:rPr>
          <w:bCs/>
        </w:rPr>
        <w:t>trudne</w:t>
      </w:r>
      <w:r w:rsidR="003B2174">
        <w:rPr>
          <w:bCs/>
        </w:rPr>
        <w:t xml:space="preserve"> jest to wyzwanie</w:t>
      </w:r>
      <w:r w:rsidR="00B035A5">
        <w:rPr>
          <w:bCs/>
        </w:rPr>
        <w:t xml:space="preserve">. Bohaterami są </w:t>
      </w:r>
      <w:r w:rsidRPr="00331AB0">
        <w:rPr>
          <w:bCs/>
        </w:rPr>
        <w:t>Agnieszk</w:t>
      </w:r>
      <w:r w:rsidR="00B035A5">
        <w:rPr>
          <w:bCs/>
        </w:rPr>
        <w:t>a</w:t>
      </w:r>
      <w:r w:rsidRPr="00331AB0">
        <w:rPr>
          <w:bCs/>
        </w:rPr>
        <w:t xml:space="preserve"> Liszkowsk</w:t>
      </w:r>
      <w:r w:rsidR="00B035A5">
        <w:rPr>
          <w:bCs/>
        </w:rPr>
        <w:t>a</w:t>
      </w:r>
      <w:r w:rsidRPr="00331AB0">
        <w:rPr>
          <w:bCs/>
        </w:rPr>
        <w:t>-</w:t>
      </w:r>
      <w:proofErr w:type="spellStart"/>
      <w:r w:rsidRPr="00331AB0">
        <w:rPr>
          <w:bCs/>
        </w:rPr>
        <w:t>Hała</w:t>
      </w:r>
      <w:proofErr w:type="spellEnd"/>
      <w:r w:rsidR="00B035A5">
        <w:rPr>
          <w:bCs/>
        </w:rPr>
        <w:t>,</w:t>
      </w:r>
      <w:r w:rsidRPr="00331AB0">
        <w:rPr>
          <w:bCs/>
        </w:rPr>
        <w:t xml:space="preserve"> trenerk</w:t>
      </w:r>
      <w:r w:rsidR="00B035A5">
        <w:rPr>
          <w:bCs/>
        </w:rPr>
        <w:t>a</w:t>
      </w:r>
      <w:r w:rsidR="00542B3F">
        <w:rPr>
          <w:bCs/>
        </w:rPr>
        <w:t xml:space="preserve"> </w:t>
      </w:r>
      <w:r w:rsidRPr="00331AB0">
        <w:rPr>
          <w:bCs/>
        </w:rPr>
        <w:t>fitness oraz działaczk</w:t>
      </w:r>
      <w:r w:rsidR="00B035A5">
        <w:rPr>
          <w:bCs/>
        </w:rPr>
        <w:t>a</w:t>
      </w:r>
      <w:r w:rsidR="0052106B">
        <w:rPr>
          <w:bCs/>
        </w:rPr>
        <w:t xml:space="preserve"> społeczna</w:t>
      </w:r>
      <w:r w:rsidRPr="00331AB0">
        <w:rPr>
          <w:bCs/>
        </w:rPr>
        <w:t>, Cezar</w:t>
      </w:r>
      <w:r w:rsidR="00B035A5">
        <w:rPr>
          <w:bCs/>
        </w:rPr>
        <w:t>y</w:t>
      </w:r>
      <w:r w:rsidRPr="00331AB0">
        <w:rPr>
          <w:bCs/>
        </w:rPr>
        <w:t xml:space="preserve"> Żak</w:t>
      </w:r>
      <w:r w:rsidR="00B035A5">
        <w:rPr>
          <w:bCs/>
        </w:rPr>
        <w:t>,</w:t>
      </w:r>
      <w:r w:rsidRPr="00331AB0">
        <w:rPr>
          <w:bCs/>
        </w:rPr>
        <w:t xml:space="preserve"> aktor, Justyn</w:t>
      </w:r>
      <w:r w:rsidR="00B035A5">
        <w:rPr>
          <w:bCs/>
        </w:rPr>
        <w:t>a</w:t>
      </w:r>
      <w:r w:rsidRPr="00331AB0">
        <w:rPr>
          <w:bCs/>
        </w:rPr>
        <w:t xml:space="preserve"> Mazur</w:t>
      </w:r>
      <w:r w:rsidR="00B035A5">
        <w:rPr>
          <w:bCs/>
        </w:rPr>
        <w:t>,</w:t>
      </w:r>
      <w:r w:rsidRPr="00331AB0">
        <w:rPr>
          <w:bCs/>
        </w:rPr>
        <w:t xml:space="preserve"> </w:t>
      </w:r>
      <w:proofErr w:type="spellStart"/>
      <w:r w:rsidRPr="00331AB0">
        <w:rPr>
          <w:bCs/>
        </w:rPr>
        <w:t>podcasterk</w:t>
      </w:r>
      <w:r w:rsidR="00B035A5">
        <w:rPr>
          <w:bCs/>
        </w:rPr>
        <w:t>a</w:t>
      </w:r>
      <w:proofErr w:type="spellEnd"/>
      <w:r w:rsidRPr="00331AB0">
        <w:rPr>
          <w:bCs/>
        </w:rPr>
        <w:t>, a także Adam Gajewski</w:t>
      </w:r>
      <w:r w:rsidR="00B035A5">
        <w:rPr>
          <w:bCs/>
        </w:rPr>
        <w:t>,</w:t>
      </w:r>
      <w:r w:rsidRPr="00331AB0">
        <w:rPr>
          <w:bCs/>
        </w:rPr>
        <w:t xml:space="preserve"> informatyk. </w:t>
      </w:r>
      <w:r w:rsidR="0052106B">
        <w:rPr>
          <w:bCs/>
        </w:rPr>
        <w:t>3. </w:t>
      </w:r>
      <w:r w:rsidR="00DE6EAE">
        <w:rPr>
          <w:bCs/>
        </w:rPr>
        <w:t xml:space="preserve">edycja kampanii </w:t>
      </w:r>
      <w:r w:rsidR="00DE6EAE" w:rsidRPr="00E95E82">
        <w:rPr>
          <w:bCs/>
        </w:rPr>
        <w:t>n</w:t>
      </w:r>
      <w:r w:rsidRPr="00E95E82">
        <w:rPr>
          <w:bCs/>
        </w:rPr>
        <w:t>iesie za sobą przesłanie skierowane do wszystkich osób</w:t>
      </w:r>
      <w:r w:rsidR="00B035A5">
        <w:rPr>
          <w:bCs/>
        </w:rPr>
        <w:t xml:space="preserve"> </w:t>
      </w:r>
      <w:r w:rsidR="00105D9B">
        <w:rPr>
          <w:bCs/>
        </w:rPr>
        <w:t>chorujących na otyłość</w:t>
      </w:r>
      <w:r w:rsidR="00B035A5">
        <w:rPr>
          <w:bCs/>
        </w:rPr>
        <w:t>, ale i do ogółu społeczeństw</w:t>
      </w:r>
      <w:r w:rsidR="0052106B">
        <w:rPr>
          <w:bCs/>
        </w:rPr>
        <w:t>a</w:t>
      </w:r>
      <w:r w:rsidR="0049052A">
        <w:rPr>
          <w:bCs/>
        </w:rPr>
        <w:t>, pokazując</w:t>
      </w:r>
      <w:r w:rsidR="0052106B">
        <w:rPr>
          <w:bCs/>
        </w:rPr>
        <w:t xml:space="preserve"> że otyłość</w:t>
      </w:r>
      <w:r w:rsidR="00B035A5">
        <w:rPr>
          <w:bCs/>
        </w:rPr>
        <w:t xml:space="preserve"> to</w:t>
      </w:r>
      <w:r w:rsidR="00DE6EAE">
        <w:rPr>
          <w:bCs/>
        </w:rPr>
        <w:t xml:space="preserve"> choroba, </w:t>
      </w:r>
      <w:r w:rsidR="008F12CD">
        <w:rPr>
          <w:bCs/>
        </w:rPr>
        <w:t xml:space="preserve">w przypadku której, </w:t>
      </w:r>
      <w:r w:rsidR="00E03C38">
        <w:rPr>
          <w:bCs/>
        </w:rPr>
        <w:t>dzięki</w:t>
      </w:r>
      <w:r w:rsidR="00DE6EAE">
        <w:rPr>
          <w:bCs/>
        </w:rPr>
        <w:t xml:space="preserve"> pomocy lekarza oraz</w:t>
      </w:r>
      <w:r w:rsidR="00E03C38">
        <w:rPr>
          <w:bCs/>
        </w:rPr>
        <w:t xml:space="preserve"> wdrożeniu</w:t>
      </w:r>
      <w:r w:rsidR="00DE6EAE">
        <w:rPr>
          <w:bCs/>
        </w:rPr>
        <w:t xml:space="preserve"> skoordynowanego planu </w:t>
      </w:r>
      <w:r w:rsidR="003F3097">
        <w:rPr>
          <w:bCs/>
        </w:rPr>
        <w:t>terapeutycznego</w:t>
      </w:r>
      <w:r w:rsidR="00E03C38">
        <w:rPr>
          <w:bCs/>
        </w:rPr>
        <w:t xml:space="preserve"> we współpracy z </w:t>
      </w:r>
      <w:r w:rsidR="00657D01">
        <w:rPr>
          <w:bCs/>
        </w:rPr>
        <w:t>di</w:t>
      </w:r>
      <w:r w:rsidR="00E03C38">
        <w:rPr>
          <w:bCs/>
        </w:rPr>
        <w:t>etetykiem, psychologiem i fizjoterapeutą</w:t>
      </w:r>
      <w:r w:rsidR="00105D9B">
        <w:rPr>
          <w:bCs/>
        </w:rPr>
        <w:t xml:space="preserve"> można skutecznie leczyć tę poważną chorob</w:t>
      </w:r>
      <w:r w:rsidR="00BA3E00">
        <w:rPr>
          <w:bCs/>
        </w:rPr>
        <w:t>ę</w:t>
      </w:r>
      <w:r w:rsidR="00105D9B">
        <w:rPr>
          <w:bCs/>
        </w:rPr>
        <w:t xml:space="preserve"> i jednocześnie zapobiegać rozwojowi wielu powikłań zdrowotnych otyłości</w:t>
      </w:r>
      <w:r w:rsidR="0049052A">
        <w:rPr>
          <w:bCs/>
        </w:rPr>
        <w:t>.</w:t>
      </w:r>
    </w:p>
    <w:p w14:paraId="7F8BE7C7" w14:textId="0C5DC583" w:rsidR="00655C06" w:rsidRPr="0052106B" w:rsidRDefault="00CF2C5F" w:rsidP="00714591">
      <w:pPr>
        <w:jc w:val="both"/>
        <w:rPr>
          <w:b/>
          <w:bCs/>
        </w:rPr>
      </w:pPr>
      <w:r w:rsidRPr="00657D01">
        <w:rPr>
          <w:bCs/>
          <w:i/>
        </w:rPr>
        <w:t>Jestem przykładem</w:t>
      </w:r>
      <w:r w:rsidR="0049052A">
        <w:rPr>
          <w:bCs/>
          <w:i/>
        </w:rPr>
        <w:t xml:space="preserve"> tego</w:t>
      </w:r>
      <w:r w:rsidRPr="00657D01">
        <w:rPr>
          <w:bCs/>
          <w:i/>
        </w:rPr>
        <w:t xml:space="preserve">, że otyłość nie wybiera. Samotne zmaganie się z chorobą nie prowadzi do </w:t>
      </w:r>
      <w:r w:rsidR="004E4ABC" w:rsidRPr="00657D01">
        <w:rPr>
          <w:bCs/>
          <w:i/>
        </w:rPr>
        <w:t>niczego</w:t>
      </w:r>
      <w:r w:rsidRPr="00657D01">
        <w:rPr>
          <w:bCs/>
          <w:i/>
        </w:rPr>
        <w:t xml:space="preserve">, </w:t>
      </w:r>
      <w:r w:rsidR="0049052A">
        <w:rPr>
          <w:bCs/>
          <w:i/>
        </w:rPr>
        <w:t xml:space="preserve">a </w:t>
      </w:r>
      <w:r w:rsidRPr="00657D01">
        <w:rPr>
          <w:bCs/>
          <w:i/>
        </w:rPr>
        <w:t xml:space="preserve">gdyby nie </w:t>
      </w:r>
      <w:r w:rsidR="008846BF" w:rsidRPr="00657D01">
        <w:rPr>
          <w:bCs/>
          <w:i/>
        </w:rPr>
        <w:t xml:space="preserve">moja dociekliwość i nieugiętość w poszukiwaniu </w:t>
      </w:r>
      <w:r w:rsidRPr="00657D01">
        <w:rPr>
          <w:bCs/>
          <w:i/>
        </w:rPr>
        <w:t>odpowiedn</w:t>
      </w:r>
      <w:r w:rsidR="008846BF" w:rsidRPr="00657D01">
        <w:rPr>
          <w:bCs/>
          <w:i/>
        </w:rPr>
        <w:t>iej</w:t>
      </w:r>
      <w:r w:rsidRPr="00657D01">
        <w:rPr>
          <w:bCs/>
          <w:i/>
        </w:rPr>
        <w:t xml:space="preserve"> diagnoz</w:t>
      </w:r>
      <w:r w:rsidR="00C3560E" w:rsidRPr="00657D01">
        <w:rPr>
          <w:bCs/>
          <w:i/>
        </w:rPr>
        <w:t>y</w:t>
      </w:r>
      <w:r w:rsidR="008846BF" w:rsidRPr="00657D01">
        <w:rPr>
          <w:bCs/>
          <w:i/>
        </w:rPr>
        <w:t xml:space="preserve"> nigdy nie poznałabym przyczyny </w:t>
      </w:r>
      <w:r w:rsidR="00C3560E" w:rsidRPr="00657D01">
        <w:rPr>
          <w:bCs/>
          <w:i/>
        </w:rPr>
        <w:t>swoich</w:t>
      </w:r>
      <w:r w:rsidR="008846BF" w:rsidRPr="00657D01">
        <w:rPr>
          <w:bCs/>
          <w:i/>
        </w:rPr>
        <w:t xml:space="preserve"> dolegliwości. Dzięki skierowaniu się po pomoc do lekarza oraz poddaniu się specjalistycznym badaniom usłyszałam</w:t>
      </w:r>
      <w:r w:rsidR="00542B3F">
        <w:rPr>
          <w:bCs/>
          <w:i/>
        </w:rPr>
        <w:t xml:space="preserve"> </w:t>
      </w:r>
      <w:r w:rsidR="008846BF" w:rsidRPr="00657D01">
        <w:rPr>
          <w:bCs/>
          <w:i/>
        </w:rPr>
        <w:t>diagnozę – otyłość spowodowana problemami gospodarki hormonalnej. Jako osoba aktywna fizycznie i dbająca o zdrowie był to</w:t>
      </w:r>
      <w:r w:rsidR="002E6A22" w:rsidRPr="00657D01">
        <w:rPr>
          <w:bCs/>
          <w:i/>
        </w:rPr>
        <w:t xml:space="preserve"> dla mnie</w:t>
      </w:r>
      <w:r w:rsidR="008846BF" w:rsidRPr="00657D01">
        <w:rPr>
          <w:bCs/>
          <w:i/>
        </w:rPr>
        <w:t xml:space="preserve"> szok, ale</w:t>
      </w:r>
      <w:r w:rsidR="004E4ABC" w:rsidRPr="00657D01">
        <w:rPr>
          <w:bCs/>
          <w:i/>
        </w:rPr>
        <w:t xml:space="preserve"> od tego momentu mogliśmy podjąć celowane działania</w:t>
      </w:r>
      <w:r w:rsidR="008846BF">
        <w:rPr>
          <w:bCs/>
        </w:rPr>
        <w:t xml:space="preserve"> – </w:t>
      </w:r>
      <w:r w:rsidR="008846BF" w:rsidRPr="00657D01">
        <w:rPr>
          <w:b/>
          <w:bCs/>
        </w:rPr>
        <w:t>opowiada Bohaterka kampanii</w:t>
      </w:r>
      <w:r w:rsidR="0049052A">
        <w:rPr>
          <w:b/>
          <w:bCs/>
        </w:rPr>
        <w:t>,</w:t>
      </w:r>
      <w:r w:rsidR="008846BF" w:rsidRPr="00657D01">
        <w:rPr>
          <w:b/>
          <w:bCs/>
        </w:rPr>
        <w:t xml:space="preserve"> </w:t>
      </w:r>
      <w:r w:rsidR="00E95E82" w:rsidRPr="00657D01">
        <w:rPr>
          <w:b/>
          <w:bCs/>
        </w:rPr>
        <w:t>Agnieszka Liszkowska-</w:t>
      </w:r>
      <w:proofErr w:type="spellStart"/>
      <w:r w:rsidR="00E95E82" w:rsidRPr="00657D01">
        <w:rPr>
          <w:b/>
          <w:bCs/>
        </w:rPr>
        <w:t>Hała</w:t>
      </w:r>
      <w:proofErr w:type="spellEnd"/>
      <w:r w:rsidR="002E6A22" w:rsidRPr="00657D01">
        <w:rPr>
          <w:b/>
          <w:bCs/>
        </w:rPr>
        <w:t>.</w:t>
      </w:r>
    </w:p>
    <w:p w14:paraId="3FE2A7BA" w14:textId="6EFCE76F" w:rsidR="00655C06" w:rsidRPr="00BE5A85" w:rsidRDefault="004E4ABC" w:rsidP="00655C06">
      <w:pPr>
        <w:spacing w:after="0"/>
        <w:jc w:val="center"/>
        <w:rPr>
          <w:b/>
        </w:rPr>
      </w:pPr>
      <w:r w:rsidRPr="004E4ABC">
        <w:rPr>
          <w:rFonts w:cs="Arial"/>
          <w:b/>
          <w:noProof/>
          <w:color w:val="000000" w:themeColor="text1"/>
        </w:rPr>
        <w:t xml:space="preserve">Karta </w:t>
      </w:r>
      <w:r w:rsidRPr="00657D01">
        <w:rPr>
          <w:rFonts w:cs="Arial"/>
          <w:b/>
          <w:noProof/>
          <w:color w:val="000000" w:themeColor="text1"/>
        </w:rPr>
        <w:t xml:space="preserve">praw </w:t>
      </w:r>
      <w:r w:rsidR="008370BF">
        <w:rPr>
          <w:rFonts w:cs="Arial"/>
          <w:b/>
          <w:noProof/>
          <w:color w:val="000000" w:themeColor="text1"/>
        </w:rPr>
        <w:t>chorego na otyłość</w:t>
      </w:r>
      <w:r w:rsidRPr="004E4ABC">
        <w:rPr>
          <w:b/>
        </w:rPr>
        <w:t xml:space="preserve"> </w:t>
      </w:r>
      <w:r w:rsidR="0081102D">
        <w:rPr>
          <w:b/>
        </w:rPr>
        <w:t>–</w:t>
      </w:r>
      <w:r w:rsidRPr="004E4ABC">
        <w:rPr>
          <w:b/>
        </w:rPr>
        <w:t xml:space="preserve"> </w:t>
      </w:r>
      <w:r w:rsidR="0081102D">
        <w:rPr>
          <w:b/>
        </w:rPr>
        <w:t>jako wsparcie</w:t>
      </w:r>
      <w:r w:rsidR="00C44772">
        <w:rPr>
          <w:b/>
        </w:rPr>
        <w:t xml:space="preserve"> dla</w:t>
      </w:r>
      <w:r w:rsidR="0081102D">
        <w:rPr>
          <w:b/>
        </w:rPr>
        <w:t xml:space="preserve"> pacjentów</w:t>
      </w:r>
    </w:p>
    <w:p w14:paraId="2C7540C9" w14:textId="15974287" w:rsidR="00407BF3" w:rsidRPr="00407BF3" w:rsidRDefault="00407BF3" w:rsidP="00407BF3">
      <w:pPr>
        <w:spacing w:after="0"/>
        <w:jc w:val="both"/>
        <w:rPr>
          <w:rFonts w:cs="Arial"/>
          <w:noProof/>
          <w:color w:val="000000" w:themeColor="text1"/>
        </w:rPr>
      </w:pPr>
    </w:p>
    <w:p w14:paraId="29433B55" w14:textId="349E54A0" w:rsidR="00407BF3" w:rsidRPr="00407BF3" w:rsidRDefault="00407BF3" w:rsidP="00407BF3">
      <w:pPr>
        <w:spacing w:after="0"/>
        <w:jc w:val="both"/>
        <w:rPr>
          <w:rFonts w:cs="Arial"/>
          <w:noProof/>
          <w:color w:val="000000" w:themeColor="text1"/>
        </w:rPr>
      </w:pPr>
      <w:r w:rsidRPr="00407BF3">
        <w:rPr>
          <w:rFonts w:cs="Arial"/>
          <w:noProof/>
          <w:color w:val="000000" w:themeColor="text1"/>
        </w:rPr>
        <w:t>Obecny system ochrony zdrowia nie posiada usystematyzowanej listy praw pacjen</w:t>
      </w:r>
      <w:r w:rsidR="008370BF">
        <w:rPr>
          <w:rFonts w:cs="Arial"/>
          <w:noProof/>
          <w:color w:val="000000" w:themeColor="text1"/>
        </w:rPr>
        <w:t>ta chorującego na otyłość. Chcąc</w:t>
      </w:r>
      <w:r w:rsidRPr="00407BF3">
        <w:rPr>
          <w:rFonts w:cs="Arial"/>
          <w:noProof/>
          <w:color w:val="000000" w:themeColor="text1"/>
        </w:rPr>
        <w:t xml:space="preserve"> wspomóc osoby chore w ramach 3. edycji kam</w:t>
      </w:r>
      <w:r w:rsidR="00032A7C">
        <w:rPr>
          <w:rFonts w:cs="Arial"/>
          <w:noProof/>
          <w:color w:val="000000" w:themeColor="text1"/>
        </w:rPr>
        <w:t>panii „Porozmawiajmy szczerze o </w:t>
      </w:r>
      <w:r w:rsidRPr="00407BF3">
        <w:rPr>
          <w:rFonts w:cs="Arial"/>
          <w:noProof/>
          <w:color w:val="000000" w:themeColor="text1"/>
        </w:rPr>
        <w:t xml:space="preserve">otyłości” zostanie przygotowana „Karta praw </w:t>
      </w:r>
      <w:r w:rsidR="008370BF">
        <w:rPr>
          <w:rFonts w:cs="Arial"/>
          <w:noProof/>
          <w:color w:val="000000" w:themeColor="text1"/>
        </w:rPr>
        <w:t>chorego na otyłość</w:t>
      </w:r>
      <w:r w:rsidRPr="00407BF3">
        <w:rPr>
          <w:rFonts w:cs="Arial"/>
          <w:noProof/>
          <w:color w:val="000000" w:themeColor="text1"/>
        </w:rPr>
        <w:t>”. Głównym celem jest przede wszystkim wyodrębienie z całego katalogu praw pacjenta takich, które</w:t>
      </w:r>
      <w:r w:rsidR="0049052A">
        <w:rPr>
          <w:rFonts w:cs="Arial"/>
          <w:noProof/>
          <w:color w:val="000000" w:themeColor="text1"/>
        </w:rPr>
        <w:t xml:space="preserve"> są najbliższe problemom chorych</w:t>
      </w:r>
      <w:r w:rsidRPr="00407BF3">
        <w:rPr>
          <w:rFonts w:cs="Arial"/>
          <w:noProof/>
          <w:color w:val="000000" w:themeColor="text1"/>
        </w:rPr>
        <w:t xml:space="preserve"> na otyłość. Dokume</w:t>
      </w:r>
      <w:r w:rsidR="008370BF">
        <w:rPr>
          <w:rFonts w:cs="Arial"/>
          <w:noProof/>
          <w:color w:val="000000" w:themeColor="text1"/>
        </w:rPr>
        <w:t>nt powinien stać się realnym wsparciem</w:t>
      </w:r>
      <w:r w:rsidRPr="00407BF3">
        <w:rPr>
          <w:rFonts w:cs="Arial"/>
          <w:noProof/>
          <w:color w:val="000000" w:themeColor="text1"/>
        </w:rPr>
        <w:t xml:space="preserve"> dla pacjentów z otyłością podczas korzystania ze świadczeń opieki zdrowotnej w Polsce. </w:t>
      </w:r>
    </w:p>
    <w:p w14:paraId="1347FD54" w14:textId="77777777" w:rsidR="00407BF3" w:rsidRPr="00407BF3" w:rsidRDefault="00407BF3" w:rsidP="00407BF3">
      <w:pPr>
        <w:spacing w:after="0"/>
        <w:jc w:val="both"/>
        <w:rPr>
          <w:rFonts w:cs="Arial"/>
          <w:noProof/>
          <w:color w:val="000000" w:themeColor="text1"/>
        </w:rPr>
      </w:pPr>
    </w:p>
    <w:p w14:paraId="782CD9E3" w14:textId="1F8936BA" w:rsidR="00C44772" w:rsidRPr="00032A7C" w:rsidRDefault="00407BF3" w:rsidP="00C44772">
      <w:pPr>
        <w:spacing w:after="0"/>
        <w:jc w:val="both"/>
        <w:rPr>
          <w:rFonts w:cs="Arial"/>
          <w:b/>
          <w:noProof/>
          <w:color w:val="000000" w:themeColor="text1"/>
        </w:rPr>
      </w:pPr>
      <w:r w:rsidRPr="00032A7C">
        <w:rPr>
          <w:rFonts w:cs="Arial"/>
          <w:i/>
          <w:noProof/>
          <w:color w:val="000000" w:themeColor="text1"/>
        </w:rPr>
        <w:t xml:space="preserve">Misją Instytutu Praw Pacjenta i Edukacji Zdrowotnej jest wspieranie rozwiązań systemowych ukierunkowanych na poprawę sytuacji pacjentów oraz oddziaływanie na kształtowanie prozdrowotnych postaw Polaków. Dane epidemiologiczne dotyczące otyłości w naszym kraju jasno pokazują, że mamy do czynienia z jej rosnącą skalą. Podstawowym celem, który przyświecał będzie tworzeniu „Karty praw </w:t>
      </w:r>
      <w:r w:rsidR="008370BF">
        <w:rPr>
          <w:rFonts w:cs="Arial"/>
          <w:i/>
          <w:noProof/>
          <w:color w:val="000000" w:themeColor="text1"/>
        </w:rPr>
        <w:t>chorego na otyłość</w:t>
      </w:r>
      <w:r w:rsidRPr="00032A7C">
        <w:rPr>
          <w:rFonts w:cs="Arial"/>
          <w:i/>
          <w:noProof/>
          <w:color w:val="000000" w:themeColor="text1"/>
        </w:rPr>
        <w:t xml:space="preserve">” </w:t>
      </w:r>
      <w:r w:rsidR="0049052A">
        <w:rPr>
          <w:rFonts w:cs="Arial"/>
          <w:i/>
          <w:noProof/>
          <w:color w:val="000000" w:themeColor="text1"/>
        </w:rPr>
        <w:t>jest</w:t>
      </w:r>
      <w:r w:rsidRPr="00032A7C">
        <w:rPr>
          <w:rFonts w:cs="Arial"/>
          <w:i/>
          <w:noProof/>
          <w:color w:val="000000" w:themeColor="text1"/>
        </w:rPr>
        <w:t xml:space="preserve"> edukacja samych pacjentów oraz środowiska medycznego. Jesteśmy zobowiązani do tego, by podnosić jakość życia pacjentów poprzez uświadamianie o diagnostyce i możliwościach leczenia, a także o tym, że każdemu pacjentowi, niezależnie od masy ciała wynikającej z otyłości, należy się  szacunek i zrozumienie</w:t>
      </w:r>
      <w:r w:rsidRPr="00407BF3">
        <w:rPr>
          <w:rFonts w:cs="Arial"/>
          <w:noProof/>
          <w:color w:val="000000" w:themeColor="text1"/>
        </w:rPr>
        <w:t xml:space="preserve"> </w:t>
      </w:r>
      <w:r w:rsidRPr="00032A7C">
        <w:rPr>
          <w:rFonts w:cs="Arial"/>
          <w:noProof/>
          <w:color w:val="000000" w:themeColor="text1"/>
        </w:rPr>
        <w:t xml:space="preserve">– </w:t>
      </w:r>
      <w:r w:rsidR="005115F1">
        <w:rPr>
          <w:rFonts w:cs="Arial"/>
          <w:b/>
          <w:noProof/>
          <w:color w:val="000000" w:themeColor="text1"/>
        </w:rPr>
        <w:t xml:space="preserve">komentuje Igor </w:t>
      </w:r>
      <w:r w:rsidRPr="00032A7C">
        <w:rPr>
          <w:rFonts w:cs="Arial"/>
          <w:b/>
          <w:noProof/>
          <w:color w:val="000000" w:themeColor="text1"/>
        </w:rPr>
        <w:t xml:space="preserve">Grzesiak, wiceprezes Instytutu Praw Pacjenta i Edukacji Zdrowotnej. </w:t>
      </w:r>
    </w:p>
    <w:p w14:paraId="248544AE" w14:textId="77777777" w:rsidR="00407BF3" w:rsidRPr="00C44772" w:rsidRDefault="00407BF3" w:rsidP="00C44772">
      <w:pPr>
        <w:spacing w:after="0"/>
        <w:jc w:val="both"/>
        <w:rPr>
          <w:b/>
        </w:rPr>
      </w:pPr>
    </w:p>
    <w:p w14:paraId="1EA43EA7" w14:textId="286D57CF" w:rsidR="00331AB0" w:rsidRDefault="00C44772" w:rsidP="00714591">
      <w:pPr>
        <w:jc w:val="both"/>
        <w:rPr>
          <w:bCs/>
        </w:rPr>
      </w:pPr>
      <w:r>
        <w:rPr>
          <w:bCs/>
        </w:rPr>
        <w:t xml:space="preserve">Dokument będzie zawierał </w:t>
      </w:r>
      <w:r w:rsidR="00D51404">
        <w:rPr>
          <w:bCs/>
        </w:rPr>
        <w:t>10 podstaw</w:t>
      </w:r>
      <w:r w:rsidR="00AF3205">
        <w:rPr>
          <w:bCs/>
        </w:rPr>
        <w:t xml:space="preserve">owych praw </w:t>
      </w:r>
      <w:r w:rsidR="00D51404">
        <w:rPr>
          <w:bCs/>
        </w:rPr>
        <w:t xml:space="preserve"> pacjenta, które nie tylko są dla niego gwarantem uzyskania pomocy, ale również zobowiązaniem personelu medycznego oraz placówek zdrowotnych do ich respektowania.  </w:t>
      </w:r>
    </w:p>
    <w:p w14:paraId="098E7F76" w14:textId="07C76068" w:rsidR="005115F1" w:rsidRPr="00542B3F" w:rsidRDefault="005115F1" w:rsidP="005115F1">
      <w:pPr>
        <w:jc w:val="both"/>
        <w:rPr>
          <w:b/>
          <w:bCs/>
        </w:rPr>
      </w:pPr>
      <w:r w:rsidRPr="00542B3F">
        <w:rPr>
          <w:bCs/>
          <w:i/>
        </w:rPr>
        <w:t xml:space="preserve">Potrzebujemy rozwiązań systemowych, budowy jasnego i klarownego systemu otwartego </w:t>
      </w:r>
      <w:r w:rsidR="0049052A">
        <w:rPr>
          <w:bCs/>
          <w:i/>
        </w:rPr>
        <w:t>na</w:t>
      </w:r>
      <w:r w:rsidRPr="00542B3F">
        <w:rPr>
          <w:bCs/>
          <w:i/>
        </w:rPr>
        <w:t xml:space="preserve"> </w:t>
      </w:r>
      <w:r>
        <w:rPr>
          <w:bCs/>
          <w:i/>
        </w:rPr>
        <w:t>chorych na otyłość</w:t>
      </w:r>
      <w:r w:rsidRPr="00542B3F">
        <w:rPr>
          <w:bCs/>
          <w:i/>
        </w:rPr>
        <w:t xml:space="preserve">. Stale </w:t>
      </w:r>
      <w:r>
        <w:rPr>
          <w:bCs/>
          <w:i/>
        </w:rPr>
        <w:t>s</w:t>
      </w:r>
      <w:r w:rsidRPr="00542B3F">
        <w:rPr>
          <w:bCs/>
          <w:i/>
        </w:rPr>
        <w:t xml:space="preserve">potykam się z kwestionowaniem </w:t>
      </w:r>
      <w:r>
        <w:rPr>
          <w:bCs/>
          <w:i/>
        </w:rPr>
        <w:t>konieczności</w:t>
      </w:r>
      <w:r w:rsidRPr="00542B3F">
        <w:rPr>
          <w:bCs/>
          <w:i/>
        </w:rPr>
        <w:t xml:space="preserve"> leczenia otyłości</w:t>
      </w:r>
      <w:r>
        <w:rPr>
          <w:bCs/>
          <w:i/>
        </w:rPr>
        <w:t>,</w:t>
      </w:r>
      <w:r w:rsidRPr="00542B3F">
        <w:rPr>
          <w:bCs/>
          <w:i/>
        </w:rPr>
        <w:t xml:space="preserve"> </w:t>
      </w:r>
      <w:r>
        <w:rPr>
          <w:bCs/>
          <w:i/>
        </w:rPr>
        <w:t>nie wspominając już o</w:t>
      </w:r>
      <w:r w:rsidRPr="00542B3F">
        <w:rPr>
          <w:bCs/>
          <w:i/>
        </w:rPr>
        <w:t xml:space="preserve"> chirurgii </w:t>
      </w:r>
      <w:proofErr w:type="spellStart"/>
      <w:r w:rsidRPr="00542B3F">
        <w:rPr>
          <w:bCs/>
          <w:i/>
        </w:rPr>
        <w:t>bariatrycznej</w:t>
      </w:r>
      <w:proofErr w:type="spellEnd"/>
      <w:r>
        <w:rPr>
          <w:bCs/>
          <w:i/>
        </w:rPr>
        <w:t>, która nadal</w:t>
      </w:r>
      <w:r w:rsidRPr="00542B3F">
        <w:rPr>
          <w:bCs/>
          <w:i/>
        </w:rPr>
        <w:t xml:space="preserve"> często </w:t>
      </w:r>
      <w:r>
        <w:rPr>
          <w:bCs/>
          <w:i/>
        </w:rPr>
        <w:t>jest</w:t>
      </w:r>
      <w:r w:rsidRPr="00542B3F">
        <w:rPr>
          <w:bCs/>
          <w:i/>
        </w:rPr>
        <w:t xml:space="preserve"> </w:t>
      </w:r>
      <w:r>
        <w:rPr>
          <w:bCs/>
          <w:i/>
        </w:rPr>
        <w:t>traktowana jako</w:t>
      </w:r>
      <w:r w:rsidRPr="00542B3F">
        <w:rPr>
          <w:bCs/>
          <w:i/>
        </w:rPr>
        <w:t xml:space="preserve"> </w:t>
      </w:r>
      <w:r>
        <w:rPr>
          <w:bCs/>
          <w:i/>
        </w:rPr>
        <w:t>zabieg</w:t>
      </w:r>
      <w:r w:rsidRPr="00542B3F">
        <w:rPr>
          <w:bCs/>
          <w:i/>
        </w:rPr>
        <w:t xml:space="preserve"> estetyczn</w:t>
      </w:r>
      <w:r>
        <w:rPr>
          <w:bCs/>
          <w:i/>
        </w:rPr>
        <w:t>y</w:t>
      </w:r>
      <w:r w:rsidRPr="00542B3F">
        <w:rPr>
          <w:bCs/>
          <w:i/>
        </w:rPr>
        <w:t xml:space="preserve">, a nie </w:t>
      </w:r>
      <w:r>
        <w:rPr>
          <w:bCs/>
          <w:i/>
        </w:rPr>
        <w:t xml:space="preserve">operacja </w:t>
      </w:r>
      <w:r w:rsidRPr="00542B3F">
        <w:rPr>
          <w:bCs/>
          <w:i/>
        </w:rPr>
        <w:t>ratując</w:t>
      </w:r>
      <w:r>
        <w:rPr>
          <w:bCs/>
          <w:i/>
        </w:rPr>
        <w:t>a</w:t>
      </w:r>
      <w:r w:rsidRPr="00542B3F">
        <w:rPr>
          <w:bCs/>
          <w:i/>
        </w:rPr>
        <w:t xml:space="preserve"> życie</w:t>
      </w:r>
      <w:r>
        <w:rPr>
          <w:bCs/>
          <w:i/>
        </w:rPr>
        <w:t xml:space="preserve"> chorego</w:t>
      </w:r>
      <w:r w:rsidRPr="00542B3F">
        <w:rPr>
          <w:bCs/>
          <w:i/>
        </w:rPr>
        <w:t xml:space="preserve">. Nikt nie kwestionuje leczenia cukrzycy, a przecież w 90% przypadków jest ona efektem choroby </w:t>
      </w:r>
      <w:proofErr w:type="spellStart"/>
      <w:r w:rsidRPr="00542B3F">
        <w:rPr>
          <w:bCs/>
          <w:i/>
        </w:rPr>
        <w:t>otyłościowej</w:t>
      </w:r>
      <w:proofErr w:type="spellEnd"/>
      <w:r w:rsidRPr="00542B3F">
        <w:rPr>
          <w:bCs/>
          <w:i/>
        </w:rPr>
        <w:t>. Pacjenci powinni mieć dostęp do informacji</w:t>
      </w:r>
      <w:r>
        <w:rPr>
          <w:bCs/>
          <w:i/>
        </w:rPr>
        <w:t>,</w:t>
      </w:r>
      <w:r w:rsidRPr="00542B3F">
        <w:rPr>
          <w:bCs/>
          <w:i/>
        </w:rPr>
        <w:t xml:space="preserve"> dokąd się zgłosić, aby uzyskać kompleksową diagnostykę i leczenie </w:t>
      </w:r>
      <w:r>
        <w:rPr>
          <w:bCs/>
          <w:i/>
        </w:rPr>
        <w:t xml:space="preserve">choroby </w:t>
      </w:r>
      <w:proofErr w:type="spellStart"/>
      <w:r>
        <w:rPr>
          <w:bCs/>
          <w:i/>
        </w:rPr>
        <w:t>otyłościowej</w:t>
      </w:r>
      <w:proofErr w:type="spellEnd"/>
      <w:r>
        <w:rPr>
          <w:bCs/>
          <w:i/>
        </w:rPr>
        <w:t xml:space="preserve"> </w:t>
      </w:r>
      <w:r w:rsidRPr="00542B3F">
        <w:rPr>
          <w:bCs/>
          <w:i/>
        </w:rPr>
        <w:t>oraz być świadomymi obowiązujących ich praw</w:t>
      </w:r>
      <w:r>
        <w:rPr>
          <w:bCs/>
          <w:i/>
        </w:rPr>
        <w:t xml:space="preserve"> i możliwości leczenia zgodnego ze współczesną wiedzą medyczną i</w:t>
      </w:r>
      <w:r w:rsidR="0049052A">
        <w:rPr>
          <w:bCs/>
          <w:i/>
        </w:rPr>
        <w:t> </w:t>
      </w:r>
      <w:r>
        <w:rPr>
          <w:bCs/>
          <w:i/>
        </w:rPr>
        <w:t>osiągnięciami w tym zakresie</w:t>
      </w:r>
      <w:r>
        <w:rPr>
          <w:bCs/>
        </w:rPr>
        <w:t xml:space="preserve"> </w:t>
      </w:r>
      <w:r w:rsidR="0049052A">
        <w:rPr>
          <w:bCs/>
        </w:rPr>
        <w:t>–</w:t>
      </w:r>
      <w:r>
        <w:rPr>
          <w:bCs/>
        </w:rPr>
        <w:t xml:space="preserve"> </w:t>
      </w:r>
      <w:r w:rsidRPr="00542B3F">
        <w:rPr>
          <w:b/>
          <w:bCs/>
        </w:rPr>
        <w:t xml:space="preserve">zwraca uwagę dr </w:t>
      </w:r>
      <w:r>
        <w:rPr>
          <w:b/>
          <w:bCs/>
        </w:rPr>
        <w:t xml:space="preserve">hab. </w:t>
      </w:r>
      <w:r w:rsidRPr="00542B3F">
        <w:rPr>
          <w:b/>
          <w:bCs/>
        </w:rPr>
        <w:t xml:space="preserve">n. med. Mariusz Wyleżoł, wiceprezes Polskiego </w:t>
      </w:r>
      <w:r w:rsidRPr="00542B3F">
        <w:rPr>
          <w:b/>
          <w:bCs/>
        </w:rPr>
        <w:lastRenderedPageBreak/>
        <w:t xml:space="preserve">Towarzystwa Leczenia Otyłości (PTLO) oraz kierownik Warszawskiego Centrum Kompleksowego Leczenia Otyłości i Chirurgii </w:t>
      </w:r>
      <w:proofErr w:type="spellStart"/>
      <w:r w:rsidRPr="00542B3F">
        <w:rPr>
          <w:b/>
          <w:bCs/>
        </w:rPr>
        <w:t>Bariatrycznej</w:t>
      </w:r>
      <w:proofErr w:type="spellEnd"/>
      <w:r w:rsidRPr="00542B3F">
        <w:rPr>
          <w:b/>
          <w:bCs/>
        </w:rPr>
        <w:t xml:space="preserve"> w Szpitalu Czerniakowskim w Warszawie</w:t>
      </w:r>
    </w:p>
    <w:p w14:paraId="18807F6E" w14:textId="041F2947" w:rsidR="00655AEB" w:rsidRDefault="00765DC5" w:rsidP="00714591">
      <w:pPr>
        <w:jc w:val="both"/>
        <w:rPr>
          <w:bCs/>
        </w:rPr>
      </w:pPr>
      <w:r>
        <w:rPr>
          <w:bCs/>
        </w:rPr>
        <w:t>Dieta i aktywność fizyczna są ważnym elem</w:t>
      </w:r>
      <w:r w:rsidR="00860D7C">
        <w:rPr>
          <w:bCs/>
        </w:rPr>
        <w:t xml:space="preserve">entem terapii otyłości. Jednak u większości pacjentów nie są wystarczające, aby </w:t>
      </w:r>
      <w:r w:rsidR="0084225F">
        <w:rPr>
          <w:bCs/>
        </w:rPr>
        <w:t>skutecznie zredukować i utrzymać masę ciała</w:t>
      </w:r>
      <w:r w:rsidR="00860D7C">
        <w:rPr>
          <w:bCs/>
        </w:rPr>
        <w:t>. W przypadku innych schorzeń sposób odżywiania stanowi dodatek do zaleceń lekarza, w pierwszej kolejności dobiera się terapię farmakologiczną odpowiednią do stanu zdrowia pacjenta.</w:t>
      </w:r>
      <w:r w:rsidR="00542B3F">
        <w:rPr>
          <w:bCs/>
        </w:rPr>
        <w:t xml:space="preserve"> </w:t>
      </w:r>
      <w:r w:rsidR="00AA0FA1">
        <w:rPr>
          <w:bCs/>
        </w:rPr>
        <w:t xml:space="preserve">Jak </w:t>
      </w:r>
      <w:r w:rsidR="0052106B">
        <w:rPr>
          <w:bCs/>
        </w:rPr>
        <w:t>pokazują badania zrealizowane w </w:t>
      </w:r>
      <w:r w:rsidR="00AA0FA1">
        <w:rPr>
          <w:bCs/>
        </w:rPr>
        <w:t>ramac</w:t>
      </w:r>
      <w:r w:rsidR="00655AEB">
        <w:rPr>
          <w:bCs/>
        </w:rPr>
        <w:t>h kampanii „Porozmawiajmy szczerze o otyłości”</w:t>
      </w:r>
      <w:r w:rsidR="00860D7C">
        <w:rPr>
          <w:bCs/>
        </w:rPr>
        <w:t xml:space="preserve"> 87% Polaków </w:t>
      </w:r>
      <w:r w:rsidR="00655AEB">
        <w:rPr>
          <w:bCs/>
        </w:rPr>
        <w:t>chcąc zredukować masę ciała w pierwszej kolejności swoje kroki kieruje do diet</w:t>
      </w:r>
      <w:r w:rsidR="00542B3F">
        <w:rPr>
          <w:bCs/>
        </w:rPr>
        <w:t>e</w:t>
      </w:r>
      <w:r w:rsidR="0052106B">
        <w:rPr>
          <w:bCs/>
        </w:rPr>
        <w:t>tyka</w:t>
      </w:r>
      <w:r w:rsidR="0049052A">
        <w:rPr>
          <w:rStyle w:val="FootnoteReference"/>
          <w:bCs/>
        </w:rPr>
        <w:footnoteReference w:id="3"/>
      </w:r>
      <w:r w:rsidR="00860D7C">
        <w:rPr>
          <w:bCs/>
        </w:rPr>
        <w:t xml:space="preserve">. </w:t>
      </w:r>
    </w:p>
    <w:p w14:paraId="6DA71CAE" w14:textId="5F8E4A33" w:rsidR="0075033B" w:rsidRPr="00542B3F" w:rsidRDefault="00860D7C" w:rsidP="00714591">
      <w:pPr>
        <w:jc w:val="both"/>
        <w:rPr>
          <w:b/>
          <w:bCs/>
        </w:rPr>
      </w:pPr>
      <w:r w:rsidRPr="00542B3F">
        <w:rPr>
          <w:bCs/>
          <w:i/>
        </w:rPr>
        <w:t xml:space="preserve">Zmiana sposobu żywienia </w:t>
      </w:r>
      <w:r w:rsidR="00394202">
        <w:rPr>
          <w:bCs/>
          <w:i/>
        </w:rPr>
        <w:t xml:space="preserve">dostosowana do </w:t>
      </w:r>
      <w:r w:rsidR="0066318F">
        <w:rPr>
          <w:bCs/>
          <w:i/>
        </w:rPr>
        <w:t xml:space="preserve">stanu zdrowia pacjenta </w:t>
      </w:r>
      <w:r w:rsidRPr="00542B3F">
        <w:rPr>
          <w:bCs/>
          <w:i/>
        </w:rPr>
        <w:t xml:space="preserve">to nieodzowny element terapii choroby </w:t>
      </w:r>
      <w:proofErr w:type="spellStart"/>
      <w:r w:rsidRPr="00542B3F">
        <w:rPr>
          <w:bCs/>
          <w:i/>
        </w:rPr>
        <w:t>otyłościowej</w:t>
      </w:r>
      <w:proofErr w:type="spellEnd"/>
      <w:r w:rsidRPr="00542B3F">
        <w:rPr>
          <w:bCs/>
          <w:i/>
        </w:rPr>
        <w:t xml:space="preserve">, jednak musimy pamiętać, że stanowi </w:t>
      </w:r>
      <w:r w:rsidR="000A7078">
        <w:rPr>
          <w:bCs/>
          <w:i/>
        </w:rPr>
        <w:t>ona</w:t>
      </w:r>
      <w:r w:rsidR="000A7078" w:rsidRPr="00542B3F">
        <w:rPr>
          <w:bCs/>
          <w:i/>
        </w:rPr>
        <w:t xml:space="preserve"> </w:t>
      </w:r>
      <w:r w:rsidR="00655AEB" w:rsidRPr="00542B3F">
        <w:rPr>
          <w:bCs/>
          <w:i/>
        </w:rPr>
        <w:t>pewien element w</w:t>
      </w:r>
      <w:r w:rsidR="00EC20F8" w:rsidRPr="00542B3F">
        <w:rPr>
          <w:bCs/>
          <w:i/>
        </w:rPr>
        <w:t xml:space="preserve"> procesie terapeutycznym</w:t>
      </w:r>
      <w:r w:rsidR="00655AEB" w:rsidRPr="00542B3F">
        <w:rPr>
          <w:bCs/>
          <w:i/>
        </w:rPr>
        <w:t xml:space="preserve">, którym </w:t>
      </w:r>
      <w:r w:rsidR="00F9105C">
        <w:rPr>
          <w:bCs/>
          <w:i/>
        </w:rPr>
        <w:t xml:space="preserve">zawsze powinien </w:t>
      </w:r>
      <w:r w:rsidR="00655AEB" w:rsidRPr="00542B3F">
        <w:rPr>
          <w:bCs/>
          <w:i/>
        </w:rPr>
        <w:t>kier</w:t>
      </w:r>
      <w:r w:rsidR="00F9105C">
        <w:rPr>
          <w:bCs/>
          <w:i/>
        </w:rPr>
        <w:t>ować</w:t>
      </w:r>
      <w:r w:rsidR="00655AEB" w:rsidRPr="00542B3F">
        <w:rPr>
          <w:bCs/>
          <w:i/>
        </w:rPr>
        <w:t xml:space="preserve"> lekarz</w:t>
      </w:r>
      <w:r w:rsidR="00EC20F8" w:rsidRPr="00542B3F">
        <w:rPr>
          <w:bCs/>
          <w:i/>
        </w:rPr>
        <w:t xml:space="preserve">. </w:t>
      </w:r>
      <w:r w:rsidR="00655AEB" w:rsidRPr="00542B3F">
        <w:rPr>
          <w:bCs/>
          <w:i/>
        </w:rPr>
        <w:t>Cho</w:t>
      </w:r>
      <w:r w:rsidR="00542B3F">
        <w:rPr>
          <w:bCs/>
          <w:i/>
        </w:rPr>
        <w:t>r</w:t>
      </w:r>
      <w:r w:rsidR="00655AEB" w:rsidRPr="00542B3F">
        <w:rPr>
          <w:bCs/>
          <w:i/>
        </w:rPr>
        <w:t>zy na otyłość</w:t>
      </w:r>
      <w:r w:rsidR="00EC20F8" w:rsidRPr="00542B3F">
        <w:rPr>
          <w:bCs/>
          <w:i/>
        </w:rPr>
        <w:t xml:space="preserve"> w pierwszej kolejności powinn</w:t>
      </w:r>
      <w:r w:rsidR="00655AEB" w:rsidRPr="00542B3F">
        <w:rPr>
          <w:bCs/>
          <w:i/>
        </w:rPr>
        <w:t>i</w:t>
      </w:r>
      <w:r w:rsidR="00EC20F8" w:rsidRPr="00542B3F">
        <w:rPr>
          <w:bCs/>
          <w:i/>
        </w:rPr>
        <w:t xml:space="preserve"> zgłosić się do lekarza oraz zostać poddan</w:t>
      </w:r>
      <w:r w:rsidR="00655AEB" w:rsidRPr="00542B3F">
        <w:rPr>
          <w:bCs/>
          <w:i/>
        </w:rPr>
        <w:t>i</w:t>
      </w:r>
      <w:r w:rsidR="00EC20F8" w:rsidRPr="00542B3F">
        <w:rPr>
          <w:bCs/>
          <w:i/>
        </w:rPr>
        <w:t xml:space="preserve"> kompleksowej diagnostyce. Po tym etapie wraz z całym zespołem terapeutycznym, w którego skład powinien wchodzić lekarz, dietetyk, psycholog i fizjoterapeuta można przygotować skuteczny skoordynowany plan terapeutyczny dla chorego</w:t>
      </w:r>
      <w:r w:rsidR="00EC20F8">
        <w:rPr>
          <w:bCs/>
        </w:rPr>
        <w:t xml:space="preserve"> – </w:t>
      </w:r>
      <w:r w:rsidR="00EC20F8" w:rsidRPr="00542B3F">
        <w:rPr>
          <w:b/>
          <w:bCs/>
        </w:rPr>
        <w:t xml:space="preserve">komentuje dr Wanda </w:t>
      </w:r>
      <w:proofErr w:type="spellStart"/>
      <w:r w:rsidR="00EC20F8" w:rsidRPr="00542B3F">
        <w:rPr>
          <w:b/>
          <w:bCs/>
        </w:rPr>
        <w:t>Baltaza</w:t>
      </w:r>
      <w:proofErr w:type="spellEnd"/>
      <w:r w:rsidR="0052106B">
        <w:rPr>
          <w:b/>
          <w:bCs/>
        </w:rPr>
        <w:t>,</w:t>
      </w:r>
      <w:r w:rsidR="00EC20F8" w:rsidRPr="00542B3F">
        <w:rPr>
          <w:b/>
          <w:bCs/>
        </w:rPr>
        <w:t xml:space="preserve"> dietetyk kliniczny.  </w:t>
      </w:r>
    </w:p>
    <w:p w14:paraId="236191F8" w14:textId="77777777" w:rsidR="00821270" w:rsidRDefault="00821270" w:rsidP="00714591">
      <w:pPr>
        <w:jc w:val="both"/>
        <w:rPr>
          <w:rFonts w:eastAsia="Times New Roman" w:cstheme="minorHAnsi"/>
          <w:color w:val="111111"/>
          <w:sz w:val="20"/>
          <w:szCs w:val="20"/>
          <w:u w:val="single"/>
        </w:rPr>
      </w:pPr>
    </w:p>
    <w:p w14:paraId="7FF5E230" w14:textId="00F71EB4" w:rsidR="00714591" w:rsidRPr="00081BFF" w:rsidRDefault="00714591" w:rsidP="00714591">
      <w:pPr>
        <w:jc w:val="both"/>
        <w:rPr>
          <w:rFonts w:eastAsia="Times New Roman" w:cstheme="minorHAnsi"/>
          <w:color w:val="111111"/>
          <w:sz w:val="20"/>
          <w:szCs w:val="20"/>
          <w:u w:val="single"/>
        </w:rPr>
      </w:pPr>
      <w:r w:rsidRPr="00081BFF">
        <w:rPr>
          <w:rFonts w:eastAsia="Times New Roman" w:cstheme="minorHAnsi"/>
          <w:color w:val="111111"/>
          <w:sz w:val="20"/>
          <w:szCs w:val="20"/>
          <w:u w:val="single"/>
        </w:rPr>
        <w:t>Informacje o kampanii:</w:t>
      </w:r>
    </w:p>
    <w:p w14:paraId="2657F291" w14:textId="1ABAE3DB" w:rsidR="009653E3" w:rsidRDefault="00714591" w:rsidP="009653E3">
      <w:pPr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C</w:t>
      </w:r>
      <w:r w:rsidRPr="007B3406">
        <w:rPr>
          <w:rFonts w:cstheme="minorHAnsi"/>
          <w:bCs/>
          <w:sz w:val="20"/>
          <w:szCs w:val="20"/>
        </w:rPr>
        <w:t>elem kampanii „Porozmawiajmy szczerze o otyłości”</w:t>
      </w:r>
      <w:r>
        <w:rPr>
          <w:rFonts w:cstheme="minorHAnsi"/>
          <w:bCs/>
          <w:sz w:val="20"/>
          <w:szCs w:val="20"/>
        </w:rPr>
        <w:t xml:space="preserve"> jest </w:t>
      </w:r>
      <w:r w:rsidRPr="007B3406">
        <w:rPr>
          <w:rFonts w:cstheme="minorHAnsi"/>
          <w:bCs/>
          <w:sz w:val="20"/>
          <w:szCs w:val="20"/>
        </w:rPr>
        <w:t>budowanie</w:t>
      </w:r>
      <w:r>
        <w:rPr>
          <w:rFonts w:cstheme="minorHAnsi"/>
          <w:bCs/>
          <w:sz w:val="20"/>
          <w:szCs w:val="20"/>
        </w:rPr>
        <w:t xml:space="preserve"> </w:t>
      </w:r>
      <w:r w:rsidRPr="0090080E">
        <w:rPr>
          <w:rFonts w:cstheme="minorHAnsi"/>
          <w:bCs/>
          <w:sz w:val="20"/>
          <w:szCs w:val="20"/>
        </w:rPr>
        <w:t xml:space="preserve">społecznej świadomości, </w:t>
      </w:r>
      <w:r w:rsidRPr="007B3406">
        <w:rPr>
          <w:rFonts w:cstheme="minorHAnsi"/>
          <w:bCs/>
          <w:sz w:val="20"/>
          <w:szCs w:val="20"/>
        </w:rPr>
        <w:t>że otyłość jes</w:t>
      </w:r>
      <w:r>
        <w:rPr>
          <w:rFonts w:cstheme="minorHAnsi"/>
          <w:bCs/>
          <w:sz w:val="20"/>
          <w:szCs w:val="20"/>
        </w:rPr>
        <w:t>t chorobą, którą należy leczyć. Inicjatorem kampanii jest Polskie Towarzystwo Leczenia Otyłości</w:t>
      </w:r>
      <w:r w:rsidR="0052106B">
        <w:rPr>
          <w:rFonts w:cstheme="minorHAnsi"/>
          <w:bCs/>
          <w:sz w:val="20"/>
          <w:szCs w:val="20"/>
        </w:rPr>
        <w:t xml:space="preserve"> (PTLO), a </w:t>
      </w:r>
      <w:r>
        <w:rPr>
          <w:rFonts w:cstheme="minorHAnsi"/>
          <w:bCs/>
          <w:sz w:val="20"/>
          <w:szCs w:val="20"/>
        </w:rPr>
        <w:t xml:space="preserve">mecenasem firma Novo Nordisk. W czerwcu 2022 </w:t>
      </w:r>
      <w:r w:rsidR="0052106B">
        <w:rPr>
          <w:rFonts w:cstheme="minorHAnsi"/>
          <w:bCs/>
          <w:sz w:val="20"/>
          <w:szCs w:val="20"/>
        </w:rPr>
        <w:t>ruszyła</w:t>
      </w:r>
      <w:r>
        <w:rPr>
          <w:rFonts w:cstheme="minorHAnsi"/>
          <w:bCs/>
          <w:sz w:val="20"/>
          <w:szCs w:val="20"/>
        </w:rPr>
        <w:t xml:space="preserve"> 3. edycja kampanii.</w:t>
      </w:r>
      <w:r w:rsidRPr="007B3406">
        <w:rPr>
          <w:rFonts w:cstheme="minorHAnsi"/>
          <w:bCs/>
          <w:sz w:val="20"/>
          <w:szCs w:val="20"/>
        </w:rPr>
        <w:t xml:space="preserve"> </w:t>
      </w:r>
      <w:r>
        <w:rPr>
          <w:rFonts w:cstheme="minorHAnsi"/>
          <w:bCs/>
          <w:sz w:val="20"/>
          <w:szCs w:val="20"/>
        </w:rPr>
        <w:t xml:space="preserve">W ramach </w:t>
      </w:r>
      <w:r w:rsidR="0052106B">
        <w:rPr>
          <w:rFonts w:cstheme="minorHAnsi"/>
          <w:bCs/>
          <w:sz w:val="20"/>
          <w:szCs w:val="20"/>
        </w:rPr>
        <w:t xml:space="preserve">inicjatywy </w:t>
      </w:r>
      <w:r w:rsidR="000F38EF">
        <w:rPr>
          <w:rFonts w:cstheme="minorHAnsi"/>
          <w:bCs/>
          <w:sz w:val="20"/>
          <w:szCs w:val="20"/>
        </w:rPr>
        <w:t>zrealizowane zostaną dzi</w:t>
      </w:r>
      <w:r w:rsidR="00E33B2F">
        <w:rPr>
          <w:rFonts w:cstheme="minorHAnsi"/>
          <w:bCs/>
          <w:sz w:val="20"/>
          <w:szCs w:val="20"/>
        </w:rPr>
        <w:t>ałania komunikacyjne</w:t>
      </w:r>
      <w:r w:rsidR="00BC0766">
        <w:rPr>
          <w:rFonts w:cstheme="minorHAnsi"/>
          <w:bCs/>
          <w:sz w:val="20"/>
          <w:szCs w:val="20"/>
        </w:rPr>
        <w:t xml:space="preserve"> o charakterze edukacyjnym</w:t>
      </w:r>
      <w:r w:rsidR="00E33B2F">
        <w:rPr>
          <w:rFonts w:cstheme="minorHAnsi"/>
          <w:bCs/>
          <w:sz w:val="20"/>
          <w:szCs w:val="20"/>
        </w:rPr>
        <w:t xml:space="preserve">, zarówno wystawa zdjęć Bohaterów kampanii, </w:t>
      </w:r>
      <w:r w:rsidR="000F38EF">
        <w:rPr>
          <w:rFonts w:cstheme="minorHAnsi"/>
          <w:bCs/>
          <w:sz w:val="20"/>
          <w:szCs w:val="20"/>
        </w:rPr>
        <w:t xml:space="preserve">jak i </w:t>
      </w:r>
      <w:r w:rsidR="00E33B2F">
        <w:rPr>
          <w:rFonts w:cstheme="minorHAnsi"/>
          <w:bCs/>
          <w:sz w:val="20"/>
          <w:szCs w:val="20"/>
        </w:rPr>
        <w:t>szeroko zakrojone działania w</w:t>
      </w:r>
      <w:r w:rsidR="000F38EF">
        <w:rPr>
          <w:rFonts w:cstheme="minorHAnsi"/>
          <w:bCs/>
          <w:sz w:val="20"/>
          <w:szCs w:val="20"/>
        </w:rPr>
        <w:t xml:space="preserve"> przestrzeni digital</w:t>
      </w:r>
      <w:r w:rsidR="00F32D5A">
        <w:rPr>
          <w:rFonts w:cstheme="minorHAnsi"/>
          <w:bCs/>
          <w:sz w:val="20"/>
          <w:szCs w:val="20"/>
        </w:rPr>
        <w:t>owej</w:t>
      </w:r>
      <w:r w:rsidR="000F38EF">
        <w:rPr>
          <w:rFonts w:cstheme="minorHAnsi"/>
          <w:bCs/>
          <w:sz w:val="20"/>
          <w:szCs w:val="20"/>
        </w:rPr>
        <w:t>. Aktualizowana będzie również strona internetowa</w:t>
      </w:r>
      <w:r w:rsidRPr="007B3406">
        <w:rPr>
          <w:rFonts w:cstheme="minorHAnsi"/>
          <w:bCs/>
          <w:sz w:val="20"/>
          <w:szCs w:val="20"/>
        </w:rPr>
        <w:t xml:space="preserve"> www.ootylosci.pl, która j</w:t>
      </w:r>
      <w:r>
        <w:rPr>
          <w:rFonts w:cstheme="minorHAnsi"/>
          <w:bCs/>
          <w:sz w:val="20"/>
          <w:szCs w:val="20"/>
        </w:rPr>
        <w:t>est cennym źródłem informacji i </w:t>
      </w:r>
      <w:r w:rsidRPr="007B3406">
        <w:rPr>
          <w:rFonts w:cstheme="minorHAnsi"/>
          <w:bCs/>
          <w:sz w:val="20"/>
          <w:szCs w:val="20"/>
        </w:rPr>
        <w:t xml:space="preserve">wsparcia dla osób dotkniętych tą chorobą. </w:t>
      </w:r>
      <w:r>
        <w:rPr>
          <w:rFonts w:cstheme="minorHAnsi"/>
          <w:bCs/>
          <w:sz w:val="20"/>
          <w:szCs w:val="20"/>
        </w:rPr>
        <w:t>Zaplanowane zostały również działania w mediach społecznościowych</w:t>
      </w:r>
      <w:r w:rsidR="00E33B2F">
        <w:rPr>
          <w:rFonts w:cstheme="minorHAnsi"/>
          <w:bCs/>
          <w:sz w:val="20"/>
          <w:szCs w:val="20"/>
        </w:rPr>
        <w:t xml:space="preserve">, </w:t>
      </w:r>
      <w:r w:rsidR="00D14CEB">
        <w:rPr>
          <w:rFonts w:cstheme="minorHAnsi"/>
          <w:bCs/>
          <w:sz w:val="20"/>
          <w:szCs w:val="20"/>
        </w:rPr>
        <w:t>nagranie spotu ra</w:t>
      </w:r>
      <w:r w:rsidR="008534FD">
        <w:rPr>
          <w:rFonts w:cstheme="minorHAnsi"/>
          <w:bCs/>
          <w:sz w:val="20"/>
          <w:szCs w:val="20"/>
        </w:rPr>
        <w:t>d</w:t>
      </w:r>
      <w:r w:rsidR="00D14CEB">
        <w:rPr>
          <w:rFonts w:cstheme="minorHAnsi"/>
          <w:bCs/>
          <w:sz w:val="20"/>
          <w:szCs w:val="20"/>
        </w:rPr>
        <w:t>iowego</w:t>
      </w:r>
      <w:r w:rsidR="005A4560">
        <w:rPr>
          <w:rFonts w:cstheme="minorHAnsi"/>
          <w:bCs/>
          <w:sz w:val="20"/>
          <w:szCs w:val="20"/>
        </w:rPr>
        <w:t xml:space="preserve">, </w:t>
      </w:r>
      <w:r w:rsidR="00D02FEF">
        <w:rPr>
          <w:rFonts w:cstheme="minorHAnsi"/>
          <w:bCs/>
          <w:sz w:val="20"/>
          <w:szCs w:val="20"/>
        </w:rPr>
        <w:t>współpraca z </w:t>
      </w:r>
      <w:proofErr w:type="spellStart"/>
      <w:r w:rsidR="00E33B2F">
        <w:rPr>
          <w:rFonts w:cstheme="minorHAnsi"/>
          <w:bCs/>
          <w:sz w:val="20"/>
          <w:szCs w:val="20"/>
        </w:rPr>
        <w:t>influencerami</w:t>
      </w:r>
      <w:proofErr w:type="spellEnd"/>
      <w:r>
        <w:rPr>
          <w:rFonts w:cstheme="minorHAnsi"/>
          <w:bCs/>
          <w:sz w:val="20"/>
          <w:szCs w:val="20"/>
        </w:rPr>
        <w:t xml:space="preserve"> oraz cykl edukacyjnych podcastów dotyczących otyłości.</w:t>
      </w:r>
    </w:p>
    <w:p w14:paraId="01697B2D" w14:textId="10882C85" w:rsidR="008246FB" w:rsidRPr="007F6485" w:rsidRDefault="00040937" w:rsidP="007F6485">
      <w:pPr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Partnerami kampanii są: Stowarzyszenie Pacjentów </w:t>
      </w:r>
      <w:proofErr w:type="spellStart"/>
      <w:r>
        <w:rPr>
          <w:rFonts w:cstheme="minorHAnsi"/>
          <w:bCs/>
          <w:sz w:val="20"/>
          <w:szCs w:val="20"/>
        </w:rPr>
        <w:t>Bariatrycznych</w:t>
      </w:r>
      <w:proofErr w:type="spellEnd"/>
      <w:r>
        <w:rPr>
          <w:rFonts w:cstheme="minorHAnsi"/>
          <w:bCs/>
          <w:sz w:val="20"/>
          <w:szCs w:val="20"/>
        </w:rPr>
        <w:t xml:space="preserve"> CHLO, Instytut Praw Pacjenta i Edukacji Zdrowotnej, Polskie Towarzystwo Medycyny Rodzinnej, Polskie Towarzystwo Kardiologiczne,</w:t>
      </w:r>
      <w:r w:rsidR="00542B3F">
        <w:rPr>
          <w:rFonts w:cstheme="minorHAnsi"/>
          <w:bCs/>
          <w:sz w:val="20"/>
          <w:szCs w:val="20"/>
        </w:rPr>
        <w:t xml:space="preserve"> Polskie Towarzystwo </w:t>
      </w:r>
      <w:proofErr w:type="spellStart"/>
      <w:r w:rsidR="00542B3F">
        <w:rPr>
          <w:rFonts w:cstheme="minorHAnsi"/>
          <w:bCs/>
          <w:sz w:val="20"/>
          <w:szCs w:val="20"/>
        </w:rPr>
        <w:t>Lipidologiczne</w:t>
      </w:r>
      <w:proofErr w:type="spellEnd"/>
      <w:r w:rsidR="00542B3F">
        <w:rPr>
          <w:rFonts w:cstheme="minorHAnsi"/>
          <w:bCs/>
          <w:sz w:val="20"/>
          <w:szCs w:val="20"/>
        </w:rPr>
        <w:t>,</w:t>
      </w:r>
      <w:r>
        <w:rPr>
          <w:rFonts w:cstheme="minorHAnsi"/>
          <w:bCs/>
          <w:sz w:val="20"/>
          <w:szCs w:val="20"/>
        </w:rPr>
        <w:t xml:space="preserve"> Polskie Towarzystwo Nadciśnienia Tętniczego, Po</w:t>
      </w:r>
      <w:r w:rsidR="00D02FEF">
        <w:rPr>
          <w:rFonts w:cstheme="minorHAnsi"/>
          <w:bCs/>
          <w:sz w:val="20"/>
          <w:szCs w:val="20"/>
        </w:rPr>
        <w:t>lskie Towarzystwo Ginekologów i </w:t>
      </w:r>
      <w:r>
        <w:rPr>
          <w:rFonts w:cstheme="minorHAnsi"/>
          <w:bCs/>
          <w:sz w:val="20"/>
          <w:szCs w:val="20"/>
        </w:rPr>
        <w:t>Położników, Polskie Towarzystwo Zdrowia Publicznego, Polskie Towa</w:t>
      </w:r>
      <w:r w:rsidR="00E33B2F">
        <w:rPr>
          <w:rFonts w:cstheme="minorHAnsi"/>
          <w:bCs/>
          <w:sz w:val="20"/>
          <w:szCs w:val="20"/>
        </w:rPr>
        <w:t xml:space="preserve">rzystwo </w:t>
      </w:r>
      <w:proofErr w:type="spellStart"/>
      <w:r w:rsidR="00E33B2F">
        <w:rPr>
          <w:rFonts w:cstheme="minorHAnsi"/>
          <w:bCs/>
          <w:sz w:val="20"/>
          <w:szCs w:val="20"/>
        </w:rPr>
        <w:t>Farmakoekonomiczne</w:t>
      </w:r>
      <w:proofErr w:type="spellEnd"/>
      <w:r w:rsidR="00E33B2F">
        <w:rPr>
          <w:rFonts w:cstheme="minorHAnsi"/>
          <w:bCs/>
          <w:sz w:val="20"/>
          <w:szCs w:val="20"/>
        </w:rPr>
        <w:t xml:space="preserve">. Patronat nad kampanią objął </w:t>
      </w:r>
      <w:r>
        <w:rPr>
          <w:rFonts w:cstheme="minorHAnsi"/>
          <w:bCs/>
          <w:sz w:val="20"/>
          <w:szCs w:val="20"/>
        </w:rPr>
        <w:t>Zakład Ubezpieczeń Społecznych.</w:t>
      </w:r>
    </w:p>
    <w:p w14:paraId="13B19B31" w14:textId="77777777" w:rsidR="008246FB" w:rsidRDefault="008246FB" w:rsidP="00EC20F8">
      <w:pPr>
        <w:rPr>
          <w:rFonts w:eastAsia="Times New Roman" w:cstheme="minorHAnsi"/>
          <w:color w:val="111111"/>
          <w:sz w:val="20"/>
          <w:szCs w:val="20"/>
        </w:rPr>
      </w:pPr>
    </w:p>
    <w:sectPr w:rsidR="008246FB" w:rsidSect="00714E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08B45" w14:textId="77777777" w:rsidR="00AB48BC" w:rsidRDefault="00AB48BC">
      <w:pPr>
        <w:spacing w:after="0" w:line="240" w:lineRule="auto"/>
      </w:pPr>
      <w:r>
        <w:separator/>
      </w:r>
    </w:p>
  </w:endnote>
  <w:endnote w:type="continuationSeparator" w:id="0">
    <w:p w14:paraId="6BE9FB42" w14:textId="77777777" w:rsidR="00AB48BC" w:rsidRDefault="00AB48BC">
      <w:pPr>
        <w:spacing w:after="0" w:line="240" w:lineRule="auto"/>
      </w:pPr>
      <w:r>
        <w:continuationSeparator/>
      </w:r>
    </w:p>
  </w:endnote>
  <w:endnote w:type="continuationNotice" w:id="1">
    <w:p w14:paraId="14F70C42" w14:textId="77777777" w:rsidR="00AB48BC" w:rsidRDefault="00AB48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8ABE5" w14:textId="77777777" w:rsidR="00A803E7" w:rsidRDefault="00A803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90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93"/>
      <w:gridCol w:w="851"/>
      <w:gridCol w:w="1559"/>
      <w:gridCol w:w="1559"/>
      <w:gridCol w:w="709"/>
      <w:gridCol w:w="992"/>
      <w:gridCol w:w="709"/>
      <w:gridCol w:w="1013"/>
      <w:gridCol w:w="853"/>
      <w:gridCol w:w="852"/>
    </w:tblGrid>
    <w:tr w:rsidR="00A803E7" w14:paraId="308CA7A1" w14:textId="77777777" w:rsidTr="00A803E7">
      <w:trPr>
        <w:trHeight w:val="301"/>
      </w:trPr>
      <w:tc>
        <w:tcPr>
          <w:tcW w:w="993" w:type="dxa"/>
          <w:vAlign w:val="center"/>
        </w:tcPr>
        <w:p w14:paraId="07BFD43E" w14:textId="58E0A709" w:rsidR="00040937" w:rsidRDefault="00040937" w:rsidP="00040937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F07987B" wp14:editId="4A764328">
                <wp:extent cx="470848" cy="266814"/>
                <wp:effectExtent l="0" t="0" r="5715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0848" cy="2668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1" w:type="dxa"/>
          <w:vAlign w:val="center"/>
        </w:tcPr>
        <w:p w14:paraId="653E072B" w14:textId="64C3D2E5" w:rsidR="00040937" w:rsidRDefault="00040937" w:rsidP="00040937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5646F93" wp14:editId="5CC09E85">
                <wp:extent cx="316627" cy="307075"/>
                <wp:effectExtent l="0" t="0" r="7620" b="0"/>
                <wp:docPr id="23" name="Picture 23" descr="Grupy wsparcia - spbch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Grupy wsparcia - spbch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1595" cy="33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vAlign w:val="center"/>
        </w:tcPr>
        <w:p w14:paraId="17A5E2C0" w14:textId="6D124352" w:rsidR="00040937" w:rsidRDefault="00040937" w:rsidP="00040937">
          <w:pPr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4CD6D7FF" wp14:editId="4CB8E80B">
                <wp:extent cx="805218" cy="273310"/>
                <wp:effectExtent l="0" t="0" r="0" b="0"/>
                <wp:docPr id="17" name="Picture 17" descr="IPPEZ - Instytut Praw Pacjenta i Edukacji Zdrowotn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IPPEZ - Instytut Praw Pacjenta i Edukacji Zdrowotn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0774" cy="2921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vAlign w:val="center"/>
        </w:tcPr>
        <w:p w14:paraId="51F8A954" w14:textId="6665FC98" w:rsidR="00040937" w:rsidRDefault="00040937" w:rsidP="00040937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695C312D" wp14:editId="792A45E8">
                <wp:extent cx="900752" cy="257154"/>
                <wp:effectExtent l="0" t="0" r="0" b="0"/>
                <wp:docPr id="24" name="Picture 24" descr="Archiwa: geriatria - Polskie Towarzystwo Medycyny Rodzinn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Archiwa: geriatria - Polskie Towarzystwo Medycyny Rodzinn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446" cy="2642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" w:type="dxa"/>
          <w:vAlign w:val="center"/>
        </w:tcPr>
        <w:p w14:paraId="4B84E397" w14:textId="77777777" w:rsidR="00040937" w:rsidRDefault="00040937" w:rsidP="00040937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32C1CF11" wp14:editId="5031914C">
                <wp:extent cx="327641" cy="327641"/>
                <wp:effectExtent l="0" t="0" r="0" b="0"/>
                <wp:docPr id="25" name="Picture 25" descr="Polskie Towarzystwo Kardiologiczne (@PTKardio) / Twit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lskie Towarzystwo Kardiologiczne (@PTKardio) / Twitt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552" cy="3355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" w:type="dxa"/>
          <w:vAlign w:val="center"/>
        </w:tcPr>
        <w:p w14:paraId="441BFD29" w14:textId="7726434D" w:rsidR="00040937" w:rsidRDefault="00040937" w:rsidP="00040937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89FED73" wp14:editId="61BEC44C">
                <wp:extent cx="313899" cy="302828"/>
                <wp:effectExtent l="0" t="0" r="0" b="2540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1825" cy="3201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" w:type="dxa"/>
          <w:vAlign w:val="center"/>
        </w:tcPr>
        <w:p w14:paraId="00CBD78E" w14:textId="06568570" w:rsidR="00040937" w:rsidRDefault="00040937" w:rsidP="00040937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214813CC" wp14:editId="69733FE3">
                <wp:extent cx="313898" cy="313898"/>
                <wp:effectExtent l="0" t="0" r="0" b="0"/>
                <wp:docPr id="26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4382" cy="3243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3" w:type="dxa"/>
          <w:vAlign w:val="center"/>
        </w:tcPr>
        <w:p w14:paraId="271904E8" w14:textId="648285E5" w:rsidR="00040937" w:rsidRDefault="00040937" w:rsidP="00040937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6B38A258" wp14:editId="0200D9BF">
                <wp:extent cx="463967" cy="463967"/>
                <wp:effectExtent l="0" t="0" r="0" b="0"/>
                <wp:docPr id="27" name="Picture 27" descr="Polskie Towarzystwo Zdrowia Publicznego dołącza do #WeźSięZbadaj -  WeźSięZbada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olskie Towarzystwo Zdrowia Publicznego dołącza do #WeźSięZbadaj -  WeźSięZbada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629" cy="4766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3" w:type="dxa"/>
          <w:vAlign w:val="center"/>
        </w:tcPr>
        <w:p w14:paraId="05DDF31B" w14:textId="2248CCB4" w:rsidR="00040937" w:rsidRDefault="00040937" w:rsidP="00040937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2EEB63CE" wp14:editId="3C5C21DE">
                <wp:extent cx="408940" cy="383548"/>
                <wp:effectExtent l="0" t="0" r="0" b="0"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9901" cy="4125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2" w:type="dxa"/>
          <w:vAlign w:val="center"/>
        </w:tcPr>
        <w:p w14:paraId="2EC401FA" w14:textId="233C573D" w:rsidR="00040937" w:rsidRDefault="00040937" w:rsidP="00040937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27CDA50" wp14:editId="517C9329">
                <wp:extent cx="334094" cy="184245"/>
                <wp:effectExtent l="0" t="0" r="8890" b="6350"/>
                <wp:docPr id="22" name="Picture 22" descr="Tarcza Antykryzysowa – wsparcie z ZUS - Gmina Wołom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Tarcza Antykryzysowa – wsparcie z ZUS - Gmina Wołom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199" cy="1986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F7372E0" w14:textId="3D74EDD8" w:rsidR="00714E9D" w:rsidRPr="00040937" w:rsidRDefault="00A803E7" w:rsidP="00040937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06A19EB" wp14:editId="5EAC0A81">
          <wp:simplePos x="0" y="0"/>
          <wp:positionH relativeFrom="column">
            <wp:posOffset>5862955</wp:posOffset>
          </wp:positionH>
          <wp:positionV relativeFrom="paragraph">
            <wp:posOffset>-428625</wp:posOffset>
          </wp:positionV>
          <wp:extent cx="585470" cy="353695"/>
          <wp:effectExtent l="0" t="0" r="508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DDE9F" w14:textId="77777777" w:rsidR="00A803E7" w:rsidRDefault="00A80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F24C0" w14:textId="77777777" w:rsidR="00AB48BC" w:rsidRDefault="00AB48B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E9EC940" w14:textId="77777777" w:rsidR="00AB48BC" w:rsidRDefault="00AB48BC">
      <w:pPr>
        <w:spacing w:after="0" w:line="240" w:lineRule="auto"/>
      </w:pPr>
      <w:r>
        <w:continuationSeparator/>
      </w:r>
    </w:p>
  </w:footnote>
  <w:footnote w:type="continuationNotice" w:id="1">
    <w:p w14:paraId="70E91ABA" w14:textId="77777777" w:rsidR="00AB48BC" w:rsidRDefault="00AB48BC">
      <w:pPr>
        <w:spacing w:after="0" w:line="240" w:lineRule="auto"/>
      </w:pPr>
    </w:p>
  </w:footnote>
  <w:footnote w:id="2">
    <w:p w14:paraId="7B7882A6" w14:textId="4A85834B" w:rsidR="0049052A" w:rsidRDefault="0049052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bCs/>
        </w:rPr>
        <w:t>Badanie OECD, Ciężkie obciążenie otyłością. Ekonomia zapobiegania, 2019.</w:t>
      </w:r>
    </w:p>
  </w:footnote>
  <w:footnote w:id="3">
    <w:p w14:paraId="3A7F464F" w14:textId="2437D1EE" w:rsidR="0049052A" w:rsidRPr="0049052A" w:rsidRDefault="0049052A" w:rsidP="0049052A">
      <w:pPr>
        <w:jc w:val="both"/>
        <w:rPr>
          <w:sz w:val="18"/>
          <w:szCs w:val="18"/>
        </w:rPr>
      </w:pPr>
      <w:r>
        <w:rPr>
          <w:rStyle w:val="FootnoteReference"/>
        </w:rPr>
        <w:footnoteRef/>
      </w:r>
      <w:r w:rsidRPr="00EC20F8">
        <w:rPr>
          <w:sz w:val="18"/>
          <w:szCs w:val="18"/>
        </w:rPr>
        <w:t>Badanie opinii zrealizowane w ramach kampanii „Porozmawiajmy szczerze o otyłości” w dn. 8-18.02.</w:t>
      </w:r>
      <w:r>
        <w:rPr>
          <w:sz w:val="18"/>
          <w:szCs w:val="18"/>
        </w:rPr>
        <w:t xml:space="preserve">2022 przez agencję badawczą SW </w:t>
      </w:r>
      <w:proofErr w:type="spellStart"/>
      <w:r>
        <w:rPr>
          <w:sz w:val="18"/>
          <w:szCs w:val="18"/>
        </w:rPr>
        <w:t>Research</w:t>
      </w:r>
      <w:proofErr w:type="spellEnd"/>
      <w:r>
        <w:rPr>
          <w:sz w:val="18"/>
          <w:szCs w:val="18"/>
        </w:rPr>
        <w:t>.</w:t>
      </w:r>
      <w:r w:rsidRPr="00EC20F8">
        <w:rPr>
          <w:sz w:val="18"/>
          <w:szCs w:val="18"/>
        </w:rPr>
        <w:t xml:space="preserve"> W ramach pierwszego etapu badania przeprowadzono 1007 ankiet </w:t>
      </w:r>
      <w:r>
        <w:rPr>
          <w:sz w:val="18"/>
          <w:szCs w:val="18"/>
        </w:rPr>
        <w:t>z reprezentatywną próbą Polek i </w:t>
      </w:r>
      <w:r w:rsidRPr="00EC20F8">
        <w:rPr>
          <w:sz w:val="18"/>
          <w:szCs w:val="18"/>
        </w:rPr>
        <w:t>Polaków. W etapie drugim przeprowadzono 329 ankiet z osobami z otyłością.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772EB" w14:textId="77777777" w:rsidR="00A803E7" w:rsidRDefault="00A803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DBB7F" w14:textId="18C18569" w:rsidR="00487714" w:rsidRDefault="00487714" w:rsidP="003617E9">
    <w:pPr>
      <w:pStyle w:val="Header"/>
      <w:jc w:val="right"/>
    </w:pPr>
    <w:r>
      <w:rPr>
        <w:noProof/>
        <w:lang w:eastAsia="pl-PL"/>
      </w:rPr>
      <w:t xml:space="preserve">     </w:t>
    </w:r>
    <w:r w:rsidRPr="004E2365">
      <w:t xml:space="preserve"> </w:t>
    </w:r>
    <w:r>
      <w:t xml:space="preserve">  </w:t>
    </w:r>
    <w:r>
      <w:rPr>
        <w:noProof/>
        <w:lang w:eastAsia="pl-PL"/>
      </w:rPr>
      <w:drawing>
        <wp:inline distT="0" distB="0" distL="0" distR="0" wp14:anchorId="7E135E97" wp14:editId="3084A560">
          <wp:extent cx="617220" cy="617220"/>
          <wp:effectExtent l="0" t="0" r="0" b="0"/>
          <wp:docPr id="2" name="Picture 2" descr="logo_PSoO_NOWE_zielone_samo_K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PSoO_NOWE_zielone_samo_K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AA6453" w14:textId="6A32CD4F" w:rsidR="00487714" w:rsidRPr="004E2365" w:rsidRDefault="00487714" w:rsidP="003617E9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2D2C2" w14:textId="77777777" w:rsidR="00A803E7" w:rsidRDefault="00A803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349C"/>
    <w:multiLevelType w:val="hybridMultilevel"/>
    <w:tmpl w:val="F2C06E36"/>
    <w:lvl w:ilvl="0" w:tplc="6506F11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BEB90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5AF57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B80B4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D0C5C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F24FF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FE364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AE121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CCD01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33B82"/>
    <w:multiLevelType w:val="multilevel"/>
    <w:tmpl w:val="758E3736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 w15:restartNumberingAfterBreak="0">
    <w:nsid w:val="182E52D1"/>
    <w:multiLevelType w:val="hybridMultilevel"/>
    <w:tmpl w:val="C9008D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D205A6"/>
    <w:multiLevelType w:val="hybridMultilevel"/>
    <w:tmpl w:val="DE3C201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E7D341E"/>
    <w:multiLevelType w:val="hybridMultilevel"/>
    <w:tmpl w:val="34BC7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D34D3"/>
    <w:multiLevelType w:val="hybridMultilevel"/>
    <w:tmpl w:val="156AE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72828"/>
    <w:multiLevelType w:val="hybridMultilevel"/>
    <w:tmpl w:val="A72A69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AC271E"/>
    <w:multiLevelType w:val="hybridMultilevel"/>
    <w:tmpl w:val="99A4A974"/>
    <w:lvl w:ilvl="0" w:tplc="B624FD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9B1CF2"/>
    <w:multiLevelType w:val="hybridMultilevel"/>
    <w:tmpl w:val="27F064E6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9" w15:restartNumberingAfterBreak="0">
    <w:nsid w:val="534D7746"/>
    <w:multiLevelType w:val="hybridMultilevel"/>
    <w:tmpl w:val="01B48D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C9346F6"/>
    <w:multiLevelType w:val="hybridMultilevel"/>
    <w:tmpl w:val="99A4A974"/>
    <w:lvl w:ilvl="0" w:tplc="B624FD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9C57925"/>
    <w:multiLevelType w:val="hybridMultilevel"/>
    <w:tmpl w:val="AAD89BCA"/>
    <w:lvl w:ilvl="0" w:tplc="FDF06D8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6837F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62F45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FCA1B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A63D1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E20A7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49D6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48F37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5AF39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6455B8"/>
    <w:multiLevelType w:val="multilevel"/>
    <w:tmpl w:val="609222FE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3" w15:restartNumberingAfterBreak="0">
    <w:nsid w:val="70FA7DC8"/>
    <w:multiLevelType w:val="hybridMultilevel"/>
    <w:tmpl w:val="7206EA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5A34BF5"/>
    <w:multiLevelType w:val="hybridMultilevel"/>
    <w:tmpl w:val="6714F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CD29D0"/>
    <w:multiLevelType w:val="hybridMultilevel"/>
    <w:tmpl w:val="7FF0A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834E1E"/>
    <w:multiLevelType w:val="hybridMultilevel"/>
    <w:tmpl w:val="2BCC85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16"/>
  </w:num>
  <w:num w:numId="5">
    <w:abstractNumId w:val="13"/>
  </w:num>
  <w:num w:numId="6">
    <w:abstractNumId w:val="2"/>
  </w:num>
  <w:num w:numId="7">
    <w:abstractNumId w:val="7"/>
  </w:num>
  <w:num w:numId="8">
    <w:abstractNumId w:val="10"/>
  </w:num>
  <w:num w:numId="9">
    <w:abstractNumId w:val="5"/>
  </w:num>
  <w:num w:numId="10">
    <w:abstractNumId w:val="4"/>
  </w:num>
  <w:num w:numId="11">
    <w:abstractNumId w:val="9"/>
  </w:num>
  <w:num w:numId="12">
    <w:abstractNumId w:val="8"/>
  </w:num>
  <w:num w:numId="13">
    <w:abstractNumId w:val="0"/>
  </w:num>
  <w:num w:numId="14">
    <w:abstractNumId w:val="3"/>
  </w:num>
  <w:num w:numId="15">
    <w:abstractNumId w:val="15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51A"/>
    <w:rsid w:val="000035B2"/>
    <w:rsid w:val="000055E7"/>
    <w:rsid w:val="000069CA"/>
    <w:rsid w:val="0000788D"/>
    <w:rsid w:val="00013E5B"/>
    <w:rsid w:val="000147BC"/>
    <w:rsid w:val="000213B8"/>
    <w:rsid w:val="000222D1"/>
    <w:rsid w:val="0002751A"/>
    <w:rsid w:val="00032A7C"/>
    <w:rsid w:val="00040937"/>
    <w:rsid w:val="00052FC5"/>
    <w:rsid w:val="000533CD"/>
    <w:rsid w:val="000677E8"/>
    <w:rsid w:val="00072D73"/>
    <w:rsid w:val="00082622"/>
    <w:rsid w:val="0008666B"/>
    <w:rsid w:val="00095B6D"/>
    <w:rsid w:val="00097047"/>
    <w:rsid w:val="000A1BC9"/>
    <w:rsid w:val="000A7078"/>
    <w:rsid w:val="000B7BED"/>
    <w:rsid w:val="000D4C94"/>
    <w:rsid w:val="000D4D41"/>
    <w:rsid w:val="000D63D5"/>
    <w:rsid w:val="000D67CF"/>
    <w:rsid w:val="000E163F"/>
    <w:rsid w:val="000E373A"/>
    <w:rsid w:val="000F08F5"/>
    <w:rsid w:val="000F0C28"/>
    <w:rsid w:val="000F38EF"/>
    <w:rsid w:val="000F5357"/>
    <w:rsid w:val="000F5A4E"/>
    <w:rsid w:val="000F5A61"/>
    <w:rsid w:val="000F7406"/>
    <w:rsid w:val="000F7612"/>
    <w:rsid w:val="00105609"/>
    <w:rsid w:val="00105D9B"/>
    <w:rsid w:val="001102BC"/>
    <w:rsid w:val="00117CED"/>
    <w:rsid w:val="00120420"/>
    <w:rsid w:val="0014421D"/>
    <w:rsid w:val="0015478F"/>
    <w:rsid w:val="00165478"/>
    <w:rsid w:val="0016700E"/>
    <w:rsid w:val="00167D82"/>
    <w:rsid w:val="0017498E"/>
    <w:rsid w:val="001869DD"/>
    <w:rsid w:val="00187589"/>
    <w:rsid w:val="00190570"/>
    <w:rsid w:val="001A4191"/>
    <w:rsid w:val="001A59AD"/>
    <w:rsid w:val="001B355E"/>
    <w:rsid w:val="001C2229"/>
    <w:rsid w:val="001E182B"/>
    <w:rsid w:val="001E519C"/>
    <w:rsid w:val="001F45C7"/>
    <w:rsid w:val="00203B42"/>
    <w:rsid w:val="00203D6D"/>
    <w:rsid w:val="002064B6"/>
    <w:rsid w:val="0021167C"/>
    <w:rsid w:val="0022283E"/>
    <w:rsid w:val="00234288"/>
    <w:rsid w:val="00237F73"/>
    <w:rsid w:val="00240EB1"/>
    <w:rsid w:val="00243374"/>
    <w:rsid w:val="00243A41"/>
    <w:rsid w:val="00244BA8"/>
    <w:rsid w:val="00280783"/>
    <w:rsid w:val="002A39AB"/>
    <w:rsid w:val="002C48B8"/>
    <w:rsid w:val="002C5FBA"/>
    <w:rsid w:val="002D23DC"/>
    <w:rsid w:val="002D3785"/>
    <w:rsid w:val="002E0158"/>
    <w:rsid w:val="002E6A22"/>
    <w:rsid w:val="002F370B"/>
    <w:rsid w:val="002F4A05"/>
    <w:rsid w:val="003020D3"/>
    <w:rsid w:val="003022BA"/>
    <w:rsid w:val="00315DD5"/>
    <w:rsid w:val="00331AB0"/>
    <w:rsid w:val="0033596F"/>
    <w:rsid w:val="0033625E"/>
    <w:rsid w:val="0034396F"/>
    <w:rsid w:val="003549FF"/>
    <w:rsid w:val="003617E9"/>
    <w:rsid w:val="00366F88"/>
    <w:rsid w:val="003702E7"/>
    <w:rsid w:val="00377252"/>
    <w:rsid w:val="00394202"/>
    <w:rsid w:val="00397333"/>
    <w:rsid w:val="00397626"/>
    <w:rsid w:val="003A128A"/>
    <w:rsid w:val="003A782A"/>
    <w:rsid w:val="003B2174"/>
    <w:rsid w:val="003B2415"/>
    <w:rsid w:val="003D2D32"/>
    <w:rsid w:val="003D7F8F"/>
    <w:rsid w:val="003E52AD"/>
    <w:rsid w:val="003F3097"/>
    <w:rsid w:val="00407BF3"/>
    <w:rsid w:val="00413467"/>
    <w:rsid w:val="00423B63"/>
    <w:rsid w:val="00425F64"/>
    <w:rsid w:val="00432E32"/>
    <w:rsid w:val="004424F3"/>
    <w:rsid w:val="00484E59"/>
    <w:rsid w:val="0048551E"/>
    <w:rsid w:val="00487714"/>
    <w:rsid w:val="0049052A"/>
    <w:rsid w:val="00496892"/>
    <w:rsid w:val="004A10DC"/>
    <w:rsid w:val="004B3B28"/>
    <w:rsid w:val="004B41F5"/>
    <w:rsid w:val="004D17E6"/>
    <w:rsid w:val="004D1B18"/>
    <w:rsid w:val="004D4380"/>
    <w:rsid w:val="004E2365"/>
    <w:rsid w:val="004E4997"/>
    <w:rsid w:val="004E4ABC"/>
    <w:rsid w:val="00502AF5"/>
    <w:rsid w:val="00502FD7"/>
    <w:rsid w:val="00507477"/>
    <w:rsid w:val="005115F1"/>
    <w:rsid w:val="0051168C"/>
    <w:rsid w:val="00520065"/>
    <w:rsid w:val="0052106B"/>
    <w:rsid w:val="005320B6"/>
    <w:rsid w:val="005332CF"/>
    <w:rsid w:val="00533F51"/>
    <w:rsid w:val="00540FCB"/>
    <w:rsid w:val="00542B3F"/>
    <w:rsid w:val="00550717"/>
    <w:rsid w:val="00550AED"/>
    <w:rsid w:val="00562126"/>
    <w:rsid w:val="00562BAD"/>
    <w:rsid w:val="005646CB"/>
    <w:rsid w:val="00572282"/>
    <w:rsid w:val="005938F2"/>
    <w:rsid w:val="005A4560"/>
    <w:rsid w:val="005D25EE"/>
    <w:rsid w:val="005D51A6"/>
    <w:rsid w:val="005D5415"/>
    <w:rsid w:val="005E22FA"/>
    <w:rsid w:val="005E2B04"/>
    <w:rsid w:val="005E6FA9"/>
    <w:rsid w:val="00605D5F"/>
    <w:rsid w:val="00614C01"/>
    <w:rsid w:val="00634D4D"/>
    <w:rsid w:val="00640260"/>
    <w:rsid w:val="00640674"/>
    <w:rsid w:val="00644F3C"/>
    <w:rsid w:val="00654D03"/>
    <w:rsid w:val="00655AEB"/>
    <w:rsid w:val="00655C06"/>
    <w:rsid w:val="00656F53"/>
    <w:rsid w:val="00657D01"/>
    <w:rsid w:val="00660068"/>
    <w:rsid w:val="00660166"/>
    <w:rsid w:val="0066318F"/>
    <w:rsid w:val="0066733D"/>
    <w:rsid w:val="006678A7"/>
    <w:rsid w:val="00675003"/>
    <w:rsid w:val="00687486"/>
    <w:rsid w:val="00690BDF"/>
    <w:rsid w:val="00693558"/>
    <w:rsid w:val="00694AA0"/>
    <w:rsid w:val="006954D5"/>
    <w:rsid w:val="00696164"/>
    <w:rsid w:val="006A06EA"/>
    <w:rsid w:val="006A2C48"/>
    <w:rsid w:val="006A3F0D"/>
    <w:rsid w:val="006A707A"/>
    <w:rsid w:val="006D34F4"/>
    <w:rsid w:val="006D5462"/>
    <w:rsid w:val="006D7596"/>
    <w:rsid w:val="006D778F"/>
    <w:rsid w:val="006E0657"/>
    <w:rsid w:val="006E6EFA"/>
    <w:rsid w:val="00703FE1"/>
    <w:rsid w:val="00712C2D"/>
    <w:rsid w:val="00714591"/>
    <w:rsid w:val="00714E9D"/>
    <w:rsid w:val="00715908"/>
    <w:rsid w:val="00716F5C"/>
    <w:rsid w:val="007243A6"/>
    <w:rsid w:val="00732EA2"/>
    <w:rsid w:val="00736DC5"/>
    <w:rsid w:val="00741CC7"/>
    <w:rsid w:val="0075033B"/>
    <w:rsid w:val="007536FF"/>
    <w:rsid w:val="00757A91"/>
    <w:rsid w:val="00765DC5"/>
    <w:rsid w:val="00771093"/>
    <w:rsid w:val="00783534"/>
    <w:rsid w:val="007840B3"/>
    <w:rsid w:val="007A131B"/>
    <w:rsid w:val="007A5401"/>
    <w:rsid w:val="007B3ED9"/>
    <w:rsid w:val="007B42B7"/>
    <w:rsid w:val="007B74B8"/>
    <w:rsid w:val="007C0AE4"/>
    <w:rsid w:val="007C4EA3"/>
    <w:rsid w:val="007D09B7"/>
    <w:rsid w:val="007E23F5"/>
    <w:rsid w:val="007E25E9"/>
    <w:rsid w:val="007E423B"/>
    <w:rsid w:val="007F643F"/>
    <w:rsid w:val="007F6485"/>
    <w:rsid w:val="008045C1"/>
    <w:rsid w:val="00804BDE"/>
    <w:rsid w:val="0081102D"/>
    <w:rsid w:val="00812D17"/>
    <w:rsid w:val="00814071"/>
    <w:rsid w:val="00821270"/>
    <w:rsid w:val="008234D8"/>
    <w:rsid w:val="008246FB"/>
    <w:rsid w:val="00824EC8"/>
    <w:rsid w:val="0082731D"/>
    <w:rsid w:val="00836FDD"/>
    <w:rsid w:val="008370BF"/>
    <w:rsid w:val="0084225F"/>
    <w:rsid w:val="008508BD"/>
    <w:rsid w:val="008534FD"/>
    <w:rsid w:val="00860D7C"/>
    <w:rsid w:val="00865286"/>
    <w:rsid w:val="008846BF"/>
    <w:rsid w:val="00884D9C"/>
    <w:rsid w:val="00884E2E"/>
    <w:rsid w:val="008862EE"/>
    <w:rsid w:val="008941E1"/>
    <w:rsid w:val="0089565C"/>
    <w:rsid w:val="00895FD5"/>
    <w:rsid w:val="0089773A"/>
    <w:rsid w:val="008A6ACF"/>
    <w:rsid w:val="008A74C2"/>
    <w:rsid w:val="008D55AC"/>
    <w:rsid w:val="008F12CD"/>
    <w:rsid w:val="008F1FEA"/>
    <w:rsid w:val="00907B1D"/>
    <w:rsid w:val="00922134"/>
    <w:rsid w:val="0092331F"/>
    <w:rsid w:val="00924983"/>
    <w:rsid w:val="009343A7"/>
    <w:rsid w:val="009351CC"/>
    <w:rsid w:val="009420D5"/>
    <w:rsid w:val="009653E3"/>
    <w:rsid w:val="00967691"/>
    <w:rsid w:val="00967E2F"/>
    <w:rsid w:val="00976AA6"/>
    <w:rsid w:val="00977845"/>
    <w:rsid w:val="00990AA9"/>
    <w:rsid w:val="0099468F"/>
    <w:rsid w:val="009A5A3F"/>
    <w:rsid w:val="009C0CC3"/>
    <w:rsid w:val="009C3C8B"/>
    <w:rsid w:val="009C585D"/>
    <w:rsid w:val="009D0BA6"/>
    <w:rsid w:val="009E17CD"/>
    <w:rsid w:val="009E699F"/>
    <w:rsid w:val="009E7FE1"/>
    <w:rsid w:val="00A26B6C"/>
    <w:rsid w:val="00A31548"/>
    <w:rsid w:val="00A43A8D"/>
    <w:rsid w:val="00A72E3C"/>
    <w:rsid w:val="00A803E7"/>
    <w:rsid w:val="00A9170D"/>
    <w:rsid w:val="00A9377F"/>
    <w:rsid w:val="00A93C1B"/>
    <w:rsid w:val="00A9583C"/>
    <w:rsid w:val="00AA07C9"/>
    <w:rsid w:val="00AA0FA1"/>
    <w:rsid w:val="00AA3F2C"/>
    <w:rsid w:val="00AA72B7"/>
    <w:rsid w:val="00AA7BAC"/>
    <w:rsid w:val="00AB1AA6"/>
    <w:rsid w:val="00AB4868"/>
    <w:rsid w:val="00AB48BC"/>
    <w:rsid w:val="00AB6A1C"/>
    <w:rsid w:val="00AD14A0"/>
    <w:rsid w:val="00AE1643"/>
    <w:rsid w:val="00AE2A9E"/>
    <w:rsid w:val="00AF3205"/>
    <w:rsid w:val="00AF4858"/>
    <w:rsid w:val="00AF5ECA"/>
    <w:rsid w:val="00AF601E"/>
    <w:rsid w:val="00B01982"/>
    <w:rsid w:val="00B035A5"/>
    <w:rsid w:val="00B048F4"/>
    <w:rsid w:val="00B04BB7"/>
    <w:rsid w:val="00B10D93"/>
    <w:rsid w:val="00B12A37"/>
    <w:rsid w:val="00B55C2E"/>
    <w:rsid w:val="00B56878"/>
    <w:rsid w:val="00B634EE"/>
    <w:rsid w:val="00B63591"/>
    <w:rsid w:val="00B71277"/>
    <w:rsid w:val="00B82622"/>
    <w:rsid w:val="00B95D55"/>
    <w:rsid w:val="00BA35B0"/>
    <w:rsid w:val="00BA3E00"/>
    <w:rsid w:val="00BA6AF9"/>
    <w:rsid w:val="00BC0198"/>
    <w:rsid w:val="00BC0766"/>
    <w:rsid w:val="00BC0C1D"/>
    <w:rsid w:val="00BC1278"/>
    <w:rsid w:val="00BC6C97"/>
    <w:rsid w:val="00BD6B4D"/>
    <w:rsid w:val="00BE00A1"/>
    <w:rsid w:val="00BE198F"/>
    <w:rsid w:val="00C00A9F"/>
    <w:rsid w:val="00C04490"/>
    <w:rsid w:val="00C06DB1"/>
    <w:rsid w:val="00C13557"/>
    <w:rsid w:val="00C14441"/>
    <w:rsid w:val="00C158ED"/>
    <w:rsid w:val="00C16466"/>
    <w:rsid w:val="00C17A95"/>
    <w:rsid w:val="00C21AFE"/>
    <w:rsid w:val="00C31F81"/>
    <w:rsid w:val="00C33417"/>
    <w:rsid w:val="00C3560E"/>
    <w:rsid w:val="00C37D77"/>
    <w:rsid w:val="00C44515"/>
    <w:rsid w:val="00C44772"/>
    <w:rsid w:val="00C60015"/>
    <w:rsid w:val="00C706CC"/>
    <w:rsid w:val="00C9193D"/>
    <w:rsid w:val="00C972DB"/>
    <w:rsid w:val="00CB48B0"/>
    <w:rsid w:val="00CB7944"/>
    <w:rsid w:val="00CC0A0E"/>
    <w:rsid w:val="00CC3E92"/>
    <w:rsid w:val="00CC539A"/>
    <w:rsid w:val="00CD3217"/>
    <w:rsid w:val="00CD6E90"/>
    <w:rsid w:val="00CF2C5F"/>
    <w:rsid w:val="00CF3391"/>
    <w:rsid w:val="00CF7AE1"/>
    <w:rsid w:val="00D011AE"/>
    <w:rsid w:val="00D02FEF"/>
    <w:rsid w:val="00D03514"/>
    <w:rsid w:val="00D06674"/>
    <w:rsid w:val="00D14CEB"/>
    <w:rsid w:val="00D214F3"/>
    <w:rsid w:val="00D21836"/>
    <w:rsid w:val="00D27E25"/>
    <w:rsid w:val="00D3422A"/>
    <w:rsid w:val="00D36720"/>
    <w:rsid w:val="00D44E37"/>
    <w:rsid w:val="00D4682E"/>
    <w:rsid w:val="00D51404"/>
    <w:rsid w:val="00D53051"/>
    <w:rsid w:val="00D72889"/>
    <w:rsid w:val="00D81407"/>
    <w:rsid w:val="00D945B9"/>
    <w:rsid w:val="00DA2EF7"/>
    <w:rsid w:val="00DA344A"/>
    <w:rsid w:val="00DB4045"/>
    <w:rsid w:val="00DB51AE"/>
    <w:rsid w:val="00DC1083"/>
    <w:rsid w:val="00DD2EAD"/>
    <w:rsid w:val="00DD3B5A"/>
    <w:rsid w:val="00DE248D"/>
    <w:rsid w:val="00DE2556"/>
    <w:rsid w:val="00DE4D0E"/>
    <w:rsid w:val="00DE6EAE"/>
    <w:rsid w:val="00DF59AB"/>
    <w:rsid w:val="00E03C38"/>
    <w:rsid w:val="00E13B2D"/>
    <w:rsid w:val="00E22EEB"/>
    <w:rsid w:val="00E25002"/>
    <w:rsid w:val="00E33B2F"/>
    <w:rsid w:val="00E37FB0"/>
    <w:rsid w:val="00E4440E"/>
    <w:rsid w:val="00E46E93"/>
    <w:rsid w:val="00E7028A"/>
    <w:rsid w:val="00E73CBF"/>
    <w:rsid w:val="00E7484F"/>
    <w:rsid w:val="00E812C9"/>
    <w:rsid w:val="00E9349B"/>
    <w:rsid w:val="00E951E4"/>
    <w:rsid w:val="00E95E82"/>
    <w:rsid w:val="00EC152F"/>
    <w:rsid w:val="00EC20F8"/>
    <w:rsid w:val="00EC595C"/>
    <w:rsid w:val="00ED30FE"/>
    <w:rsid w:val="00ED3546"/>
    <w:rsid w:val="00ED4C05"/>
    <w:rsid w:val="00EE41B9"/>
    <w:rsid w:val="00EF1952"/>
    <w:rsid w:val="00F241D1"/>
    <w:rsid w:val="00F32D5A"/>
    <w:rsid w:val="00F36B94"/>
    <w:rsid w:val="00F9105C"/>
    <w:rsid w:val="00FC012D"/>
    <w:rsid w:val="00FC505B"/>
    <w:rsid w:val="00FC67A6"/>
    <w:rsid w:val="00FE6906"/>
    <w:rsid w:val="00FE782C"/>
    <w:rsid w:val="00FF11C7"/>
    <w:rsid w:val="00FF1F38"/>
    <w:rsid w:val="00FF3D67"/>
    <w:rsid w:val="00FF5450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00BC8A8"/>
  <w15:docId w15:val="{D725F0AB-BA31-45A6-9E63-F5D832396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BC1278"/>
    <w:pPr>
      <w:keepNext/>
      <w:keepLines/>
      <w:suppressAutoHyphens w:val="0"/>
      <w:autoSpaceDN/>
      <w:spacing w:before="240" w:after="0" w:line="259" w:lineRule="auto"/>
      <w:textAlignment w:val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NormalWeb">
    <w:name w:val="Normal (Web)"/>
    <w:basedOn w:val="Normal"/>
    <w:uiPriority w:val="99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7A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2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365"/>
  </w:style>
  <w:style w:type="paragraph" w:styleId="Footer">
    <w:name w:val="footer"/>
    <w:basedOn w:val="Normal"/>
    <w:link w:val="FooterChar"/>
    <w:uiPriority w:val="99"/>
    <w:unhideWhenUsed/>
    <w:rsid w:val="004E2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365"/>
  </w:style>
  <w:style w:type="character" w:customStyle="1" w:styleId="Heading1Char">
    <w:name w:val="Heading 1 Char"/>
    <w:basedOn w:val="DefaultParagraphFont"/>
    <w:link w:val="Heading1"/>
    <w:uiPriority w:val="9"/>
    <w:rsid w:val="00BC12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unhideWhenUsed/>
    <w:rsid w:val="00BC12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1278"/>
    <w:pPr>
      <w:suppressAutoHyphens w:val="0"/>
      <w:autoSpaceDN/>
      <w:spacing w:line="240" w:lineRule="auto"/>
      <w:textAlignment w:val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1278"/>
    <w:rPr>
      <w:rFonts w:asciiTheme="minorHAnsi" w:eastAsiaTheme="minorHAnsi" w:hAnsiTheme="minorHAnsi" w:cstheme="minorBidi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BC1278"/>
    <w:pPr>
      <w:suppressAutoHyphens w:val="0"/>
      <w:autoSpaceDN/>
      <w:spacing w:after="120" w:line="259" w:lineRule="auto"/>
      <w:ind w:left="283"/>
      <w:textAlignment w:val="auto"/>
    </w:pPr>
    <w:rPr>
      <w:rFonts w:asciiTheme="minorHAnsi" w:eastAsiaTheme="minorHAnsi" w:hAnsiTheme="minorHAnsi" w:cstheme="minorBid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C1278"/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21AF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1AF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1AFE"/>
    <w:rPr>
      <w:vertAlign w:val="superscript"/>
    </w:rPr>
  </w:style>
  <w:style w:type="paragraph" w:styleId="BodyText">
    <w:name w:val="Body Text"/>
    <w:basedOn w:val="Normal"/>
    <w:link w:val="BodyTextChar"/>
    <w:rsid w:val="00244BA8"/>
    <w:pPr>
      <w:spacing w:after="120" w:line="256" w:lineRule="auto"/>
    </w:pPr>
  </w:style>
  <w:style w:type="character" w:customStyle="1" w:styleId="BodyTextChar">
    <w:name w:val="Body Text Char"/>
    <w:basedOn w:val="DefaultParagraphFont"/>
    <w:link w:val="BodyText"/>
    <w:rsid w:val="00244BA8"/>
  </w:style>
  <w:style w:type="paragraph" w:styleId="EndnoteText">
    <w:name w:val="endnote text"/>
    <w:basedOn w:val="Normal"/>
    <w:link w:val="EndnoteTextChar"/>
    <w:uiPriority w:val="99"/>
    <w:semiHidden/>
    <w:unhideWhenUsed/>
    <w:rsid w:val="00C1355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355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3557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34F4"/>
    <w:pPr>
      <w:suppressAutoHyphens/>
      <w:autoSpaceDN w:val="0"/>
      <w:textAlignment w:val="baseline"/>
    </w:pPr>
    <w:rPr>
      <w:rFonts w:ascii="Calibri" w:eastAsia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4F4"/>
    <w:rPr>
      <w:rFonts w:asciiTheme="minorHAnsi" w:eastAsiaTheme="minorHAnsi" w:hAnsiTheme="minorHAnsi" w:cstheme="minorBidi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77252"/>
    <w:rPr>
      <w:i/>
      <w:iCs/>
    </w:rPr>
  </w:style>
  <w:style w:type="character" w:styleId="Hyperlink">
    <w:name w:val="Hyperlink"/>
    <w:basedOn w:val="DefaultParagraphFont"/>
    <w:uiPriority w:val="99"/>
    <w:unhideWhenUsed/>
    <w:rsid w:val="009653E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006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14E9D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4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3654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8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269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423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267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jpe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5D931-897C-4BFC-ABA1-D65933CF8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1400</Words>
  <Characters>8400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Przyjalkowska</dc:creator>
  <dc:description/>
  <cp:lastModifiedBy>Marta Smialek</cp:lastModifiedBy>
  <cp:revision>4</cp:revision>
  <dcterms:created xsi:type="dcterms:W3CDTF">2022-06-06T10:34:00Z</dcterms:created>
  <dcterms:modified xsi:type="dcterms:W3CDTF">2022-06-06T10:51:00Z</dcterms:modified>
</cp:coreProperties>
</file>