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57EF" w14:textId="77777777" w:rsidR="004B7EC1" w:rsidRDefault="004B7EC1" w:rsidP="004B7EC1">
      <w:pPr>
        <w:spacing w:line="276" w:lineRule="auto"/>
        <w:jc w:val="right"/>
        <w:rPr>
          <w:rFonts w:asciiTheme="majorHAnsi" w:hAnsiTheme="majorHAnsi" w:cstheme="minorHAnsi"/>
          <w:iCs/>
          <w:sz w:val="22"/>
          <w:szCs w:val="22"/>
        </w:rPr>
      </w:pPr>
    </w:p>
    <w:p w14:paraId="52592166" w14:textId="77777777" w:rsidR="004B7EC1" w:rsidRDefault="004B7EC1" w:rsidP="004B7EC1">
      <w:pPr>
        <w:pBdr>
          <w:bottom w:val="single" w:sz="12" w:space="1" w:color="auto"/>
        </w:pBdr>
        <w:rPr>
          <w:rFonts w:asciiTheme="majorHAnsi" w:hAnsiTheme="majorHAnsi" w:cs="Times New Roman"/>
          <w:b/>
          <w:color w:val="auto"/>
          <w:sz w:val="28"/>
          <w:szCs w:val="18"/>
          <w:lang w:val="lv-LV"/>
        </w:rPr>
      </w:pPr>
      <w:r>
        <w:rPr>
          <w:rFonts w:asciiTheme="majorHAnsi" w:hAnsiTheme="majorHAnsi"/>
          <w:b/>
          <w:sz w:val="28"/>
          <w:szCs w:val="18"/>
          <w:lang w:val="lv-LV"/>
        </w:rPr>
        <w:t>INFORMACJA PRASOWA</w:t>
      </w:r>
    </w:p>
    <w:p w14:paraId="40631B06" w14:textId="7FDC211B" w:rsidR="004B7EC1" w:rsidRDefault="004B7EC1" w:rsidP="004B7EC1">
      <w:pPr>
        <w:rPr>
          <w:rFonts w:asciiTheme="majorHAnsi" w:hAnsiTheme="majorHAnsi"/>
          <w:sz w:val="18"/>
          <w:szCs w:val="18"/>
          <w:lang w:val="lv-LV"/>
        </w:rPr>
      </w:pPr>
      <w:r>
        <w:rPr>
          <w:rFonts w:asciiTheme="majorHAnsi" w:hAnsiTheme="majorHAnsi"/>
          <w:sz w:val="18"/>
          <w:szCs w:val="18"/>
          <w:lang w:val="lv-LV"/>
        </w:rPr>
        <w:t>Gdańsk,</w:t>
      </w:r>
      <w:r w:rsidR="0082725F">
        <w:rPr>
          <w:rFonts w:asciiTheme="majorHAnsi" w:hAnsiTheme="majorHAnsi"/>
          <w:sz w:val="18"/>
          <w:szCs w:val="18"/>
          <w:lang w:val="lv-LV"/>
        </w:rPr>
        <w:t xml:space="preserve"> </w:t>
      </w:r>
      <w:r w:rsidR="00250300">
        <w:rPr>
          <w:rFonts w:asciiTheme="majorHAnsi" w:hAnsiTheme="majorHAnsi"/>
          <w:sz w:val="18"/>
          <w:szCs w:val="18"/>
          <w:lang w:val="lv-LV"/>
        </w:rPr>
        <w:t>10</w:t>
      </w:r>
      <w:r w:rsidR="001441D7">
        <w:rPr>
          <w:rFonts w:asciiTheme="majorHAnsi" w:hAnsiTheme="majorHAnsi"/>
          <w:sz w:val="18"/>
          <w:szCs w:val="18"/>
          <w:lang w:val="lv-LV"/>
        </w:rPr>
        <w:t xml:space="preserve"> czerwca</w:t>
      </w:r>
      <w:r w:rsidR="005E12D1">
        <w:rPr>
          <w:rFonts w:asciiTheme="majorHAnsi" w:hAnsiTheme="majorHAnsi"/>
          <w:sz w:val="18"/>
          <w:szCs w:val="18"/>
          <w:lang w:val="lv-LV"/>
        </w:rPr>
        <w:t xml:space="preserve"> </w:t>
      </w:r>
      <w:r>
        <w:rPr>
          <w:rFonts w:asciiTheme="majorHAnsi" w:hAnsiTheme="majorHAnsi"/>
          <w:sz w:val="18"/>
          <w:szCs w:val="18"/>
          <w:lang w:val="lv-LV"/>
        </w:rPr>
        <w:t>202</w:t>
      </w:r>
      <w:r w:rsidR="00B66F4A">
        <w:rPr>
          <w:rFonts w:asciiTheme="majorHAnsi" w:hAnsiTheme="majorHAnsi"/>
          <w:sz w:val="18"/>
          <w:szCs w:val="18"/>
          <w:lang w:val="lv-LV"/>
        </w:rPr>
        <w:t>2</w:t>
      </w:r>
      <w:r>
        <w:rPr>
          <w:rFonts w:asciiTheme="majorHAnsi" w:hAnsiTheme="majorHAnsi"/>
          <w:sz w:val="18"/>
          <w:szCs w:val="18"/>
          <w:lang w:val="lv-LV"/>
        </w:rPr>
        <w:t xml:space="preserve"> roku </w:t>
      </w:r>
    </w:p>
    <w:p w14:paraId="35108E45" w14:textId="77777777" w:rsidR="004B7EC1" w:rsidRDefault="004B7EC1" w:rsidP="004B7EC1">
      <w:pPr>
        <w:spacing w:after="120"/>
        <w:jc w:val="both"/>
        <w:rPr>
          <w:rFonts w:asciiTheme="majorHAnsi" w:hAnsiTheme="majorHAnsi"/>
          <w:b/>
          <w:color w:val="2F5496"/>
          <w:sz w:val="26"/>
          <w:szCs w:val="26"/>
        </w:rPr>
      </w:pPr>
    </w:p>
    <w:p w14:paraId="58C97E88" w14:textId="38306A98" w:rsidR="00250300" w:rsidRPr="00250300" w:rsidRDefault="00250300" w:rsidP="00EA7FBC">
      <w:pPr>
        <w:spacing w:after="120" w:line="276" w:lineRule="auto"/>
        <w:rPr>
          <w:rFonts w:asciiTheme="majorHAnsi" w:hAnsiTheme="majorHAnsi" w:cstheme="minorHAnsi"/>
          <w:b/>
          <w:bCs/>
          <w:color w:val="264988"/>
          <w:sz w:val="24"/>
          <w:szCs w:val="24"/>
        </w:rPr>
      </w:pPr>
      <w:r w:rsidRPr="00250300">
        <w:rPr>
          <w:rFonts w:asciiTheme="majorHAnsi" w:hAnsiTheme="majorHAnsi" w:cstheme="minorHAnsi"/>
          <w:b/>
          <w:bCs/>
          <w:color w:val="264988"/>
          <w:sz w:val="24"/>
          <w:szCs w:val="24"/>
        </w:rPr>
        <w:t>Mimo pesymistycznych prognoz dla gospodarki spodziewamy się bezproblemowej obsługi zobowiązań</w:t>
      </w:r>
    </w:p>
    <w:p w14:paraId="2F401CCF" w14:textId="40A6C467" w:rsidR="0053383A" w:rsidRPr="00250300" w:rsidRDefault="0053383A" w:rsidP="00EA7FBC">
      <w:pPr>
        <w:spacing w:after="120" w:line="276" w:lineRule="auto"/>
        <w:rPr>
          <w:rFonts w:asciiTheme="majorHAnsi" w:hAnsiTheme="majorHAnsi" w:cstheme="minorHAnsi"/>
          <w:b/>
          <w:bCs/>
          <w:color w:val="auto"/>
          <w:sz w:val="22"/>
          <w:szCs w:val="22"/>
        </w:rPr>
      </w:pPr>
      <w:r w:rsidRPr="00250300">
        <w:rPr>
          <w:rFonts w:asciiTheme="majorHAnsi" w:hAnsiTheme="majorHAnsi" w:cstheme="minorHAnsi"/>
          <w:b/>
          <w:bCs/>
          <w:color w:val="auto"/>
          <w:sz w:val="22"/>
          <w:szCs w:val="22"/>
        </w:rPr>
        <w:t xml:space="preserve">Barometr Obsługi Zobowiązań (BOZ) </w:t>
      </w:r>
      <w:r w:rsidR="001441D7" w:rsidRPr="00250300">
        <w:rPr>
          <w:rFonts w:asciiTheme="majorHAnsi" w:hAnsiTheme="majorHAnsi" w:cstheme="minorHAnsi"/>
          <w:b/>
          <w:bCs/>
          <w:color w:val="auto"/>
          <w:sz w:val="22"/>
          <w:szCs w:val="22"/>
        </w:rPr>
        <w:t xml:space="preserve">ZPF i SGH </w:t>
      </w:r>
      <w:r w:rsidRPr="00250300">
        <w:rPr>
          <w:rFonts w:asciiTheme="majorHAnsi" w:hAnsiTheme="majorHAnsi" w:cstheme="minorHAnsi"/>
          <w:b/>
          <w:bCs/>
          <w:color w:val="auto"/>
          <w:sz w:val="22"/>
          <w:szCs w:val="22"/>
        </w:rPr>
        <w:t>po trzech kwartałach spadku zanotował poprawę w II kwartale 2022 r. do poziomu 94,6 pkt. Wartość BOZ pozostaje jednak w obszarach pesymistycznych</w:t>
      </w:r>
      <w:r w:rsidR="006F22EB" w:rsidRPr="00250300">
        <w:rPr>
          <w:rFonts w:asciiTheme="majorHAnsi" w:hAnsiTheme="majorHAnsi" w:cstheme="minorHAnsi"/>
          <w:b/>
          <w:bCs/>
          <w:color w:val="auto"/>
          <w:sz w:val="22"/>
          <w:szCs w:val="22"/>
        </w:rPr>
        <w:t xml:space="preserve"> ocen</w:t>
      </w:r>
      <w:r w:rsidRPr="00250300">
        <w:rPr>
          <w:rFonts w:asciiTheme="majorHAnsi" w:hAnsiTheme="majorHAnsi" w:cstheme="minorHAnsi"/>
          <w:b/>
          <w:bCs/>
          <w:color w:val="auto"/>
          <w:sz w:val="22"/>
          <w:szCs w:val="22"/>
        </w:rPr>
        <w:t>, poniżej 100 punktów.</w:t>
      </w:r>
    </w:p>
    <w:p w14:paraId="04CA91AF" w14:textId="77777777" w:rsidR="004213B7" w:rsidRPr="004213B7" w:rsidRDefault="004213B7" w:rsidP="004213B7">
      <w:pPr>
        <w:spacing w:after="120" w:line="276" w:lineRule="auto"/>
        <w:rPr>
          <w:rFonts w:asciiTheme="majorHAnsi" w:hAnsiTheme="majorHAnsi" w:cstheme="minorHAnsi"/>
          <w:iCs/>
          <w:spacing w:val="-4"/>
          <w:sz w:val="22"/>
          <w:szCs w:val="22"/>
        </w:rPr>
      </w:pPr>
    </w:p>
    <w:p w14:paraId="104C6E94" w14:textId="5E7C3669" w:rsidR="00102984" w:rsidRDefault="004213B7" w:rsidP="004213B7">
      <w:pPr>
        <w:spacing w:after="120" w:line="276" w:lineRule="auto"/>
        <w:rPr>
          <w:rFonts w:asciiTheme="majorHAnsi" w:hAnsiTheme="majorHAnsi" w:cstheme="minorHAnsi"/>
          <w:iCs/>
          <w:spacing w:val="-4"/>
          <w:sz w:val="22"/>
          <w:szCs w:val="22"/>
        </w:rPr>
      </w:pPr>
      <w:r w:rsidRPr="004213B7">
        <w:rPr>
          <w:rFonts w:asciiTheme="majorHAnsi" w:hAnsiTheme="majorHAnsi" w:cstheme="minorHAnsi"/>
          <w:iCs/>
          <w:spacing w:val="-4"/>
          <w:sz w:val="22"/>
          <w:szCs w:val="22"/>
        </w:rPr>
        <w:t xml:space="preserve">Barometr </w:t>
      </w:r>
      <w:r>
        <w:rPr>
          <w:rFonts w:asciiTheme="majorHAnsi" w:hAnsiTheme="majorHAnsi" w:cstheme="minorHAnsi"/>
          <w:iCs/>
          <w:spacing w:val="-4"/>
          <w:sz w:val="22"/>
          <w:szCs w:val="22"/>
        </w:rPr>
        <w:t>O</w:t>
      </w:r>
      <w:r w:rsidRPr="004213B7">
        <w:rPr>
          <w:rFonts w:asciiTheme="majorHAnsi" w:hAnsiTheme="majorHAnsi" w:cstheme="minorHAnsi"/>
          <w:iCs/>
          <w:spacing w:val="-4"/>
          <w:sz w:val="22"/>
          <w:szCs w:val="22"/>
        </w:rPr>
        <w:t xml:space="preserve">bsługi </w:t>
      </w:r>
      <w:r>
        <w:rPr>
          <w:rFonts w:asciiTheme="majorHAnsi" w:hAnsiTheme="majorHAnsi" w:cstheme="minorHAnsi"/>
          <w:iCs/>
          <w:spacing w:val="-4"/>
          <w:sz w:val="22"/>
          <w:szCs w:val="22"/>
        </w:rPr>
        <w:t>Z</w:t>
      </w:r>
      <w:r w:rsidRPr="004213B7">
        <w:rPr>
          <w:rFonts w:asciiTheme="majorHAnsi" w:hAnsiTheme="majorHAnsi" w:cstheme="minorHAnsi"/>
          <w:iCs/>
          <w:spacing w:val="-4"/>
          <w:sz w:val="22"/>
          <w:szCs w:val="22"/>
        </w:rPr>
        <w:t>obowiązań (BOZ</w:t>
      </w:r>
      <w:r>
        <w:rPr>
          <w:rStyle w:val="Odwoanieprzypisudolnego"/>
          <w:rFonts w:asciiTheme="majorHAnsi" w:hAnsiTheme="majorHAnsi" w:cstheme="minorHAnsi"/>
          <w:iCs/>
          <w:spacing w:val="-2"/>
          <w:sz w:val="22"/>
          <w:szCs w:val="22"/>
        </w:rPr>
        <w:footnoteReference w:id="1"/>
      </w:r>
      <w:r w:rsidRPr="004213B7">
        <w:rPr>
          <w:rFonts w:asciiTheme="majorHAnsi" w:hAnsiTheme="majorHAnsi" w:cstheme="minorHAnsi"/>
          <w:iCs/>
          <w:spacing w:val="-4"/>
          <w:sz w:val="22"/>
          <w:szCs w:val="22"/>
        </w:rPr>
        <w:t xml:space="preserve">) </w:t>
      </w:r>
      <w:r w:rsidR="008A7C10" w:rsidRPr="008A7C10">
        <w:rPr>
          <w:rFonts w:asciiTheme="majorHAnsi" w:hAnsiTheme="majorHAnsi" w:cstheme="minorHAnsi"/>
          <w:iCs/>
          <w:spacing w:val="-4"/>
          <w:sz w:val="22"/>
          <w:szCs w:val="22"/>
        </w:rPr>
        <w:t>zwiększył się</w:t>
      </w:r>
      <w:r w:rsidR="008A7C10">
        <w:rPr>
          <w:rFonts w:asciiTheme="majorHAnsi" w:hAnsiTheme="majorHAnsi" w:cstheme="minorHAnsi"/>
          <w:iCs/>
          <w:spacing w:val="-4"/>
          <w:sz w:val="22"/>
          <w:szCs w:val="22"/>
        </w:rPr>
        <w:t xml:space="preserve"> o </w:t>
      </w:r>
      <w:r w:rsidR="00F7728E">
        <w:rPr>
          <w:rFonts w:asciiTheme="majorHAnsi" w:hAnsiTheme="majorHAnsi" w:cstheme="minorHAnsi"/>
          <w:iCs/>
          <w:spacing w:val="-4"/>
          <w:sz w:val="22"/>
          <w:szCs w:val="22"/>
        </w:rPr>
        <w:t>ponad</w:t>
      </w:r>
      <w:r w:rsidR="008A7C10">
        <w:rPr>
          <w:rFonts w:asciiTheme="majorHAnsi" w:hAnsiTheme="majorHAnsi" w:cstheme="minorHAnsi"/>
          <w:iCs/>
          <w:spacing w:val="-4"/>
          <w:sz w:val="22"/>
          <w:szCs w:val="22"/>
        </w:rPr>
        <w:t xml:space="preserve"> 10 pkt.</w:t>
      </w:r>
      <w:r w:rsidR="008A7C10" w:rsidRPr="008A7C10">
        <w:rPr>
          <w:rFonts w:asciiTheme="majorHAnsi" w:hAnsiTheme="majorHAnsi" w:cstheme="minorHAnsi"/>
          <w:iCs/>
          <w:spacing w:val="-4"/>
          <w:sz w:val="22"/>
          <w:szCs w:val="22"/>
        </w:rPr>
        <w:t xml:space="preserve"> w porównaniu do 84,4 p</w:t>
      </w:r>
      <w:r w:rsidR="008A7C10">
        <w:rPr>
          <w:rFonts w:asciiTheme="majorHAnsi" w:hAnsiTheme="majorHAnsi" w:cstheme="minorHAnsi"/>
          <w:iCs/>
          <w:spacing w:val="-4"/>
          <w:sz w:val="22"/>
          <w:szCs w:val="22"/>
        </w:rPr>
        <w:t>kt.</w:t>
      </w:r>
      <w:r w:rsidR="008A7C10" w:rsidRPr="008A7C10">
        <w:rPr>
          <w:rFonts w:asciiTheme="majorHAnsi" w:hAnsiTheme="majorHAnsi" w:cstheme="minorHAnsi"/>
          <w:iCs/>
          <w:spacing w:val="-4"/>
          <w:sz w:val="22"/>
          <w:szCs w:val="22"/>
        </w:rPr>
        <w:t xml:space="preserve"> w poprzednim kwartale. Jednak jego wartość jest mniejsza niż przed rokiem i przed pandemią</w:t>
      </w:r>
      <w:r w:rsidR="00D66746">
        <w:rPr>
          <w:rFonts w:asciiTheme="majorHAnsi" w:hAnsiTheme="majorHAnsi" w:cstheme="minorHAnsi"/>
          <w:iCs/>
          <w:spacing w:val="-4"/>
          <w:sz w:val="22"/>
          <w:szCs w:val="22"/>
        </w:rPr>
        <w:t>, pozostaje w trendzie spadkowym</w:t>
      </w:r>
      <w:r w:rsidR="008A7C10" w:rsidRPr="008A7C10">
        <w:rPr>
          <w:rFonts w:asciiTheme="majorHAnsi" w:hAnsiTheme="majorHAnsi" w:cstheme="minorHAnsi"/>
          <w:iCs/>
          <w:spacing w:val="-4"/>
          <w:sz w:val="22"/>
          <w:szCs w:val="22"/>
        </w:rPr>
        <w:t xml:space="preserve"> </w:t>
      </w:r>
      <w:r w:rsidR="00D66746">
        <w:rPr>
          <w:rFonts w:asciiTheme="majorHAnsi" w:hAnsiTheme="majorHAnsi" w:cstheme="minorHAnsi"/>
          <w:iCs/>
          <w:spacing w:val="-4"/>
          <w:sz w:val="22"/>
          <w:szCs w:val="22"/>
        </w:rPr>
        <w:t>i</w:t>
      </w:r>
      <w:r w:rsidR="008A7C10" w:rsidRPr="008A7C10">
        <w:rPr>
          <w:rFonts w:asciiTheme="majorHAnsi" w:hAnsiTheme="majorHAnsi" w:cstheme="minorHAnsi"/>
          <w:iCs/>
          <w:spacing w:val="-4"/>
          <w:sz w:val="22"/>
          <w:szCs w:val="22"/>
        </w:rPr>
        <w:t xml:space="preserve"> jest zbliżona do pandemicznego </w:t>
      </w:r>
      <w:r w:rsidR="006F22EB">
        <w:rPr>
          <w:rFonts w:asciiTheme="majorHAnsi" w:hAnsiTheme="majorHAnsi" w:cstheme="minorHAnsi"/>
          <w:iCs/>
          <w:spacing w:val="-4"/>
          <w:sz w:val="22"/>
          <w:szCs w:val="22"/>
        </w:rPr>
        <w:t>minimum</w:t>
      </w:r>
      <w:r w:rsidR="008A7C10" w:rsidRPr="008A7C10">
        <w:rPr>
          <w:rFonts w:asciiTheme="majorHAnsi" w:hAnsiTheme="majorHAnsi" w:cstheme="minorHAnsi"/>
          <w:iCs/>
          <w:spacing w:val="-4"/>
          <w:sz w:val="22"/>
          <w:szCs w:val="22"/>
        </w:rPr>
        <w:t xml:space="preserve">. </w:t>
      </w:r>
      <w:r w:rsidR="00D66746" w:rsidRPr="00D66746">
        <w:rPr>
          <w:rFonts w:asciiTheme="majorHAnsi" w:hAnsiTheme="majorHAnsi" w:cstheme="minorHAnsi"/>
          <w:iCs/>
          <w:spacing w:val="-4"/>
          <w:sz w:val="22"/>
          <w:szCs w:val="22"/>
        </w:rPr>
        <w:t xml:space="preserve">Barometr dotyczy wszelkich zobowiązań, </w:t>
      </w:r>
      <w:r w:rsidR="00D66746">
        <w:rPr>
          <w:rFonts w:asciiTheme="majorHAnsi" w:hAnsiTheme="majorHAnsi" w:cstheme="minorHAnsi"/>
          <w:iCs/>
          <w:spacing w:val="-4"/>
          <w:sz w:val="22"/>
          <w:szCs w:val="22"/>
        </w:rPr>
        <w:t xml:space="preserve">czyli </w:t>
      </w:r>
      <w:r w:rsidR="00D66746" w:rsidRPr="00D66746">
        <w:rPr>
          <w:rFonts w:asciiTheme="majorHAnsi" w:hAnsiTheme="majorHAnsi" w:cstheme="minorHAnsi"/>
          <w:iCs/>
          <w:spacing w:val="-4"/>
          <w:sz w:val="22"/>
          <w:szCs w:val="22"/>
        </w:rPr>
        <w:t>również np. cyklicznych płatnoś</w:t>
      </w:r>
      <w:r w:rsidR="001441D7">
        <w:rPr>
          <w:rFonts w:asciiTheme="majorHAnsi" w:hAnsiTheme="majorHAnsi" w:cstheme="minorHAnsi"/>
          <w:iCs/>
          <w:spacing w:val="-4"/>
          <w:sz w:val="22"/>
          <w:szCs w:val="22"/>
        </w:rPr>
        <w:t>ci</w:t>
      </w:r>
      <w:r w:rsidR="00D66746" w:rsidRPr="00D66746">
        <w:rPr>
          <w:rFonts w:asciiTheme="majorHAnsi" w:hAnsiTheme="majorHAnsi" w:cstheme="minorHAnsi"/>
          <w:iCs/>
          <w:spacing w:val="-4"/>
          <w:sz w:val="22"/>
          <w:szCs w:val="22"/>
        </w:rPr>
        <w:t xml:space="preserve"> związanych z usługami. Rosnące ceny gazu, energii, czynszów powodują najprawdopodobniej stopniowe powstawanie problemów z wywiązywaniem się z drobnych regularnych płatności. </w:t>
      </w:r>
    </w:p>
    <w:p w14:paraId="57AFAB08" w14:textId="77777777" w:rsidR="006F22EB" w:rsidRDefault="006F22EB" w:rsidP="004213B7">
      <w:pPr>
        <w:spacing w:after="120" w:line="276" w:lineRule="auto"/>
        <w:rPr>
          <w:rFonts w:asciiTheme="majorHAnsi" w:hAnsiTheme="majorHAnsi" w:cstheme="minorHAnsi"/>
          <w:iCs/>
          <w:spacing w:val="-4"/>
          <w:sz w:val="22"/>
          <w:szCs w:val="22"/>
        </w:rPr>
      </w:pPr>
    </w:p>
    <w:p w14:paraId="3128A7ED" w14:textId="137060D2" w:rsidR="00C023D8" w:rsidRDefault="00C30FEB" w:rsidP="001D63D2">
      <w:pPr>
        <w:spacing w:after="120" w:line="276" w:lineRule="auto"/>
        <w:jc w:val="center"/>
        <w:rPr>
          <w:rFonts w:asciiTheme="majorHAnsi" w:hAnsiTheme="majorHAnsi" w:cstheme="minorHAnsi"/>
          <w:iCs/>
          <w:spacing w:val="-4"/>
          <w:sz w:val="22"/>
          <w:szCs w:val="22"/>
        </w:rPr>
      </w:pPr>
      <w:r>
        <w:rPr>
          <w:rFonts w:asciiTheme="majorHAnsi" w:hAnsiTheme="majorHAnsi" w:cstheme="minorHAnsi"/>
          <w:iCs/>
          <w:noProof/>
          <w:spacing w:val="-4"/>
          <w:sz w:val="22"/>
          <w:szCs w:val="22"/>
        </w:rPr>
        <w:drawing>
          <wp:inline distT="0" distB="0" distL="0" distR="0" wp14:anchorId="49367E0F" wp14:editId="00B0A32B">
            <wp:extent cx="4494674" cy="236220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2939" cy="2371799"/>
                    </a:xfrm>
                    <a:prstGeom prst="rect">
                      <a:avLst/>
                    </a:prstGeom>
                  </pic:spPr>
                </pic:pic>
              </a:graphicData>
            </a:graphic>
          </wp:inline>
        </w:drawing>
      </w:r>
    </w:p>
    <w:p w14:paraId="593F149B" w14:textId="77777777" w:rsidR="001D63D2" w:rsidRDefault="001D63D2" w:rsidP="001D63D2">
      <w:pPr>
        <w:spacing w:after="120" w:line="276" w:lineRule="auto"/>
        <w:jc w:val="center"/>
        <w:rPr>
          <w:rFonts w:asciiTheme="majorHAnsi" w:hAnsiTheme="majorHAnsi" w:cstheme="minorHAnsi"/>
          <w:iCs/>
          <w:spacing w:val="-4"/>
          <w:sz w:val="22"/>
          <w:szCs w:val="22"/>
        </w:rPr>
      </w:pPr>
    </w:p>
    <w:p w14:paraId="4A91CE31" w14:textId="54E950FC" w:rsidR="0099414E" w:rsidRPr="0099414E" w:rsidRDefault="0099414E" w:rsidP="0099414E">
      <w:pPr>
        <w:spacing w:after="120" w:line="276" w:lineRule="auto"/>
        <w:rPr>
          <w:rFonts w:asciiTheme="majorHAnsi" w:hAnsiTheme="majorHAnsi" w:cstheme="minorHAnsi"/>
          <w:iCs/>
          <w:spacing w:val="-4"/>
          <w:sz w:val="22"/>
          <w:szCs w:val="22"/>
        </w:rPr>
      </w:pPr>
      <w:r w:rsidRPr="0099414E">
        <w:rPr>
          <w:rFonts w:asciiTheme="majorHAnsi" w:hAnsiTheme="majorHAnsi" w:cstheme="minorHAnsi"/>
          <w:iCs/>
          <w:spacing w:val="-4"/>
          <w:sz w:val="22"/>
          <w:szCs w:val="22"/>
        </w:rPr>
        <w:t xml:space="preserve">W przypadku bieżącej obsługi zobowiązań nadal dominują respondenci, którzy obsługują </w:t>
      </w:r>
      <w:r w:rsidR="001441D7">
        <w:rPr>
          <w:rFonts w:asciiTheme="majorHAnsi" w:hAnsiTheme="majorHAnsi" w:cstheme="minorHAnsi"/>
          <w:iCs/>
          <w:spacing w:val="-4"/>
          <w:sz w:val="22"/>
          <w:szCs w:val="22"/>
        </w:rPr>
        <w:t>swoje zobowiązania</w:t>
      </w:r>
      <w:r w:rsidRPr="0099414E">
        <w:rPr>
          <w:rFonts w:asciiTheme="majorHAnsi" w:hAnsiTheme="majorHAnsi" w:cstheme="minorHAnsi"/>
          <w:iCs/>
          <w:spacing w:val="-4"/>
          <w:sz w:val="22"/>
          <w:szCs w:val="22"/>
        </w:rPr>
        <w:t xml:space="preserve"> bezproblemowo – takich gospodarstw domowych jest obecnie ok. 68,3%. Przed kwartałem było to ok. 63,8%, a przed rokiem ok. 71,3%. Na początku 2019 r. bezproblemową obsługę zobowiązań deklarowało blisko 80% respondentów, a w czasie kryzysu pandemicznego tylko 66%. Grupa respondentów deklarujących obecnie małe problemy wynosi ok. 25% (wobec ok. 28% poprzednio), z kolei respondenci, </w:t>
      </w:r>
      <w:r w:rsidRPr="0099414E">
        <w:rPr>
          <w:rFonts w:asciiTheme="majorHAnsi" w:hAnsiTheme="majorHAnsi" w:cstheme="minorHAnsi"/>
          <w:iCs/>
          <w:spacing w:val="-4"/>
          <w:sz w:val="22"/>
          <w:szCs w:val="22"/>
        </w:rPr>
        <w:lastRenderedPageBreak/>
        <w:t>którzy przy bieżącej obsłudze zobowiązań deklarują duże problemy, stanowią obecnie 6,5% (8,5% poprzednio i 6,3% przed rokiem). W tym ok. 2% respondentów deklaruje opóźnienia w obsłudze zobowiązań ponad 6 miesięcy. Jakość obsługi bieżących zobowiązań w bieżącym badaniu poprawiła się, choć jest historycznie na relatywnie niskim poziomie.</w:t>
      </w:r>
    </w:p>
    <w:p w14:paraId="6E9EB838" w14:textId="359572C6" w:rsidR="00C954EC" w:rsidRDefault="0099414E" w:rsidP="0099414E">
      <w:pPr>
        <w:spacing w:after="120" w:line="276" w:lineRule="auto"/>
        <w:rPr>
          <w:rFonts w:asciiTheme="majorHAnsi" w:hAnsiTheme="majorHAnsi" w:cstheme="minorHAnsi"/>
          <w:iCs/>
          <w:spacing w:val="-4"/>
          <w:sz w:val="22"/>
          <w:szCs w:val="22"/>
        </w:rPr>
      </w:pPr>
      <w:r>
        <w:rPr>
          <w:rFonts w:asciiTheme="majorHAnsi" w:hAnsiTheme="majorHAnsi" w:cstheme="minorHAnsi"/>
          <w:iCs/>
          <w:spacing w:val="-4"/>
          <w:sz w:val="22"/>
          <w:szCs w:val="22"/>
        </w:rPr>
        <w:t>W prognozach dominuje również</w:t>
      </w:r>
      <w:r w:rsidRPr="0099414E">
        <w:rPr>
          <w:rFonts w:asciiTheme="majorHAnsi" w:hAnsiTheme="majorHAnsi" w:cstheme="minorHAnsi"/>
          <w:iCs/>
          <w:spacing w:val="-4"/>
          <w:sz w:val="22"/>
          <w:szCs w:val="22"/>
        </w:rPr>
        <w:t xml:space="preserve"> grupa gospodarstw domowych spodziewających się bezproblemowej obsługi swoich zobowiązań</w:t>
      </w:r>
      <w:r>
        <w:rPr>
          <w:rFonts w:asciiTheme="majorHAnsi" w:hAnsiTheme="majorHAnsi" w:cstheme="minorHAnsi"/>
          <w:iCs/>
          <w:spacing w:val="-4"/>
          <w:sz w:val="22"/>
          <w:szCs w:val="22"/>
        </w:rPr>
        <w:t xml:space="preserve"> w ciągu najbliższych 12 miesięcy</w:t>
      </w:r>
      <w:r w:rsidRPr="0099414E">
        <w:rPr>
          <w:rFonts w:asciiTheme="majorHAnsi" w:hAnsiTheme="majorHAnsi" w:cstheme="minorHAnsi"/>
          <w:iCs/>
          <w:spacing w:val="-4"/>
          <w:sz w:val="22"/>
          <w:szCs w:val="22"/>
        </w:rPr>
        <w:t>, jednak jest ich zawsze mniej niż w ocenach obecnego stanu</w:t>
      </w:r>
      <w:r w:rsidR="001441D7">
        <w:rPr>
          <w:rFonts w:asciiTheme="majorHAnsi" w:hAnsiTheme="majorHAnsi" w:cstheme="minorHAnsi"/>
          <w:iCs/>
          <w:spacing w:val="-4"/>
          <w:sz w:val="22"/>
          <w:szCs w:val="22"/>
        </w:rPr>
        <w:t>. O</w:t>
      </w:r>
      <w:r w:rsidRPr="0099414E">
        <w:rPr>
          <w:rFonts w:asciiTheme="majorHAnsi" w:hAnsiTheme="majorHAnsi" w:cstheme="minorHAnsi"/>
          <w:iCs/>
          <w:spacing w:val="-4"/>
          <w:sz w:val="22"/>
          <w:szCs w:val="22"/>
        </w:rPr>
        <w:t xml:space="preserve">becnie to ok. 51,9%, przed kwartałem było to ok. 45,6%, a przed rokiem też 52,4%. Przewidywania co do przyszłej obsługi poprawiły się w bieżącym badaniu, choć są niższe od historycznej średniej. Na przełomie 2018/19 problemowa obsługa sięgała nawet ok. 69%. Ubyło respondentów deklarujących małe problemy, jest ich obecnie ok. 21%, wobec ponad 26% w poprzednim badaniu i ponad 18% przed rokiem. Grupa gospodarstw domowych spodziewających się dużych problemów z obsługą zobowiązań, liczy obecnie 8,8% ogółu (wobec 10,7% poprzednio i 7,7% przed rokiem). Nieco zwiększył się odsetek </w:t>
      </w:r>
      <w:r w:rsidR="001441D7">
        <w:rPr>
          <w:rFonts w:asciiTheme="majorHAnsi" w:hAnsiTheme="majorHAnsi" w:cstheme="minorHAnsi"/>
          <w:iCs/>
          <w:spacing w:val="-4"/>
          <w:sz w:val="22"/>
          <w:szCs w:val="22"/>
        </w:rPr>
        <w:t>osób udzielających odpowiedzi</w:t>
      </w:r>
      <w:r w:rsidRPr="0099414E">
        <w:rPr>
          <w:rFonts w:asciiTheme="majorHAnsi" w:hAnsiTheme="majorHAnsi" w:cstheme="minorHAnsi"/>
          <w:iCs/>
          <w:spacing w:val="-4"/>
          <w:sz w:val="22"/>
          <w:szCs w:val="22"/>
        </w:rPr>
        <w:t xml:space="preserve"> „nie wiem”</w:t>
      </w:r>
      <w:r w:rsidR="001441D7">
        <w:rPr>
          <w:rFonts w:asciiTheme="majorHAnsi" w:hAnsiTheme="majorHAnsi" w:cstheme="minorHAnsi"/>
          <w:iCs/>
          <w:spacing w:val="-4"/>
          <w:sz w:val="22"/>
          <w:szCs w:val="22"/>
        </w:rPr>
        <w:t>, tj.</w:t>
      </w:r>
      <w:r w:rsidRPr="0099414E">
        <w:rPr>
          <w:rFonts w:asciiTheme="majorHAnsi" w:hAnsiTheme="majorHAnsi" w:cstheme="minorHAnsi"/>
          <w:iCs/>
          <w:spacing w:val="-4"/>
          <w:sz w:val="22"/>
          <w:szCs w:val="22"/>
        </w:rPr>
        <w:t xml:space="preserve"> obecnie wyniósł 18% wobec 17,3% poprzednio.</w:t>
      </w:r>
    </w:p>
    <w:p w14:paraId="4160DACA" w14:textId="77777777" w:rsidR="00314BB0" w:rsidRDefault="00314BB0" w:rsidP="0099414E">
      <w:pPr>
        <w:spacing w:after="120" w:line="276" w:lineRule="auto"/>
        <w:rPr>
          <w:rFonts w:asciiTheme="majorHAnsi" w:hAnsiTheme="majorHAnsi" w:cstheme="minorHAnsi"/>
          <w:iCs/>
          <w:spacing w:val="-4"/>
          <w:sz w:val="22"/>
          <w:szCs w:val="22"/>
        </w:rPr>
      </w:pPr>
    </w:p>
    <w:p w14:paraId="6AEC1A91" w14:textId="2D5EB237" w:rsidR="00C30FEB" w:rsidRDefault="00C30FEB" w:rsidP="001D63D2">
      <w:pPr>
        <w:spacing w:after="120" w:line="276" w:lineRule="auto"/>
        <w:jc w:val="center"/>
        <w:rPr>
          <w:rFonts w:asciiTheme="majorHAnsi" w:hAnsiTheme="majorHAnsi" w:cstheme="minorHAnsi"/>
          <w:iCs/>
          <w:spacing w:val="-4"/>
          <w:sz w:val="22"/>
          <w:szCs w:val="22"/>
        </w:rPr>
      </w:pPr>
      <w:r>
        <w:rPr>
          <w:rFonts w:asciiTheme="majorHAnsi" w:hAnsiTheme="majorHAnsi" w:cstheme="minorHAnsi"/>
          <w:iCs/>
          <w:noProof/>
          <w:spacing w:val="-4"/>
          <w:sz w:val="22"/>
          <w:szCs w:val="22"/>
        </w:rPr>
        <w:drawing>
          <wp:inline distT="0" distB="0" distL="0" distR="0" wp14:anchorId="74569F9F" wp14:editId="55B182B3">
            <wp:extent cx="4671060" cy="2454902"/>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7">
                      <a:extLst>
                        <a:ext uri="{28A0092B-C50C-407E-A947-70E740481C1C}">
                          <a14:useLocalDpi xmlns:a14="http://schemas.microsoft.com/office/drawing/2010/main" val="0"/>
                        </a:ext>
                      </a:extLst>
                    </a:blip>
                    <a:stretch>
                      <a:fillRect/>
                    </a:stretch>
                  </pic:blipFill>
                  <pic:spPr>
                    <a:xfrm>
                      <a:off x="0" y="0"/>
                      <a:ext cx="4707250" cy="2473922"/>
                    </a:xfrm>
                    <a:prstGeom prst="rect">
                      <a:avLst/>
                    </a:prstGeom>
                  </pic:spPr>
                </pic:pic>
              </a:graphicData>
            </a:graphic>
          </wp:inline>
        </w:drawing>
      </w:r>
    </w:p>
    <w:p w14:paraId="24E7A174" w14:textId="77777777" w:rsidR="00314BB0" w:rsidRDefault="00314BB0" w:rsidP="001D63D2">
      <w:pPr>
        <w:spacing w:after="120" w:line="276" w:lineRule="auto"/>
        <w:jc w:val="center"/>
        <w:rPr>
          <w:rFonts w:asciiTheme="majorHAnsi" w:hAnsiTheme="majorHAnsi" w:cstheme="minorHAnsi"/>
          <w:iCs/>
          <w:spacing w:val="-4"/>
          <w:sz w:val="22"/>
          <w:szCs w:val="22"/>
        </w:rPr>
      </w:pPr>
    </w:p>
    <w:p w14:paraId="505D06EF" w14:textId="3BB64E73" w:rsidR="00C30FEB" w:rsidRDefault="00C30FEB" w:rsidP="001D63D2">
      <w:pPr>
        <w:spacing w:after="120" w:line="276" w:lineRule="auto"/>
        <w:jc w:val="center"/>
        <w:rPr>
          <w:rFonts w:asciiTheme="majorHAnsi" w:hAnsiTheme="majorHAnsi" w:cstheme="minorHAnsi"/>
          <w:iCs/>
          <w:spacing w:val="-4"/>
          <w:sz w:val="22"/>
          <w:szCs w:val="22"/>
        </w:rPr>
      </w:pPr>
      <w:r>
        <w:rPr>
          <w:rFonts w:asciiTheme="majorHAnsi" w:hAnsiTheme="majorHAnsi" w:cstheme="minorHAnsi"/>
          <w:iCs/>
          <w:noProof/>
          <w:spacing w:val="-4"/>
          <w:sz w:val="22"/>
          <w:szCs w:val="22"/>
        </w:rPr>
        <w:drawing>
          <wp:inline distT="0" distB="0" distL="0" distR="0" wp14:anchorId="2732255B" wp14:editId="1C6BB4D7">
            <wp:extent cx="4683161" cy="2461260"/>
            <wp:effectExtent l="0" t="0" r="317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8783" cy="2474726"/>
                    </a:xfrm>
                    <a:prstGeom prst="rect">
                      <a:avLst/>
                    </a:prstGeom>
                  </pic:spPr>
                </pic:pic>
              </a:graphicData>
            </a:graphic>
          </wp:inline>
        </w:drawing>
      </w:r>
    </w:p>
    <w:p w14:paraId="5BEC6E2A" w14:textId="77777777" w:rsidR="00314BB0" w:rsidRDefault="00314BB0" w:rsidP="001D63D2">
      <w:pPr>
        <w:spacing w:after="120" w:line="276" w:lineRule="auto"/>
        <w:jc w:val="center"/>
        <w:rPr>
          <w:rFonts w:asciiTheme="majorHAnsi" w:hAnsiTheme="majorHAnsi" w:cstheme="minorHAnsi"/>
          <w:iCs/>
          <w:spacing w:val="-4"/>
          <w:sz w:val="22"/>
          <w:szCs w:val="22"/>
        </w:rPr>
      </w:pPr>
    </w:p>
    <w:p w14:paraId="13CEAE02" w14:textId="03554ED0" w:rsidR="0079424D" w:rsidRDefault="007B4C79" w:rsidP="0079424D">
      <w:pPr>
        <w:spacing w:after="120" w:line="276" w:lineRule="auto"/>
        <w:jc w:val="both"/>
        <w:rPr>
          <w:rFonts w:asciiTheme="majorHAnsi" w:hAnsiTheme="majorHAnsi" w:cstheme="minorHAnsi"/>
          <w:iCs/>
          <w:color w:val="auto"/>
          <w:spacing w:val="-2"/>
          <w:sz w:val="22"/>
          <w:szCs w:val="22"/>
        </w:rPr>
      </w:pPr>
      <w:r w:rsidRPr="007B4C79">
        <w:rPr>
          <w:rFonts w:asciiTheme="majorHAnsi" w:hAnsiTheme="majorHAnsi" w:cstheme="minorHAnsi"/>
          <w:iCs/>
          <w:color w:val="auto"/>
          <w:spacing w:val="-2"/>
          <w:sz w:val="22"/>
          <w:szCs w:val="22"/>
        </w:rPr>
        <w:lastRenderedPageBreak/>
        <w:t>–</w:t>
      </w:r>
      <w:r w:rsidR="0079424D">
        <w:rPr>
          <w:rFonts w:asciiTheme="majorHAnsi" w:hAnsiTheme="majorHAnsi" w:cstheme="minorHAnsi"/>
          <w:iCs/>
          <w:color w:val="auto"/>
          <w:spacing w:val="-2"/>
          <w:sz w:val="22"/>
          <w:szCs w:val="22"/>
        </w:rPr>
        <w:t xml:space="preserve"> </w:t>
      </w:r>
      <w:r w:rsidR="0079424D" w:rsidRPr="0079424D">
        <w:rPr>
          <w:rFonts w:asciiTheme="majorHAnsi" w:hAnsiTheme="majorHAnsi" w:cstheme="minorHAnsi"/>
          <w:i/>
          <w:color w:val="auto"/>
          <w:spacing w:val="-2"/>
          <w:sz w:val="22"/>
          <w:szCs w:val="22"/>
        </w:rPr>
        <w:t xml:space="preserve">Mimo pesymistycznych </w:t>
      </w:r>
      <w:r w:rsidR="00171AB3">
        <w:rPr>
          <w:rFonts w:asciiTheme="majorHAnsi" w:hAnsiTheme="majorHAnsi" w:cstheme="minorHAnsi"/>
          <w:i/>
          <w:color w:val="auto"/>
          <w:spacing w:val="-2"/>
          <w:sz w:val="22"/>
          <w:szCs w:val="22"/>
        </w:rPr>
        <w:t>prognoz dla</w:t>
      </w:r>
      <w:r w:rsidR="0079424D" w:rsidRPr="0079424D">
        <w:rPr>
          <w:rFonts w:asciiTheme="majorHAnsi" w:hAnsiTheme="majorHAnsi" w:cstheme="minorHAnsi"/>
          <w:i/>
          <w:color w:val="auto"/>
          <w:spacing w:val="-2"/>
          <w:sz w:val="22"/>
          <w:szCs w:val="22"/>
        </w:rPr>
        <w:t xml:space="preserve"> gospodarki</w:t>
      </w:r>
      <w:r w:rsidR="006E6E07">
        <w:rPr>
          <w:rFonts w:asciiTheme="majorHAnsi" w:hAnsiTheme="majorHAnsi" w:cstheme="minorHAnsi"/>
          <w:i/>
          <w:color w:val="auto"/>
          <w:spacing w:val="-2"/>
          <w:sz w:val="22"/>
          <w:szCs w:val="22"/>
        </w:rPr>
        <w:t xml:space="preserve"> </w:t>
      </w:r>
      <w:r w:rsidR="0079424D" w:rsidRPr="0079424D">
        <w:rPr>
          <w:rFonts w:asciiTheme="majorHAnsi" w:hAnsiTheme="majorHAnsi" w:cstheme="minorHAnsi"/>
          <w:i/>
          <w:color w:val="auto"/>
          <w:spacing w:val="-2"/>
          <w:sz w:val="22"/>
          <w:szCs w:val="22"/>
        </w:rPr>
        <w:t>gospodarstwa domowe lepiej oceniają zbilansowanie swojego własnego budżetu w bieżącym kwartale. Większy odsetek respondentów oczekuje bezproblemowej obsługi zobowiązań.</w:t>
      </w:r>
      <w:r w:rsidR="0079424D" w:rsidRPr="0079424D">
        <w:rPr>
          <w:rFonts w:asciiTheme="majorHAnsi" w:hAnsiTheme="majorHAnsi" w:cstheme="minorHAnsi"/>
          <w:iCs/>
          <w:color w:val="auto"/>
          <w:spacing w:val="-2"/>
          <w:sz w:val="22"/>
          <w:szCs w:val="22"/>
        </w:rPr>
        <w:t xml:space="preserve"> </w:t>
      </w:r>
      <w:r w:rsidR="0079424D">
        <w:rPr>
          <w:rFonts w:asciiTheme="majorHAnsi" w:hAnsiTheme="majorHAnsi" w:cstheme="minorHAnsi"/>
          <w:i/>
          <w:color w:val="auto"/>
          <w:spacing w:val="-2"/>
          <w:sz w:val="22"/>
          <w:szCs w:val="22"/>
        </w:rPr>
        <w:t xml:space="preserve">W </w:t>
      </w:r>
      <w:r w:rsidR="0079424D" w:rsidRPr="00D35D75">
        <w:rPr>
          <w:rFonts w:asciiTheme="majorHAnsi" w:hAnsiTheme="majorHAnsi" w:cstheme="minorHAnsi"/>
          <w:i/>
          <w:color w:val="auto"/>
          <w:spacing w:val="-2"/>
          <w:sz w:val="22"/>
          <w:szCs w:val="22"/>
        </w:rPr>
        <w:t>świetle wzrostu</w:t>
      </w:r>
      <w:r w:rsidR="0079424D">
        <w:rPr>
          <w:rFonts w:asciiTheme="majorHAnsi" w:hAnsiTheme="majorHAnsi" w:cstheme="minorHAnsi"/>
          <w:i/>
          <w:color w:val="auto"/>
          <w:spacing w:val="-2"/>
          <w:sz w:val="22"/>
          <w:szCs w:val="22"/>
        </w:rPr>
        <w:t xml:space="preserve"> inflacji i</w:t>
      </w:r>
      <w:r w:rsidR="0079424D" w:rsidRPr="00D35D75">
        <w:rPr>
          <w:rFonts w:asciiTheme="majorHAnsi" w:hAnsiTheme="majorHAnsi" w:cstheme="minorHAnsi"/>
          <w:i/>
          <w:color w:val="auto"/>
          <w:spacing w:val="-2"/>
          <w:sz w:val="22"/>
          <w:szCs w:val="22"/>
        </w:rPr>
        <w:t xml:space="preserve"> stóp procentowych</w:t>
      </w:r>
      <w:r w:rsidR="0079424D">
        <w:rPr>
          <w:rFonts w:asciiTheme="majorHAnsi" w:hAnsiTheme="majorHAnsi" w:cstheme="minorHAnsi"/>
          <w:i/>
          <w:color w:val="auto"/>
          <w:spacing w:val="-2"/>
          <w:sz w:val="22"/>
          <w:szCs w:val="22"/>
        </w:rPr>
        <w:t xml:space="preserve"> może to świadczyć o tym, że</w:t>
      </w:r>
      <w:r w:rsidR="0079424D" w:rsidRPr="00D35D75">
        <w:rPr>
          <w:rFonts w:asciiTheme="majorHAnsi" w:hAnsiTheme="majorHAnsi" w:cstheme="minorHAnsi"/>
          <w:i/>
          <w:color w:val="auto"/>
          <w:spacing w:val="-2"/>
          <w:sz w:val="22"/>
          <w:szCs w:val="22"/>
        </w:rPr>
        <w:t xml:space="preserve"> </w:t>
      </w:r>
      <w:r w:rsidR="0079424D">
        <w:rPr>
          <w:rFonts w:asciiTheme="majorHAnsi" w:hAnsiTheme="majorHAnsi" w:cstheme="minorHAnsi"/>
          <w:i/>
          <w:color w:val="auto"/>
          <w:spacing w:val="-2"/>
          <w:sz w:val="22"/>
          <w:szCs w:val="22"/>
        </w:rPr>
        <w:t xml:space="preserve">gospodarstwa domowe bardzo świadomie podchodzą do obowiązku regulowania swoich zobowiązań </w:t>
      </w:r>
      <w:r w:rsidR="0079424D" w:rsidRPr="00D35D75">
        <w:rPr>
          <w:rFonts w:asciiTheme="majorHAnsi" w:hAnsiTheme="majorHAnsi" w:cstheme="minorHAnsi"/>
          <w:iCs/>
          <w:color w:val="auto"/>
          <w:spacing w:val="-2"/>
          <w:sz w:val="22"/>
          <w:szCs w:val="22"/>
        </w:rPr>
        <w:t xml:space="preserve">– </w:t>
      </w:r>
      <w:r w:rsidR="0079424D">
        <w:rPr>
          <w:rFonts w:asciiTheme="majorHAnsi" w:hAnsiTheme="majorHAnsi" w:cstheme="minorHAnsi"/>
          <w:iCs/>
          <w:color w:val="auto"/>
          <w:spacing w:val="-2"/>
          <w:sz w:val="22"/>
          <w:szCs w:val="22"/>
        </w:rPr>
        <w:t>ocenia</w:t>
      </w:r>
      <w:r w:rsidR="0079424D" w:rsidRPr="00D35D75">
        <w:rPr>
          <w:rFonts w:asciiTheme="majorHAnsi" w:hAnsiTheme="majorHAnsi" w:cstheme="minorHAnsi"/>
          <w:iCs/>
          <w:color w:val="auto"/>
          <w:spacing w:val="-2"/>
          <w:sz w:val="22"/>
          <w:szCs w:val="22"/>
        </w:rPr>
        <w:t xml:space="preserve"> Marcin Czugan</w:t>
      </w:r>
      <w:r w:rsidR="0079424D">
        <w:rPr>
          <w:rFonts w:asciiTheme="majorHAnsi" w:hAnsiTheme="majorHAnsi" w:cstheme="minorHAnsi"/>
          <w:iCs/>
          <w:color w:val="auto"/>
          <w:spacing w:val="-2"/>
          <w:sz w:val="22"/>
          <w:szCs w:val="22"/>
        </w:rPr>
        <w:t>,</w:t>
      </w:r>
      <w:r w:rsidR="0079424D" w:rsidRPr="00D35D75">
        <w:rPr>
          <w:rFonts w:asciiTheme="majorHAnsi" w:hAnsiTheme="majorHAnsi" w:cstheme="minorHAnsi"/>
          <w:iCs/>
          <w:color w:val="auto"/>
          <w:spacing w:val="-2"/>
          <w:sz w:val="22"/>
          <w:szCs w:val="22"/>
        </w:rPr>
        <w:t xml:space="preserve"> Prezes Zarządu ZPF.</w:t>
      </w:r>
    </w:p>
    <w:p w14:paraId="4E2638D3" w14:textId="77777777" w:rsidR="004B7EC1" w:rsidRDefault="004B7EC1" w:rsidP="004B7EC1">
      <w:pPr>
        <w:pBdr>
          <w:bottom w:val="single" w:sz="4" w:space="1" w:color="7F7F7F"/>
        </w:pBdr>
        <w:rPr>
          <w:rStyle w:val="Hipercze"/>
          <w:rFonts w:ascii="Trebuchet MS" w:hAnsi="Trebuchet MS"/>
          <w:sz w:val="18"/>
          <w:szCs w:val="18"/>
        </w:rPr>
      </w:pPr>
    </w:p>
    <w:p w14:paraId="2B5EE0E7" w14:textId="77777777" w:rsidR="004B7EC1" w:rsidRDefault="004B7EC1" w:rsidP="004B7EC1">
      <w:pPr>
        <w:spacing w:after="120" w:line="276" w:lineRule="auto"/>
        <w:jc w:val="both"/>
        <w:rPr>
          <w:rFonts w:cstheme="minorHAnsi"/>
          <w:color w:val="444444"/>
          <w:shd w:val="clear" w:color="auto" w:fill="FFFFFF"/>
        </w:rPr>
      </w:pPr>
    </w:p>
    <w:p w14:paraId="71E6C71F" w14:textId="298C5456" w:rsidR="004B7EC1" w:rsidRDefault="004B7EC1" w:rsidP="004B7EC1">
      <w:pPr>
        <w:spacing w:before="60"/>
        <w:jc w:val="both"/>
        <w:rPr>
          <w:rFonts w:asciiTheme="majorHAnsi" w:hAnsiTheme="majorHAnsi"/>
          <w:sz w:val="18"/>
          <w:szCs w:val="18"/>
        </w:rPr>
      </w:pPr>
      <w:r>
        <w:rPr>
          <w:rFonts w:asciiTheme="majorHAnsi" w:hAnsiTheme="majorHAnsi"/>
          <w:b/>
          <w:color w:val="005791"/>
          <w:sz w:val="18"/>
          <w:szCs w:val="18"/>
        </w:rPr>
        <w:t>Związek Przedsiębiorstw Finansowych w Polsce</w:t>
      </w:r>
      <w:r>
        <w:rPr>
          <w:rFonts w:asciiTheme="majorHAnsi" w:hAnsiTheme="majorHAnsi"/>
          <w:sz w:val="18"/>
          <w:szCs w:val="18"/>
        </w:rPr>
        <w:t xml:space="preserve"> (wcześniejsza nazwa Konferencja Przedsiębiorstw Finansowych w Polsce) powstał 27 października 1999 roku i obecnie skupia </w:t>
      </w:r>
      <w:r w:rsidR="00980955">
        <w:rPr>
          <w:rFonts w:asciiTheme="majorHAnsi" w:hAnsiTheme="majorHAnsi"/>
          <w:sz w:val="18"/>
          <w:szCs w:val="18"/>
        </w:rPr>
        <w:t xml:space="preserve">około stu </w:t>
      </w:r>
      <w:r>
        <w:rPr>
          <w:rFonts w:asciiTheme="majorHAnsi" w:hAnsiTheme="majorHAnsi"/>
          <w:sz w:val="18"/>
          <w:szCs w:val="18"/>
        </w:rPr>
        <w:t xml:space="preserve">kluczowych przedsiębiorstw z rynku finansowego w Polsce, w tym banki, doradców i pośredników finansowych, instytucje pożyczkowe, zarządzające informacją gospodarczą, zarządzające wierzytelnościami, sprzedające produkty tzw. odwróconej hipoteki oraz przedsiębiorstwa z branży ubezpieczeniowej. ZPF posiada bogaty dorobek samorządowy jako partner społeczny w procesie legislacyjnym, polskim i europejskim. Organizacja  jest Członkiem Rady Rozwoju Rynku Finansowego, powołanej do życia przez Ministra Finansów Rzeczypospolitej Polskiej oraz Członkiem EUROFINAS - </w:t>
      </w:r>
      <w:proofErr w:type="spellStart"/>
      <w:r>
        <w:rPr>
          <w:rFonts w:asciiTheme="majorHAnsi" w:hAnsiTheme="majorHAnsi"/>
          <w:sz w:val="18"/>
          <w:szCs w:val="18"/>
        </w:rPr>
        <w:t>European</w:t>
      </w:r>
      <w:proofErr w:type="spellEnd"/>
      <w:r>
        <w:rPr>
          <w:rFonts w:asciiTheme="majorHAnsi" w:hAnsiTheme="majorHAnsi"/>
          <w:sz w:val="18"/>
          <w:szCs w:val="18"/>
        </w:rPr>
        <w:t xml:space="preserve"> </w:t>
      </w:r>
      <w:proofErr w:type="spellStart"/>
      <w:r>
        <w:rPr>
          <w:rFonts w:asciiTheme="majorHAnsi" w:hAnsiTheme="majorHAnsi"/>
          <w:sz w:val="18"/>
          <w:szCs w:val="18"/>
        </w:rPr>
        <w:t>Federation</w:t>
      </w:r>
      <w:proofErr w:type="spellEnd"/>
      <w:r>
        <w:rPr>
          <w:rFonts w:asciiTheme="majorHAnsi" w:hAnsiTheme="majorHAnsi"/>
          <w:sz w:val="18"/>
          <w:szCs w:val="18"/>
        </w:rPr>
        <w:t xml:space="preserve"> of Finance House </w:t>
      </w:r>
      <w:proofErr w:type="spellStart"/>
      <w:r>
        <w:rPr>
          <w:rFonts w:asciiTheme="majorHAnsi" w:hAnsiTheme="majorHAnsi"/>
          <w:sz w:val="18"/>
          <w:szCs w:val="18"/>
        </w:rPr>
        <w:t>Associations</w:t>
      </w:r>
      <w:proofErr w:type="spellEnd"/>
      <w:r>
        <w:rPr>
          <w:rFonts w:asciiTheme="majorHAnsi" w:hAnsiTheme="majorHAnsi"/>
          <w:sz w:val="18"/>
          <w:szCs w:val="18"/>
        </w:rPr>
        <w:t xml:space="preserve">, zrzeszającej </w:t>
      </w:r>
      <w:r w:rsidR="00980955">
        <w:rPr>
          <w:rFonts w:asciiTheme="majorHAnsi" w:hAnsiTheme="majorHAnsi"/>
          <w:sz w:val="18"/>
          <w:szCs w:val="18"/>
        </w:rPr>
        <w:t xml:space="preserve">szesnaście </w:t>
      </w:r>
      <w:r>
        <w:rPr>
          <w:rFonts w:asciiTheme="majorHAnsi" w:hAnsiTheme="majorHAnsi"/>
          <w:sz w:val="18"/>
          <w:szCs w:val="18"/>
        </w:rPr>
        <w:t>organizacji z krajów europejskich, reprezentujących bardzo poważną część europejskiego rynku kredytowego i ponad 1 200 instytucji finansowych. ZPF ma w swoim dorobku badawczym już kilkaset raportów, koncentrując się merytorycznie na obszarze kredytu</w:t>
      </w:r>
      <w:r>
        <w:rPr>
          <w:rFonts w:asciiTheme="majorHAnsi" w:hAnsiTheme="majorHAnsi"/>
          <w:b/>
          <w:color w:val="000090"/>
          <w:sz w:val="18"/>
          <w:szCs w:val="18"/>
        </w:rPr>
        <w:t xml:space="preserve">, </w:t>
      </w:r>
      <w:r>
        <w:rPr>
          <w:rFonts w:asciiTheme="majorHAnsi" w:hAnsiTheme="majorHAnsi"/>
          <w:sz w:val="18"/>
          <w:szCs w:val="18"/>
        </w:rPr>
        <w:t>jest także organizatorem kongresów i szkoleń oraz inicjatyw dla branży finansowej.</w:t>
      </w:r>
    </w:p>
    <w:p w14:paraId="3D71DBDC" w14:textId="7E517225" w:rsidR="004B7EC1" w:rsidRDefault="004B7EC1" w:rsidP="004B7EC1">
      <w:pPr>
        <w:jc w:val="both"/>
        <w:rPr>
          <w:rFonts w:asciiTheme="majorHAnsi" w:hAnsiTheme="majorHAnsi"/>
          <w:b/>
          <w:color w:val="000090"/>
          <w:sz w:val="16"/>
          <w:szCs w:val="18"/>
        </w:rPr>
      </w:pPr>
      <w:r>
        <w:rPr>
          <w:noProof/>
        </w:rPr>
        <w:drawing>
          <wp:anchor distT="0" distB="0" distL="114300" distR="114300" simplePos="0" relativeHeight="251659264" behindDoc="0" locked="0" layoutInCell="1" allowOverlap="1" wp14:anchorId="354D0123" wp14:editId="63A64FD4">
            <wp:simplePos x="0" y="0"/>
            <wp:positionH relativeFrom="margin">
              <wp:align>left</wp:align>
            </wp:positionH>
            <wp:positionV relativeFrom="paragraph">
              <wp:posOffset>74930</wp:posOffset>
            </wp:positionV>
            <wp:extent cx="252095" cy="252095"/>
            <wp:effectExtent l="0" t="0" r="0" b="0"/>
            <wp:wrapSquare wrapText="bothSides"/>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540C5A77" w14:textId="77777777" w:rsidR="004B7EC1" w:rsidRDefault="00B5465D" w:rsidP="004B7EC1">
      <w:pPr>
        <w:spacing w:before="60"/>
        <w:jc w:val="both"/>
        <w:rPr>
          <w:rStyle w:val="Hipercze"/>
          <w:rFonts w:ascii="Trebuchet MS" w:hAnsi="Trebuchet MS"/>
        </w:rPr>
      </w:pPr>
      <w:hyperlink r:id="rId10" w:history="1">
        <w:r w:rsidR="004B7EC1">
          <w:rPr>
            <w:rStyle w:val="Hipercze"/>
            <w:b/>
            <w:sz w:val="16"/>
            <w:szCs w:val="18"/>
          </w:rPr>
          <w:t>http://www.linkedin.com/company/zpf</w:t>
        </w:r>
      </w:hyperlink>
    </w:p>
    <w:p w14:paraId="08339977" w14:textId="77777777" w:rsidR="004B7EC1" w:rsidRDefault="004B7EC1"/>
    <w:sectPr w:rsidR="004B7EC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5C3C" w14:textId="77777777" w:rsidR="00B5465D" w:rsidRDefault="00B5465D" w:rsidP="004B7EC1">
      <w:r>
        <w:separator/>
      </w:r>
    </w:p>
  </w:endnote>
  <w:endnote w:type="continuationSeparator" w:id="0">
    <w:p w14:paraId="6B6258AC" w14:textId="77777777" w:rsidR="00B5465D" w:rsidRDefault="00B5465D" w:rsidP="004B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62887"/>
      <w:docPartObj>
        <w:docPartGallery w:val="Page Numbers (Bottom of Page)"/>
        <w:docPartUnique/>
      </w:docPartObj>
    </w:sdtPr>
    <w:sdtEndPr/>
    <w:sdtContent>
      <w:p w14:paraId="5510CE56" w14:textId="2D1ADFB0" w:rsidR="004B7EC1" w:rsidRDefault="004B7EC1">
        <w:pPr>
          <w:pStyle w:val="Stopka"/>
          <w:jc w:val="right"/>
        </w:pPr>
        <w:r w:rsidRPr="004027A1">
          <w:rPr>
            <w:rFonts w:asciiTheme="majorHAnsi" w:hAnsiTheme="majorHAnsi"/>
            <w:noProof/>
            <w:sz w:val="18"/>
            <w:szCs w:val="18"/>
          </w:rPr>
          <w:drawing>
            <wp:anchor distT="0" distB="0" distL="114300" distR="114300" simplePos="0" relativeHeight="251659264" behindDoc="0" locked="0" layoutInCell="1" allowOverlap="1" wp14:anchorId="0A91E651" wp14:editId="36231B1B">
              <wp:simplePos x="0" y="0"/>
              <wp:positionH relativeFrom="page">
                <wp:align>left</wp:align>
              </wp:positionH>
              <wp:positionV relativeFrom="paragraph">
                <wp:posOffset>-161290</wp:posOffset>
              </wp:positionV>
              <wp:extent cx="5732145" cy="748030"/>
              <wp:effectExtent l="0" t="0" r="0" b="0"/>
              <wp:wrapNone/>
              <wp:docPr id="5" name="Obraz 5"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76009C92" w14:textId="77F92C06" w:rsidR="004B7EC1" w:rsidRDefault="004B7E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64E7" w14:textId="77777777" w:rsidR="00B5465D" w:rsidRDefault="00B5465D" w:rsidP="004B7EC1">
      <w:r>
        <w:separator/>
      </w:r>
    </w:p>
  </w:footnote>
  <w:footnote w:type="continuationSeparator" w:id="0">
    <w:p w14:paraId="4E05D3D5" w14:textId="77777777" w:rsidR="00B5465D" w:rsidRDefault="00B5465D" w:rsidP="004B7EC1">
      <w:r>
        <w:continuationSeparator/>
      </w:r>
    </w:p>
  </w:footnote>
  <w:footnote w:id="1">
    <w:p w14:paraId="02068B39" w14:textId="546525D4" w:rsidR="004213B7" w:rsidRDefault="004213B7" w:rsidP="004213B7">
      <w:pPr>
        <w:pStyle w:val="Tekstprzypisudolnego"/>
      </w:pPr>
      <w:r>
        <w:rPr>
          <w:rStyle w:val="Odwoanieprzypisudolnego"/>
        </w:rPr>
        <w:footnoteRef/>
      </w:r>
      <w:r>
        <w:t xml:space="preserve"> </w:t>
      </w:r>
      <w:r>
        <w:rPr>
          <w:rFonts w:asciiTheme="minorHAnsi" w:hAnsiTheme="minorHAnsi" w:cstheme="minorHAnsi"/>
          <w:sz w:val="18"/>
          <w:szCs w:val="18"/>
        </w:rPr>
        <w:t>Barometr Obsługi Zobowiązań (BOZ)</w:t>
      </w:r>
      <w:r w:rsidRPr="004213B7">
        <w:rPr>
          <w:rFonts w:asciiTheme="minorHAnsi" w:hAnsiTheme="minorHAnsi" w:cstheme="minorHAnsi"/>
          <w:sz w:val="18"/>
          <w:szCs w:val="18"/>
        </w:rPr>
        <w:t xml:space="preserve"> jest wypadkową odpowiedzi na dwa pytania dotyczące obecnych i przyszłych problemów z obsługą wszelkich zobowiązań. Do jego wyliczenia brane są pod uwagę odsetki respondentów obsługujących swoje zobowiązania bezproblemowo. Przez zobowiązania rozumiemy regularne płatności (np. czynsz, opłaty za telefon, Internet, TV, energię, gaz, ogrzewanie, wodę, czesne, podatki, składki ZUS/NFZ itp.</w:t>
      </w:r>
      <w:r>
        <w:rPr>
          <w:rFonts w:asciiTheme="minorHAnsi" w:hAnsiTheme="minorHAnsi" w:cstheme="minorHAnsi"/>
          <w:sz w:val="18"/>
          <w:szCs w:val="18"/>
        </w:rPr>
        <w:t>)</w:t>
      </w:r>
      <w:r w:rsidRPr="004213B7">
        <w:rPr>
          <w:rFonts w:asciiTheme="minorHAnsi" w:hAnsiTheme="minorHAnsi" w:cstheme="minorHAnsi"/>
          <w:sz w:val="18"/>
          <w:szCs w:val="18"/>
        </w:rPr>
        <w:t xml:space="preserve"> oraz raty kredytów i pożyczek, raty leasingu.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4FF4" w14:textId="5D0FF786" w:rsidR="004B7EC1" w:rsidRDefault="004B7EC1" w:rsidP="004B7EC1">
    <w:pPr>
      <w:pStyle w:val="Nagwek"/>
    </w:pPr>
    <w:r>
      <w:t xml:space="preserve">                                                                                                 </w:t>
    </w:r>
    <w:r>
      <w:rPr>
        <w:rFonts w:asciiTheme="minorHAnsi" w:hAnsiTheme="minorHAnsi"/>
        <w:noProof/>
        <w:color w:val="1C2442"/>
      </w:rPr>
      <w:drawing>
        <wp:inline distT="0" distB="0" distL="0" distR="0" wp14:anchorId="3FB8530F" wp14:editId="10DF2EB8">
          <wp:extent cx="1962150" cy="4667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66725"/>
                  </a:xfrm>
                  <a:prstGeom prst="rect">
                    <a:avLst/>
                  </a:prstGeom>
                  <a:noFill/>
                  <a:ln>
                    <a:noFill/>
                  </a:ln>
                </pic:spPr>
              </pic:pic>
            </a:graphicData>
          </a:graphic>
        </wp:inline>
      </w:drawing>
    </w:r>
  </w:p>
  <w:p w14:paraId="39A2FB2A" w14:textId="77777777" w:rsidR="004B7EC1" w:rsidRDefault="004B7EC1" w:rsidP="004B7EC1"/>
  <w:p w14:paraId="632E26CC" w14:textId="77777777" w:rsidR="004B7EC1" w:rsidRDefault="004B7EC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C1"/>
    <w:rsid w:val="00102984"/>
    <w:rsid w:val="0010553F"/>
    <w:rsid w:val="001441D7"/>
    <w:rsid w:val="00171AB3"/>
    <w:rsid w:val="00175CE8"/>
    <w:rsid w:val="00192229"/>
    <w:rsid w:val="001957D0"/>
    <w:rsid w:val="001B232A"/>
    <w:rsid w:val="001D63D2"/>
    <w:rsid w:val="00201EC4"/>
    <w:rsid w:val="002168F3"/>
    <w:rsid w:val="00247B09"/>
    <w:rsid w:val="00250300"/>
    <w:rsid w:val="00263CA6"/>
    <w:rsid w:val="002912B6"/>
    <w:rsid w:val="002D3D0B"/>
    <w:rsid w:val="00314BB0"/>
    <w:rsid w:val="00346A3F"/>
    <w:rsid w:val="00367F2A"/>
    <w:rsid w:val="00396002"/>
    <w:rsid w:val="00396E6A"/>
    <w:rsid w:val="003B5DC2"/>
    <w:rsid w:val="004213B7"/>
    <w:rsid w:val="00442076"/>
    <w:rsid w:val="0048113A"/>
    <w:rsid w:val="004845E1"/>
    <w:rsid w:val="00486951"/>
    <w:rsid w:val="004A1A3F"/>
    <w:rsid w:val="004B5FBE"/>
    <w:rsid w:val="004B7EC1"/>
    <w:rsid w:val="004D1B65"/>
    <w:rsid w:val="0053383A"/>
    <w:rsid w:val="00576ABB"/>
    <w:rsid w:val="005B1EC9"/>
    <w:rsid w:val="005E12D1"/>
    <w:rsid w:val="005E6CF9"/>
    <w:rsid w:val="006261A7"/>
    <w:rsid w:val="00636770"/>
    <w:rsid w:val="00654345"/>
    <w:rsid w:val="006B6E1E"/>
    <w:rsid w:val="006C030E"/>
    <w:rsid w:val="006E6E07"/>
    <w:rsid w:val="006F22EB"/>
    <w:rsid w:val="0079424D"/>
    <w:rsid w:val="007B4C79"/>
    <w:rsid w:val="008232E0"/>
    <w:rsid w:val="0082725F"/>
    <w:rsid w:val="00850C45"/>
    <w:rsid w:val="00872847"/>
    <w:rsid w:val="008A7C10"/>
    <w:rsid w:val="008B2B7E"/>
    <w:rsid w:val="00980955"/>
    <w:rsid w:val="0099414E"/>
    <w:rsid w:val="00A4360E"/>
    <w:rsid w:val="00A80595"/>
    <w:rsid w:val="00AB7876"/>
    <w:rsid w:val="00AD0019"/>
    <w:rsid w:val="00B333BB"/>
    <w:rsid w:val="00B5465D"/>
    <w:rsid w:val="00B552EF"/>
    <w:rsid w:val="00B66F4A"/>
    <w:rsid w:val="00BB3A4D"/>
    <w:rsid w:val="00BE241F"/>
    <w:rsid w:val="00C023D8"/>
    <w:rsid w:val="00C30FEB"/>
    <w:rsid w:val="00C41F07"/>
    <w:rsid w:val="00C86B72"/>
    <w:rsid w:val="00C954EC"/>
    <w:rsid w:val="00D35D75"/>
    <w:rsid w:val="00D66746"/>
    <w:rsid w:val="00D82313"/>
    <w:rsid w:val="00D901DE"/>
    <w:rsid w:val="00D976AF"/>
    <w:rsid w:val="00E2486B"/>
    <w:rsid w:val="00EA7D62"/>
    <w:rsid w:val="00EA7FBC"/>
    <w:rsid w:val="00EB2779"/>
    <w:rsid w:val="00F01BB4"/>
    <w:rsid w:val="00F056F3"/>
    <w:rsid w:val="00F7728E"/>
    <w:rsid w:val="00F93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39C"/>
  <w15:chartTrackingRefBased/>
  <w15:docId w15:val="{60DE87DE-B197-46EA-A335-7642DDBD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EC1"/>
    <w:pPr>
      <w:spacing w:after="0" w:line="240" w:lineRule="auto"/>
    </w:pPr>
    <w:rPr>
      <w:rFonts w:ascii="Trebuchet MS" w:eastAsia="Times New Roman" w:hAnsi="Trebuchet MS" w:cs="Arial"/>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B7EC1"/>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4B7EC1"/>
    <w:rPr>
      <w:rFonts w:ascii="Times New Roman" w:eastAsia="MS Mincho" w:hAnsi="Times New Roman" w:cs="Times New Roman"/>
      <w:color w:val="auto"/>
      <w:lang w:eastAsia="ja-JP"/>
    </w:rPr>
  </w:style>
  <w:style w:type="character" w:customStyle="1" w:styleId="TekstprzypisudolnegoZnak">
    <w:name w:val="Tekst przypisu dolnego Znak"/>
    <w:basedOn w:val="Domylnaczcionkaakapitu"/>
    <w:link w:val="Tekstprzypisudolnego"/>
    <w:uiPriority w:val="99"/>
    <w:semiHidden/>
    <w:rsid w:val="004B7EC1"/>
    <w:rPr>
      <w:rFonts w:ascii="Times New Roman" w:eastAsia="MS Mincho" w:hAnsi="Times New Roman" w:cs="Times New Roman"/>
      <w:sz w:val="20"/>
      <w:szCs w:val="20"/>
      <w:lang w:eastAsia="ja-JP"/>
    </w:rPr>
  </w:style>
  <w:style w:type="character" w:styleId="Odwoanieprzypisudolnego">
    <w:name w:val="footnote reference"/>
    <w:uiPriority w:val="99"/>
    <w:semiHidden/>
    <w:unhideWhenUsed/>
    <w:rsid w:val="004B7EC1"/>
    <w:rPr>
      <w:vertAlign w:val="superscript"/>
    </w:rPr>
  </w:style>
  <w:style w:type="paragraph" w:styleId="Nagwek">
    <w:name w:val="header"/>
    <w:basedOn w:val="Normalny"/>
    <w:link w:val="NagwekZnak"/>
    <w:uiPriority w:val="99"/>
    <w:unhideWhenUsed/>
    <w:rsid w:val="004B7EC1"/>
    <w:pPr>
      <w:tabs>
        <w:tab w:val="center" w:pos="4536"/>
        <w:tab w:val="right" w:pos="9072"/>
      </w:tabs>
    </w:pPr>
  </w:style>
  <w:style w:type="character" w:customStyle="1" w:styleId="NagwekZnak">
    <w:name w:val="Nagłówek Znak"/>
    <w:basedOn w:val="Domylnaczcionkaakapitu"/>
    <w:link w:val="Nagwek"/>
    <w:uiPriority w:val="99"/>
    <w:rsid w:val="004B7EC1"/>
    <w:rPr>
      <w:rFonts w:ascii="Trebuchet MS" w:eastAsia="Times New Roman" w:hAnsi="Trebuchet MS" w:cs="Arial"/>
      <w:color w:val="000000"/>
      <w:sz w:val="20"/>
      <w:szCs w:val="20"/>
      <w:lang w:eastAsia="pl-PL"/>
    </w:rPr>
  </w:style>
  <w:style w:type="paragraph" w:styleId="Stopka">
    <w:name w:val="footer"/>
    <w:basedOn w:val="Normalny"/>
    <w:link w:val="StopkaZnak"/>
    <w:uiPriority w:val="99"/>
    <w:unhideWhenUsed/>
    <w:rsid w:val="004B7EC1"/>
    <w:pPr>
      <w:tabs>
        <w:tab w:val="center" w:pos="4536"/>
        <w:tab w:val="right" w:pos="9072"/>
      </w:tabs>
    </w:pPr>
  </w:style>
  <w:style w:type="character" w:customStyle="1" w:styleId="StopkaZnak">
    <w:name w:val="Stopka Znak"/>
    <w:basedOn w:val="Domylnaczcionkaakapitu"/>
    <w:link w:val="Stopka"/>
    <w:uiPriority w:val="99"/>
    <w:rsid w:val="004B7EC1"/>
    <w:rPr>
      <w:rFonts w:ascii="Trebuchet MS" w:eastAsia="Times New Roman" w:hAnsi="Trebuchet MS" w:cs="Arial"/>
      <w:color w:val="000000"/>
      <w:sz w:val="20"/>
      <w:szCs w:val="20"/>
      <w:lang w:eastAsia="pl-PL"/>
    </w:rPr>
  </w:style>
  <w:style w:type="paragraph" w:styleId="Poprawka">
    <w:name w:val="Revision"/>
    <w:hidden/>
    <w:uiPriority w:val="99"/>
    <w:semiHidden/>
    <w:rsid w:val="008232E0"/>
    <w:pPr>
      <w:spacing w:after="0" w:line="240" w:lineRule="auto"/>
    </w:pPr>
    <w:rPr>
      <w:rFonts w:ascii="Trebuchet MS" w:eastAsia="Times New Roman" w:hAnsi="Trebuchet MS" w:cs="Arial"/>
      <w:color w:val="000000"/>
      <w:sz w:val="20"/>
      <w:szCs w:val="20"/>
      <w:lang w:eastAsia="pl-PL"/>
    </w:rPr>
  </w:style>
  <w:style w:type="table" w:styleId="Tabela-Siatka">
    <w:name w:val="Table Grid"/>
    <w:basedOn w:val="Standardowy"/>
    <w:rsid w:val="00396E6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912B6"/>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912B6"/>
    <w:rPr>
      <w:rFonts w:ascii="Times New Roman" w:eastAsia="Times New Roman" w:hAnsi="Times New Roman" w:cs="Times New Roman"/>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086">
      <w:bodyDiv w:val="1"/>
      <w:marLeft w:val="0"/>
      <w:marRight w:val="0"/>
      <w:marTop w:val="0"/>
      <w:marBottom w:val="0"/>
      <w:divBdr>
        <w:top w:val="none" w:sz="0" w:space="0" w:color="auto"/>
        <w:left w:val="none" w:sz="0" w:space="0" w:color="auto"/>
        <w:bottom w:val="none" w:sz="0" w:space="0" w:color="auto"/>
        <w:right w:val="none" w:sz="0" w:space="0" w:color="auto"/>
      </w:divBdr>
    </w:div>
    <w:div w:id="14747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inkedin.com/company/zpf"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Kozioł</dc:creator>
  <cp:keywords/>
  <dc:description/>
  <cp:lastModifiedBy>Małgorzata Niemsowicz</cp:lastModifiedBy>
  <cp:revision>8</cp:revision>
  <dcterms:created xsi:type="dcterms:W3CDTF">2022-06-08T13:25:00Z</dcterms:created>
  <dcterms:modified xsi:type="dcterms:W3CDTF">2022-06-09T14:10:00Z</dcterms:modified>
</cp:coreProperties>
</file>