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3122" w14:textId="77777777" w:rsidR="004B7EC1" w:rsidRDefault="004B7EC1" w:rsidP="004B7EC1">
      <w:pPr>
        <w:spacing w:line="276" w:lineRule="auto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56FED6CB" w14:textId="77777777" w:rsidR="004B7EC1" w:rsidRDefault="004B7EC1" w:rsidP="004B7EC1">
      <w:pPr>
        <w:pBdr>
          <w:bottom w:val="single" w:sz="12" w:space="1" w:color="auto"/>
        </w:pBdr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98303E3" w14:textId="30011A43" w:rsidR="004B7EC1" w:rsidRDefault="004B7EC1" w:rsidP="004B7EC1">
      <w:pPr>
        <w:rPr>
          <w:rFonts w:asciiTheme="majorHAnsi" w:hAnsiTheme="majorHAnsi"/>
          <w:sz w:val="18"/>
          <w:szCs w:val="18"/>
          <w:lang w:val="lv-LV"/>
        </w:rPr>
      </w:pPr>
      <w:r>
        <w:rPr>
          <w:rFonts w:asciiTheme="majorHAnsi" w:hAnsiTheme="majorHAnsi"/>
          <w:sz w:val="18"/>
          <w:szCs w:val="18"/>
          <w:lang w:val="lv-LV"/>
        </w:rPr>
        <w:t>Gdańsk,</w:t>
      </w:r>
      <w:r w:rsidR="00981E70">
        <w:rPr>
          <w:rFonts w:asciiTheme="majorHAnsi" w:hAnsiTheme="majorHAnsi"/>
          <w:sz w:val="18"/>
          <w:szCs w:val="18"/>
          <w:lang w:val="lv-LV"/>
        </w:rPr>
        <w:t xml:space="preserve"> 27 maja </w:t>
      </w:r>
      <w:r>
        <w:rPr>
          <w:rFonts w:asciiTheme="majorHAnsi" w:hAnsiTheme="majorHAnsi"/>
          <w:sz w:val="18"/>
          <w:szCs w:val="18"/>
          <w:lang w:val="lv-LV"/>
        </w:rPr>
        <w:t>202</w:t>
      </w:r>
      <w:r w:rsidR="00B66F4A">
        <w:rPr>
          <w:rFonts w:asciiTheme="majorHAnsi" w:hAnsiTheme="majorHAnsi"/>
          <w:sz w:val="18"/>
          <w:szCs w:val="18"/>
          <w:lang w:val="lv-LV"/>
        </w:rPr>
        <w:t>2</w:t>
      </w:r>
      <w:r>
        <w:rPr>
          <w:rFonts w:asciiTheme="majorHAnsi" w:hAnsiTheme="majorHAnsi"/>
          <w:sz w:val="18"/>
          <w:szCs w:val="18"/>
          <w:lang w:val="lv-LV"/>
        </w:rPr>
        <w:t xml:space="preserve"> roku </w:t>
      </w:r>
    </w:p>
    <w:p w14:paraId="0238E2A7" w14:textId="77777777" w:rsidR="004B7EC1" w:rsidRDefault="004B7EC1" w:rsidP="004B7EC1">
      <w:pPr>
        <w:spacing w:after="120"/>
        <w:jc w:val="both"/>
        <w:rPr>
          <w:rFonts w:asciiTheme="majorHAnsi" w:hAnsiTheme="majorHAnsi"/>
          <w:b/>
          <w:color w:val="2F5496"/>
          <w:sz w:val="26"/>
          <w:szCs w:val="26"/>
        </w:rPr>
      </w:pPr>
    </w:p>
    <w:p w14:paraId="2ADACA86" w14:textId="0C067F67" w:rsidR="0081146A" w:rsidRDefault="007A4E29" w:rsidP="00B5052D">
      <w:pPr>
        <w:spacing w:after="120" w:line="276" w:lineRule="auto"/>
        <w:jc w:val="both"/>
        <w:rPr>
          <w:rFonts w:asciiTheme="majorHAnsi" w:hAnsiTheme="majorHAnsi" w:cstheme="minorHAnsi"/>
          <w:b/>
          <w:bCs/>
          <w:color w:val="264988"/>
          <w:sz w:val="24"/>
          <w:szCs w:val="24"/>
        </w:rPr>
      </w:pPr>
      <w:r w:rsidRPr="007A4E29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Barometr Rynku Consumer Finance </w:t>
      </w:r>
      <w:r w:rsidR="00D87BDC">
        <w:rPr>
          <w:rFonts w:asciiTheme="majorHAnsi" w:hAnsiTheme="majorHAnsi" w:cstheme="minorHAnsi"/>
          <w:b/>
          <w:bCs/>
          <w:color w:val="264988"/>
          <w:sz w:val="24"/>
          <w:szCs w:val="24"/>
        </w:rPr>
        <w:t>obniżył się</w:t>
      </w:r>
      <w:r w:rsidR="008F7DCA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 i </w:t>
      </w:r>
      <w:r w:rsidRPr="007A4E29">
        <w:rPr>
          <w:rFonts w:asciiTheme="majorHAnsi" w:hAnsiTheme="majorHAnsi" w:cstheme="minorHAnsi"/>
          <w:b/>
          <w:bCs/>
          <w:color w:val="264988"/>
          <w:sz w:val="24"/>
          <w:szCs w:val="24"/>
        </w:rPr>
        <w:t>pozostaje na niskim poziomie, poniżej długookresowej średniej, jego wartość jest bliska dna z okresu kryzysu pandemicznego.</w:t>
      </w:r>
    </w:p>
    <w:p w14:paraId="3CA36C7F" w14:textId="77777777" w:rsidR="0081146A" w:rsidRDefault="0081146A" w:rsidP="00B5052D">
      <w:pPr>
        <w:spacing w:after="120" w:line="276" w:lineRule="auto"/>
        <w:jc w:val="both"/>
        <w:rPr>
          <w:rFonts w:asciiTheme="majorHAnsi" w:hAnsiTheme="majorHAnsi" w:cstheme="minorHAnsi"/>
          <w:b/>
          <w:bCs/>
          <w:color w:val="264988"/>
          <w:sz w:val="24"/>
          <w:szCs w:val="24"/>
        </w:rPr>
      </w:pPr>
    </w:p>
    <w:p w14:paraId="3FF47261" w14:textId="0A8509D1" w:rsidR="008F520B" w:rsidRDefault="008F520B" w:rsidP="00B5052D">
      <w:pPr>
        <w:spacing w:after="120" w:line="276" w:lineRule="auto"/>
        <w:jc w:val="both"/>
        <w:rPr>
          <w:rFonts w:asciiTheme="majorHAnsi" w:hAnsiTheme="majorHAnsi" w:cstheme="minorHAnsi"/>
          <w:b/>
          <w:bCs/>
          <w:color w:val="264988"/>
          <w:sz w:val="24"/>
          <w:szCs w:val="24"/>
        </w:rPr>
      </w:pPr>
      <w:r w:rsidRPr="008F520B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Wartość Barometru Consumer Finance spadła do </w:t>
      </w:r>
      <w:r>
        <w:rPr>
          <w:rFonts w:asciiTheme="majorHAnsi" w:hAnsiTheme="majorHAnsi" w:cstheme="minorHAnsi"/>
          <w:b/>
          <w:bCs/>
          <w:color w:val="264988"/>
          <w:sz w:val="24"/>
          <w:szCs w:val="24"/>
        </w:rPr>
        <w:t>89,1</w:t>
      </w:r>
      <w:r w:rsidRPr="008F520B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 pkt</w:t>
      </w:r>
      <w:r>
        <w:rPr>
          <w:rFonts w:asciiTheme="majorHAnsi" w:hAnsiTheme="majorHAnsi" w:cstheme="minorHAnsi"/>
          <w:b/>
          <w:bCs/>
          <w:color w:val="264988"/>
          <w:sz w:val="24"/>
          <w:szCs w:val="24"/>
        </w:rPr>
        <w:t>.</w:t>
      </w:r>
      <w:r w:rsidRPr="008F520B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 w II</w:t>
      </w:r>
      <w:r>
        <w:rPr>
          <w:rFonts w:asciiTheme="majorHAnsi" w:hAnsiTheme="majorHAnsi" w:cstheme="minorHAnsi"/>
          <w:b/>
          <w:bCs/>
          <w:color w:val="264988"/>
          <w:sz w:val="24"/>
          <w:szCs w:val="24"/>
        </w:rPr>
        <w:t>I</w:t>
      </w:r>
      <w:r w:rsidRPr="008F520B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 kw</w:t>
      </w:r>
      <w:r>
        <w:rPr>
          <w:rFonts w:asciiTheme="majorHAnsi" w:hAnsiTheme="majorHAnsi" w:cstheme="minorHAnsi"/>
          <w:b/>
          <w:bCs/>
          <w:color w:val="264988"/>
          <w:sz w:val="24"/>
          <w:szCs w:val="24"/>
        </w:rPr>
        <w:t>artale</w:t>
      </w:r>
      <w:r w:rsidRPr="008F520B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 br. Aktualny odczyt jest niższy o </w:t>
      </w:r>
      <w:r w:rsidR="001530EE">
        <w:rPr>
          <w:rFonts w:asciiTheme="majorHAnsi" w:hAnsiTheme="majorHAnsi" w:cstheme="minorHAnsi"/>
          <w:b/>
          <w:bCs/>
          <w:color w:val="264988"/>
          <w:sz w:val="24"/>
          <w:szCs w:val="24"/>
        </w:rPr>
        <w:t>3,9</w:t>
      </w:r>
      <w:r w:rsidRPr="008F520B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 pkt niż ten zanotowany przed </w:t>
      </w:r>
      <w:r w:rsidR="001530EE">
        <w:rPr>
          <w:rFonts w:asciiTheme="majorHAnsi" w:hAnsiTheme="majorHAnsi" w:cstheme="minorHAnsi"/>
          <w:b/>
          <w:bCs/>
          <w:color w:val="264988"/>
          <w:sz w:val="24"/>
          <w:szCs w:val="24"/>
        </w:rPr>
        <w:t>kwartałem</w:t>
      </w:r>
      <w:r w:rsidRPr="008F520B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, wynika z </w:t>
      </w:r>
      <w:r w:rsidR="00F152DD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badania </w:t>
      </w:r>
      <w:r w:rsidR="00C85D72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sytuacji na </w:t>
      </w:r>
      <w:r w:rsidR="00F152DD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rynku consumer finance </w:t>
      </w:r>
      <w:r w:rsidR="00916E92">
        <w:rPr>
          <w:rFonts w:asciiTheme="majorHAnsi" w:hAnsiTheme="majorHAnsi" w:cstheme="minorHAnsi"/>
          <w:b/>
          <w:bCs/>
          <w:color w:val="264988"/>
          <w:sz w:val="24"/>
          <w:szCs w:val="24"/>
        </w:rPr>
        <w:t xml:space="preserve">Związku Przedsiębiorstw Finansowych w Polsce </w:t>
      </w:r>
      <w:r w:rsidRPr="008F520B">
        <w:rPr>
          <w:rFonts w:asciiTheme="majorHAnsi" w:hAnsiTheme="majorHAnsi" w:cstheme="minorHAnsi"/>
          <w:b/>
          <w:bCs/>
          <w:color w:val="264988"/>
          <w:sz w:val="24"/>
          <w:szCs w:val="24"/>
        </w:rPr>
        <w:t>(</w:t>
      </w:r>
      <w:r w:rsidR="00F152DD">
        <w:rPr>
          <w:rFonts w:asciiTheme="majorHAnsi" w:hAnsiTheme="majorHAnsi" w:cstheme="minorHAnsi"/>
          <w:b/>
          <w:bCs/>
          <w:color w:val="264988"/>
          <w:sz w:val="24"/>
          <w:szCs w:val="24"/>
        </w:rPr>
        <w:t>Z</w:t>
      </w:r>
      <w:r w:rsidRPr="008F520B">
        <w:rPr>
          <w:rFonts w:asciiTheme="majorHAnsi" w:hAnsiTheme="majorHAnsi" w:cstheme="minorHAnsi"/>
          <w:b/>
          <w:bCs/>
          <w:color w:val="264988"/>
          <w:sz w:val="24"/>
          <w:szCs w:val="24"/>
        </w:rPr>
        <w:t>PF) i Instytutu Rozwoju Gospodarczego Szkoły Głównej Handlowej (IRG SGH). Kierunek wskazań BRCF, pomimo poprawy zanotowanej w poprzednim badaniu, może oznaczać spowolnienie dynamiki akcji kredytowej w okresie kilkunastu kolejnych miesięcy.</w:t>
      </w:r>
    </w:p>
    <w:p w14:paraId="120B77D6" w14:textId="78993602" w:rsidR="003730A1" w:rsidRDefault="003730A1" w:rsidP="00B5052D">
      <w:pPr>
        <w:spacing w:after="120" w:line="276" w:lineRule="auto"/>
        <w:jc w:val="both"/>
        <w:rPr>
          <w:rFonts w:asciiTheme="majorHAnsi" w:hAnsiTheme="majorHAnsi" w:cstheme="minorHAnsi"/>
          <w:iCs/>
          <w:spacing w:val="-4"/>
          <w:sz w:val="22"/>
          <w:szCs w:val="22"/>
        </w:rPr>
      </w:pPr>
      <w:r>
        <w:rPr>
          <w:rFonts w:asciiTheme="majorHAnsi" w:hAnsiTheme="majorHAnsi" w:cstheme="minorHAnsi"/>
          <w:iCs/>
          <w:spacing w:val="-4"/>
          <w:sz w:val="22"/>
          <w:szCs w:val="22"/>
        </w:rPr>
        <w:t>Wartość</w:t>
      </w:r>
      <w:r w:rsidRPr="003730A1">
        <w:rPr>
          <w:rFonts w:asciiTheme="majorHAnsi" w:hAnsiTheme="majorHAnsi" w:cstheme="minorHAnsi"/>
          <w:iCs/>
          <w:spacing w:val="-4"/>
          <w:sz w:val="22"/>
          <w:szCs w:val="22"/>
        </w:rPr>
        <w:t xml:space="preserve"> Barometru Rynku Consumer Finance (BRCF) </w:t>
      </w:r>
      <w:r>
        <w:rPr>
          <w:rFonts w:asciiTheme="majorHAnsi" w:hAnsiTheme="majorHAnsi" w:cstheme="minorHAnsi"/>
          <w:iCs/>
          <w:spacing w:val="-4"/>
          <w:sz w:val="22"/>
          <w:szCs w:val="22"/>
        </w:rPr>
        <w:t xml:space="preserve">jest już tylko </w:t>
      </w:r>
      <w:r w:rsidRPr="003730A1">
        <w:rPr>
          <w:rFonts w:asciiTheme="majorHAnsi" w:hAnsiTheme="majorHAnsi" w:cstheme="minorHAnsi"/>
          <w:iCs/>
          <w:spacing w:val="-4"/>
          <w:sz w:val="22"/>
          <w:szCs w:val="22"/>
        </w:rPr>
        <w:t xml:space="preserve">1,5 pkt. powyżej dna z okresu </w:t>
      </w:r>
      <w:r w:rsidR="00D87BDC" w:rsidRPr="003730A1">
        <w:rPr>
          <w:rFonts w:asciiTheme="majorHAnsi" w:hAnsiTheme="majorHAnsi" w:cstheme="minorHAnsi"/>
          <w:iCs/>
          <w:spacing w:val="-4"/>
          <w:sz w:val="22"/>
          <w:szCs w:val="22"/>
        </w:rPr>
        <w:t xml:space="preserve">pandemii </w:t>
      </w:r>
      <w:r w:rsidR="00D87BDC">
        <w:rPr>
          <w:rFonts w:asciiTheme="majorHAnsi" w:hAnsiTheme="majorHAnsi" w:cstheme="minorHAnsi"/>
          <w:iCs/>
          <w:spacing w:val="-4"/>
          <w:sz w:val="22"/>
          <w:szCs w:val="22"/>
        </w:rPr>
        <w:t>COVID</w:t>
      </w:r>
      <w:r w:rsidRPr="003730A1">
        <w:rPr>
          <w:rFonts w:asciiTheme="majorHAnsi" w:hAnsiTheme="majorHAnsi" w:cstheme="minorHAnsi"/>
          <w:iCs/>
          <w:spacing w:val="-4"/>
          <w:sz w:val="22"/>
          <w:szCs w:val="22"/>
        </w:rPr>
        <w:t>-19 i tylko o 4,7 pkt więcej od historycznego minimum, odnotowanego 10 lat temu (84,4 pkt.). Koniunktura na rynku consumer finance jest bardzo zła i jest w trendzie spadkowym.</w:t>
      </w:r>
    </w:p>
    <w:p w14:paraId="0DB0F0A5" w14:textId="77777777" w:rsidR="003730A1" w:rsidRPr="00DB3540" w:rsidRDefault="003730A1" w:rsidP="00205BC9">
      <w:pPr>
        <w:spacing w:after="120" w:line="276" w:lineRule="auto"/>
        <w:rPr>
          <w:rFonts w:asciiTheme="majorHAnsi" w:hAnsiTheme="majorHAnsi" w:cstheme="minorHAnsi"/>
          <w:iCs/>
          <w:spacing w:val="-4"/>
          <w:sz w:val="22"/>
          <w:szCs w:val="22"/>
        </w:rPr>
      </w:pPr>
    </w:p>
    <w:p w14:paraId="5E31319A" w14:textId="1E704FD7" w:rsidR="00205BC9" w:rsidRDefault="00D56B25" w:rsidP="00205BC9">
      <w:pPr>
        <w:spacing w:after="120" w:line="276" w:lineRule="auto"/>
        <w:rPr>
          <w:rFonts w:asciiTheme="majorHAnsi" w:hAnsiTheme="majorHAnsi" w:cstheme="minorHAnsi"/>
          <w:iCs/>
          <w:spacing w:val="-2"/>
          <w:sz w:val="22"/>
          <w:szCs w:val="22"/>
        </w:rPr>
      </w:pPr>
      <w:r>
        <w:rPr>
          <w:rFonts w:asciiTheme="majorHAnsi" w:hAnsiTheme="majorHAnsi" w:cstheme="minorHAnsi"/>
          <w:iCs/>
          <w:noProof/>
          <w:spacing w:val="-2"/>
          <w:sz w:val="22"/>
          <w:szCs w:val="22"/>
        </w:rPr>
        <w:drawing>
          <wp:inline distT="0" distB="0" distL="0" distR="0" wp14:anchorId="55B3A433" wp14:editId="0E55A110">
            <wp:extent cx="5662797" cy="297611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248" cy="298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DF4D" w14:textId="6904175F" w:rsidR="00764571" w:rsidRDefault="0041507D" w:rsidP="0041507D">
      <w:pPr>
        <w:spacing w:after="120" w:line="276" w:lineRule="auto"/>
        <w:jc w:val="both"/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</w:pP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Pogorszyły się wskazania we wszystkich czterech obszarach składowych </w:t>
      </w:r>
      <w:r w:rsidR="00764571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BRCF.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Kolejny raz zanotowano bardzo pesymistyczne oceny ogólnej sytuacji gospodarczej. </w:t>
      </w:r>
      <w:r w:rsidR="00CA03D5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Około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75% gospodarstw domowych </w:t>
      </w:r>
      <w:r w:rsidR="00D87BDC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spodziewa się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pogorszenia ogólnej sytuacji ekonomicznej Polski w następnych 12 miesiącach</w:t>
      </w:r>
      <w:r w:rsidR="00CA03D5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– to prawie tyle </w:t>
      </w:r>
      <w:r w:rsidR="007C4890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co</w:t>
      </w:r>
      <w:r w:rsidR="007C4890"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w szczycie pandemii </w:t>
      </w:r>
      <w:r w:rsidR="007C4890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(</w:t>
      </w:r>
      <w:r w:rsidR="007C4890"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80%</w:t>
      </w:r>
      <w:r w:rsidR="007C4890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)</w:t>
      </w:r>
      <w:r w:rsidR="00D87BDC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.</w:t>
      </w:r>
      <w:r w:rsidR="007C4890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</w:t>
      </w:r>
      <w:r w:rsidR="00D87BDC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Dla porównania </w:t>
      </w:r>
      <w:r w:rsidR="007C4890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jeszcze p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rzed kwartałem było to 72%, </w:t>
      </w:r>
      <w:r w:rsidR="007C4890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a 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przed rokiem tylko 51%</w:t>
      </w:r>
      <w:r w:rsidR="007C4890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.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</w:t>
      </w:r>
      <w:r w:rsidR="007C4890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Wzrosły też obawy przed bezrobociem. Około 60% respondentów </w:t>
      </w:r>
      <w:r w:rsidR="006060C7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prognozuje zwiększenie</w:t>
      </w:r>
      <w:r w:rsidR="007C4890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poziomu bezrobocia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, poprzednio było to 55%, a przed rokiem 51%. </w:t>
      </w:r>
    </w:p>
    <w:p w14:paraId="72EFCF80" w14:textId="48C54AAB" w:rsidR="0041507D" w:rsidRPr="0041507D" w:rsidRDefault="0041507D" w:rsidP="0041507D">
      <w:pPr>
        <w:spacing w:after="120" w:line="276" w:lineRule="auto"/>
        <w:jc w:val="both"/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</w:pP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lastRenderedPageBreak/>
        <w:t>Mimo pesymistycznych ocen całej gospodarki</w:t>
      </w:r>
      <w:r w:rsidR="00D87BDC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,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gospodarstwa domowe lepiej oceniają zbilansowanie swojego własnego budżetu w bieżącym kwartale. Około 5</w:t>
      </w:r>
      <w:r w:rsidR="008570EA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1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% respondentów deklaruje, że ma nadwyżkę</w:t>
      </w:r>
      <w:r w:rsidR="006C32AA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finansową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i jest w stanie oszczędzać z bieżących dochodów (poprzednio 47%, przed rokiem 56%). </w:t>
      </w:r>
      <w:r w:rsidR="00676C23"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Jednak,</w:t>
      </w:r>
      <w:r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jeżeli chodzi o prognozy sytuacji finansowej gospodarstwa domowego, to czwarty raz z rzędu przybyło prognozujących pogorszenie. Jest ich obecnie około 62%, wobec 54% poprzednio i 33% przed rokiem. </w:t>
      </w:r>
      <w:r w:rsidR="006C32AA">
        <w:rPr>
          <w:rStyle w:val="cf01"/>
          <w:rFonts w:eastAsia="MS Mincho"/>
        </w:rPr>
        <w:t>Mniejszy odsetek respondentów oczekuje też bezproblemowej obsługi zobowiązań (47%), przed kwartałem odsetek ten wynosił około 52%, a przed rokiem 56%.</w:t>
      </w:r>
    </w:p>
    <w:p w14:paraId="4FFE2352" w14:textId="667C6FB0" w:rsidR="00EA5492" w:rsidRPr="0041507D" w:rsidRDefault="00EA5492" w:rsidP="00EA5492">
      <w:pPr>
        <w:spacing w:after="120" w:line="276" w:lineRule="auto"/>
        <w:jc w:val="both"/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</w:pPr>
      <w:r w:rsidRPr="00805905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>Oceny otoczenia makroekonomicznego negatywnie oddziałują na rynek consumer finance i działają w kierunku spadku wartości BRCF</w:t>
      </w:r>
      <w:r w:rsidRPr="00EA5492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>. Łącznie obszar sytuacji finansowej i zdolności kredytowej wpłynął w kierunku pogorszenia barometru w bieżącym badaniu, a oceny w tym zakresie są pesymistyczne w porównaniu do sytuacji sprzed roku i sprzed pandemii</w:t>
      </w:r>
      <w:r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 </w:t>
      </w:r>
      <w:r w:rsidRPr="00DB3540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– komentuje dr Sławomir Dudek, IRG SGH.</w:t>
      </w:r>
    </w:p>
    <w:p w14:paraId="7425B209" w14:textId="105FD46E" w:rsidR="0041507D" w:rsidRPr="0041507D" w:rsidRDefault="0005497B" w:rsidP="0041507D">
      <w:pPr>
        <w:spacing w:after="120" w:line="276" w:lineRule="auto"/>
        <w:jc w:val="both"/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</w:pPr>
      <w:r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P</w:t>
      </w:r>
      <w:r w:rsidR="00AD2FAB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ogorszy</w:t>
      </w:r>
      <w:r w:rsidR="00675574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ła się </w:t>
      </w:r>
      <w:r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 xml:space="preserve">również </w:t>
      </w:r>
      <w:r w:rsidR="0041507D" w:rsidRPr="0041507D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składowa barometru związana z poważnymi wydatkami finansowanymi z kredytu. Zmniejszyło się prawdopodobieństwo wydatków na dobra trwałe, zakup samochodu, remont i zakup mieszkania. Spadła też skłonność do korzystania z kredytu, z wyjątkiem wydatków na zakup samochodu.</w:t>
      </w:r>
    </w:p>
    <w:p w14:paraId="5AB4C555" w14:textId="7BCC4F63" w:rsidR="0015078F" w:rsidRPr="003C0EA8" w:rsidRDefault="0055768E" w:rsidP="0015078F">
      <w:pPr>
        <w:spacing w:after="120" w:line="276" w:lineRule="auto"/>
        <w:jc w:val="both"/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</w:pPr>
      <w:r w:rsidRPr="0015078F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>N</w:t>
      </w:r>
      <w:r w:rsidR="0041507D" w:rsidRPr="0015078F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>astroje konsumentów na rynku consumer finance są w silnym trendzie spadkowym. Perspektywy też nie są optymistyczne.</w:t>
      </w:r>
      <w:r w:rsidR="00584B74" w:rsidRPr="0015078F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 xml:space="preserve"> </w:t>
      </w:r>
      <w:r w:rsidR="00537918" w:rsidRPr="0015078F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 xml:space="preserve">Obserwujemy spadek skłonności </w:t>
      </w:r>
      <w:r w:rsidR="00584B74" w:rsidRPr="0015078F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>do wydatków</w:t>
      </w:r>
      <w:r w:rsidR="00537918" w:rsidRPr="0015078F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 xml:space="preserve"> oraz </w:t>
      </w:r>
      <w:r w:rsidR="00301909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 xml:space="preserve">niższy </w:t>
      </w:r>
      <w:r w:rsidR="00584B74" w:rsidRPr="0015078F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>popyt na kredyty</w:t>
      </w:r>
      <w:r w:rsidR="00BB5795" w:rsidRPr="0015078F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 xml:space="preserve">. Wysoka inflacja </w:t>
      </w:r>
      <w:r w:rsidR="00D37102" w:rsidRPr="0015078F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 xml:space="preserve">oraz niski wzrost </w:t>
      </w:r>
      <w:r w:rsidR="00833D0B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>gospodarczy</w:t>
      </w:r>
      <w:r w:rsidR="00D37102" w:rsidRPr="0015078F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 xml:space="preserve"> </w:t>
      </w:r>
      <w:r w:rsidR="00A93E74" w:rsidRPr="0015078F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 xml:space="preserve">mogą </w:t>
      </w:r>
      <w:r w:rsidR="00A93E74" w:rsidRPr="00012CBB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>doprowadzić do stagflacji w Polsce</w:t>
      </w:r>
      <w:r w:rsidR="00AF5C29" w:rsidRPr="00012CBB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 xml:space="preserve">, </w:t>
      </w:r>
      <w:r w:rsidR="00012CBB" w:rsidRPr="00012CBB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>co</w:t>
      </w:r>
      <w:r w:rsidR="0015078F" w:rsidRPr="00012CBB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 xml:space="preserve"> </w:t>
      </w:r>
      <w:r w:rsidR="00727773">
        <w:rPr>
          <w:rFonts w:asciiTheme="majorHAnsi" w:hAnsiTheme="majorHAnsi" w:cstheme="minorHAnsi"/>
          <w:i/>
          <w:color w:val="auto"/>
          <w:spacing w:val="-2"/>
          <w:sz w:val="22"/>
          <w:szCs w:val="22"/>
        </w:rPr>
        <w:t xml:space="preserve">może być jeszcze bardziej niekorzystną sytuacją niż obecna </w:t>
      </w:r>
      <w:r w:rsidR="0015078F" w:rsidRPr="003C0EA8"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  <w:t>– ocenia Marcin Czugan, Prezes Związku Przedsiębiorstw Finansowych.</w:t>
      </w:r>
    </w:p>
    <w:p w14:paraId="465DDC7B" w14:textId="64033F18" w:rsidR="00584B74" w:rsidRDefault="00584B74" w:rsidP="0041507D">
      <w:pPr>
        <w:spacing w:after="120" w:line="276" w:lineRule="auto"/>
        <w:jc w:val="both"/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</w:pPr>
    </w:p>
    <w:p w14:paraId="48D5EFA7" w14:textId="77777777" w:rsidR="00584B74" w:rsidRDefault="00584B74" w:rsidP="0041507D">
      <w:pPr>
        <w:spacing w:after="120" w:line="276" w:lineRule="auto"/>
        <w:jc w:val="both"/>
        <w:rPr>
          <w:rFonts w:asciiTheme="majorHAnsi" w:hAnsiTheme="majorHAnsi" w:cstheme="minorHAnsi"/>
          <w:iCs/>
          <w:color w:val="auto"/>
          <w:spacing w:val="-2"/>
          <w:sz w:val="22"/>
          <w:szCs w:val="22"/>
        </w:rPr>
      </w:pPr>
    </w:p>
    <w:p w14:paraId="0634B04E" w14:textId="77777777" w:rsidR="004B7EC1" w:rsidRDefault="004B7EC1" w:rsidP="004B7EC1">
      <w:pPr>
        <w:pBdr>
          <w:bottom w:val="single" w:sz="4" w:space="1" w:color="7F7F7F"/>
        </w:pBdr>
        <w:rPr>
          <w:rStyle w:val="Hipercze"/>
          <w:rFonts w:ascii="Trebuchet MS" w:hAnsi="Trebuchet MS"/>
          <w:sz w:val="18"/>
          <w:szCs w:val="18"/>
        </w:rPr>
      </w:pPr>
    </w:p>
    <w:p w14:paraId="2E5C5A7B" w14:textId="77777777" w:rsidR="004B7EC1" w:rsidRDefault="004B7EC1" w:rsidP="004B7EC1">
      <w:pPr>
        <w:spacing w:after="120" w:line="276" w:lineRule="auto"/>
        <w:jc w:val="both"/>
        <w:rPr>
          <w:rFonts w:cstheme="minorHAnsi"/>
          <w:color w:val="444444"/>
          <w:shd w:val="clear" w:color="auto" w:fill="FFFFFF"/>
        </w:rPr>
      </w:pPr>
    </w:p>
    <w:p w14:paraId="2807F8BA" w14:textId="648DB448" w:rsidR="004B7EC1" w:rsidRDefault="004B7EC1" w:rsidP="004B7EC1">
      <w:pPr>
        <w:spacing w:before="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color w:val="005791"/>
          <w:sz w:val="18"/>
          <w:szCs w:val="18"/>
        </w:rPr>
        <w:t>Związek Przedsiębiorstw Finansowych w Polsce</w:t>
      </w:r>
      <w:r>
        <w:rPr>
          <w:rFonts w:asciiTheme="majorHAnsi" w:hAnsiTheme="majorHAnsi"/>
          <w:sz w:val="18"/>
          <w:szCs w:val="18"/>
        </w:rPr>
        <w:t xml:space="preserve"> (wcześniejsza nazwa Konferencja Przedsiębiorstw Finansowych w Polsce) powstał 27 października 1999 roku i obecnie skupia </w:t>
      </w:r>
      <w:r w:rsidR="00980955">
        <w:rPr>
          <w:rFonts w:asciiTheme="majorHAnsi" w:hAnsiTheme="majorHAnsi"/>
          <w:sz w:val="18"/>
          <w:szCs w:val="18"/>
        </w:rPr>
        <w:t xml:space="preserve">około stu </w:t>
      </w:r>
      <w:r>
        <w:rPr>
          <w:rFonts w:asciiTheme="majorHAnsi" w:hAnsiTheme="majorHAnsi"/>
          <w:sz w:val="18"/>
          <w:szCs w:val="18"/>
        </w:rPr>
        <w:t xml:space="preserve">kluczowych przedsiębiorstw z rynku finansowego w Polsce, w tym banki, doradców i pośredników finansowych, instytucje pożyczkowe, zarządzające informacją gospodarczą, zarządzające wierzytelnościami, sprzedające produkty tzw. odwróconej hipoteki oraz przedsiębiorstwa z branży ubezpieczeniowej. ZPF posiada bogaty dorobek samorządowy jako partner społeczny w procesie legislacyjnym, polskim i europejskim. Organizacja jest Członkiem Rady Rozwoju Rynku Finansowego, powołanej do życia przez Ministra Finansów Rzeczypospolitej Polskiej oraz Członkiem EUROFINAS - European Federation of Finance House Associations, zrzeszającej </w:t>
      </w:r>
      <w:r w:rsidR="00980955">
        <w:rPr>
          <w:rFonts w:asciiTheme="majorHAnsi" w:hAnsiTheme="majorHAnsi"/>
          <w:sz w:val="18"/>
          <w:szCs w:val="18"/>
        </w:rPr>
        <w:t xml:space="preserve">szesnaście </w:t>
      </w:r>
      <w:r>
        <w:rPr>
          <w:rFonts w:asciiTheme="majorHAnsi" w:hAnsiTheme="majorHAnsi"/>
          <w:sz w:val="18"/>
          <w:szCs w:val="18"/>
        </w:rPr>
        <w:t>organizacji z krajów europejskich, reprezentujących bardzo poważną część europejskiego rynku kredytowego i ponad 1 200 instytucji finansowych. ZPF ma w swoim dorobku badawczym już kilkaset raportów, koncentrując się merytorycznie na obszarze kredytu</w:t>
      </w:r>
      <w:r>
        <w:rPr>
          <w:rFonts w:asciiTheme="majorHAnsi" w:hAnsiTheme="majorHAnsi"/>
          <w:b/>
          <w:color w:val="000090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jest także organizatorem kongresów i szkoleń oraz inicjatyw dla branży finansowej.</w:t>
      </w:r>
    </w:p>
    <w:p w14:paraId="54DDBB74" w14:textId="77777777" w:rsidR="004B7EC1" w:rsidRDefault="004B7EC1" w:rsidP="004B7EC1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35B9F" wp14:editId="486EDE3E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D40B5" w14:textId="77777777" w:rsidR="004B7EC1" w:rsidRDefault="00000000" w:rsidP="004B7EC1">
      <w:pPr>
        <w:spacing w:before="60"/>
        <w:jc w:val="both"/>
        <w:rPr>
          <w:rStyle w:val="Hipercze"/>
          <w:rFonts w:ascii="Trebuchet MS" w:hAnsi="Trebuchet MS"/>
        </w:rPr>
      </w:pPr>
      <w:hyperlink r:id="rId9" w:history="1">
        <w:r w:rsidR="004B7EC1">
          <w:rPr>
            <w:rStyle w:val="Hipercze"/>
            <w:b/>
            <w:sz w:val="16"/>
            <w:szCs w:val="18"/>
          </w:rPr>
          <w:t>http://www.linkedin.com/company/zpf</w:t>
        </w:r>
      </w:hyperlink>
    </w:p>
    <w:p w14:paraId="4F584B5A" w14:textId="77777777" w:rsidR="004B7EC1" w:rsidRDefault="004B7EC1"/>
    <w:sectPr w:rsidR="004B7E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497C" w14:textId="77777777" w:rsidR="00C40AAD" w:rsidRDefault="00C40AAD" w:rsidP="004B7EC1">
      <w:r>
        <w:separator/>
      </w:r>
    </w:p>
  </w:endnote>
  <w:endnote w:type="continuationSeparator" w:id="0">
    <w:p w14:paraId="7C427436" w14:textId="77777777" w:rsidR="00C40AAD" w:rsidRDefault="00C40AAD" w:rsidP="004B7EC1">
      <w:r>
        <w:continuationSeparator/>
      </w:r>
    </w:p>
  </w:endnote>
  <w:endnote w:type="continuationNotice" w:id="1">
    <w:p w14:paraId="3CA0F52D" w14:textId="77777777" w:rsidR="00C40AAD" w:rsidRDefault="00C40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362887"/>
      <w:docPartObj>
        <w:docPartGallery w:val="Page Numbers (Bottom of Page)"/>
        <w:docPartUnique/>
      </w:docPartObj>
    </w:sdtPr>
    <w:sdtContent>
      <w:p w14:paraId="06EB70C0" w14:textId="77777777" w:rsidR="004B7EC1" w:rsidRDefault="004B7EC1">
        <w:pPr>
          <w:pStyle w:val="Stopka"/>
          <w:jc w:val="right"/>
        </w:pPr>
        <w:r w:rsidRPr="004027A1">
          <w:rPr>
            <w:rFonts w:asciiTheme="majorHAnsi" w:hAnsiTheme="majorHAnsi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1F0BA17A" wp14:editId="1C3E85E9">
              <wp:simplePos x="0" y="0"/>
              <wp:positionH relativeFrom="page">
                <wp:align>left</wp:align>
              </wp:positionH>
              <wp:positionV relativeFrom="paragraph">
                <wp:posOffset>-161290</wp:posOffset>
              </wp:positionV>
              <wp:extent cx="5732145" cy="748030"/>
              <wp:effectExtent l="0" t="0" r="0" b="0"/>
              <wp:wrapNone/>
              <wp:docPr id="5" name="Obraz 5" descr="D:\Dokumenty KPF\GRAFIKA\_ZPF_Identyfikacja wizualna\ZPF_DOKUMENTY\ZPF_stopka-bez-eur-25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Dokumenty KPF\GRAFIKA\_ZPF_Identyfikacja wizualna\ZPF_DOKUMENTY\ZPF_stopka-bez-eur-25.wm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42" t="-3" r="30226" b="3160"/>
                      <a:stretch/>
                    </pic:blipFill>
                    <pic:spPr bwMode="auto">
                      <a:xfrm>
                        <a:off x="0" y="0"/>
                        <a:ext cx="573214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512C87" w14:textId="77777777" w:rsidR="004B7EC1" w:rsidRDefault="004B7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0EA6" w14:textId="77777777" w:rsidR="00C40AAD" w:rsidRDefault="00C40AAD" w:rsidP="004B7EC1">
      <w:r>
        <w:separator/>
      </w:r>
    </w:p>
  </w:footnote>
  <w:footnote w:type="continuationSeparator" w:id="0">
    <w:p w14:paraId="00662614" w14:textId="77777777" w:rsidR="00C40AAD" w:rsidRDefault="00C40AAD" w:rsidP="004B7EC1">
      <w:r>
        <w:continuationSeparator/>
      </w:r>
    </w:p>
  </w:footnote>
  <w:footnote w:type="continuationNotice" w:id="1">
    <w:p w14:paraId="56EFBD30" w14:textId="77777777" w:rsidR="00C40AAD" w:rsidRDefault="00C40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48CC" w14:textId="418C4CB5" w:rsidR="004B7EC1" w:rsidRDefault="004B7EC1" w:rsidP="00330781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58E422BA" wp14:editId="43153128">
          <wp:extent cx="196215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76E0A" w14:textId="77777777" w:rsidR="004B7EC1" w:rsidRDefault="004B7EC1" w:rsidP="004B7EC1"/>
  <w:p w14:paraId="10252464" w14:textId="77777777" w:rsidR="004B7EC1" w:rsidRDefault="004B7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C1"/>
    <w:rsid w:val="00001759"/>
    <w:rsid w:val="00012CBB"/>
    <w:rsid w:val="0005497B"/>
    <w:rsid w:val="0008623E"/>
    <w:rsid w:val="00086F73"/>
    <w:rsid w:val="000F5E89"/>
    <w:rsid w:val="0015078F"/>
    <w:rsid w:val="00151EEC"/>
    <w:rsid w:val="001530EE"/>
    <w:rsid w:val="001B232A"/>
    <w:rsid w:val="00201EC4"/>
    <w:rsid w:val="00205BC9"/>
    <w:rsid w:val="00263CA6"/>
    <w:rsid w:val="002D112A"/>
    <w:rsid w:val="002E154D"/>
    <w:rsid w:val="002F3FFA"/>
    <w:rsid w:val="00301909"/>
    <w:rsid w:val="0031295A"/>
    <w:rsid w:val="00330781"/>
    <w:rsid w:val="003425C5"/>
    <w:rsid w:val="00346A3F"/>
    <w:rsid w:val="00363C5E"/>
    <w:rsid w:val="00367F2A"/>
    <w:rsid w:val="00370082"/>
    <w:rsid w:val="003730A1"/>
    <w:rsid w:val="00375596"/>
    <w:rsid w:val="00377299"/>
    <w:rsid w:val="003C0EA8"/>
    <w:rsid w:val="003D79A4"/>
    <w:rsid w:val="003F5170"/>
    <w:rsid w:val="00406814"/>
    <w:rsid w:val="0041507D"/>
    <w:rsid w:val="004845E1"/>
    <w:rsid w:val="004A08E1"/>
    <w:rsid w:val="004A1A3F"/>
    <w:rsid w:val="004B5FBE"/>
    <w:rsid w:val="004B7EC1"/>
    <w:rsid w:val="004C1781"/>
    <w:rsid w:val="00537918"/>
    <w:rsid w:val="005502DC"/>
    <w:rsid w:val="0055768E"/>
    <w:rsid w:val="005847FB"/>
    <w:rsid w:val="00584B74"/>
    <w:rsid w:val="005C4C42"/>
    <w:rsid w:val="005D7DF9"/>
    <w:rsid w:val="005F6C35"/>
    <w:rsid w:val="006060C7"/>
    <w:rsid w:val="006261A7"/>
    <w:rsid w:val="00675574"/>
    <w:rsid w:val="00676C23"/>
    <w:rsid w:val="006B6E1E"/>
    <w:rsid w:val="006C32AA"/>
    <w:rsid w:val="00706173"/>
    <w:rsid w:val="00727773"/>
    <w:rsid w:val="00764571"/>
    <w:rsid w:val="007A4E29"/>
    <w:rsid w:val="007B034F"/>
    <w:rsid w:val="007C01B3"/>
    <w:rsid w:val="007C4890"/>
    <w:rsid w:val="00805905"/>
    <w:rsid w:val="0081146A"/>
    <w:rsid w:val="008232E0"/>
    <w:rsid w:val="0082400F"/>
    <w:rsid w:val="00833D0B"/>
    <w:rsid w:val="008444B8"/>
    <w:rsid w:val="00850C45"/>
    <w:rsid w:val="008570EA"/>
    <w:rsid w:val="00872847"/>
    <w:rsid w:val="008D006C"/>
    <w:rsid w:val="008F520B"/>
    <w:rsid w:val="008F7DCA"/>
    <w:rsid w:val="00916E92"/>
    <w:rsid w:val="0097670C"/>
    <w:rsid w:val="00980955"/>
    <w:rsid w:val="00981E70"/>
    <w:rsid w:val="009C1D6D"/>
    <w:rsid w:val="00A23AD9"/>
    <w:rsid w:val="00A93E74"/>
    <w:rsid w:val="00AD0019"/>
    <w:rsid w:val="00AD192E"/>
    <w:rsid w:val="00AD2FAB"/>
    <w:rsid w:val="00AD398D"/>
    <w:rsid w:val="00AF5C29"/>
    <w:rsid w:val="00B333BB"/>
    <w:rsid w:val="00B5052D"/>
    <w:rsid w:val="00B66F4A"/>
    <w:rsid w:val="00BB43DC"/>
    <w:rsid w:val="00BB5795"/>
    <w:rsid w:val="00BD147F"/>
    <w:rsid w:val="00BE241F"/>
    <w:rsid w:val="00BE7748"/>
    <w:rsid w:val="00C03A16"/>
    <w:rsid w:val="00C35BD6"/>
    <w:rsid w:val="00C40AAD"/>
    <w:rsid w:val="00C41F07"/>
    <w:rsid w:val="00C56D86"/>
    <w:rsid w:val="00C85D72"/>
    <w:rsid w:val="00C86B72"/>
    <w:rsid w:val="00CA03D5"/>
    <w:rsid w:val="00D37102"/>
    <w:rsid w:val="00D56B25"/>
    <w:rsid w:val="00D87BDC"/>
    <w:rsid w:val="00D94334"/>
    <w:rsid w:val="00D976AF"/>
    <w:rsid w:val="00DB3540"/>
    <w:rsid w:val="00E2486B"/>
    <w:rsid w:val="00E83B55"/>
    <w:rsid w:val="00EA5492"/>
    <w:rsid w:val="00EA7FBC"/>
    <w:rsid w:val="00EC367E"/>
    <w:rsid w:val="00F01BB4"/>
    <w:rsid w:val="00F152DD"/>
    <w:rsid w:val="00F53C9A"/>
    <w:rsid w:val="00FA59A1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ED42"/>
  <w15:chartTrackingRefBased/>
  <w15:docId w15:val="{60DE87DE-B197-46EA-A335-7642DDBD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EC1"/>
    <w:pPr>
      <w:spacing w:after="0" w:line="240" w:lineRule="auto"/>
    </w:pPr>
    <w:rPr>
      <w:rFonts w:ascii="Trebuchet MS" w:eastAsia="Times New Roman" w:hAnsi="Trebuchet MS" w:cs="Arial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B7EC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EC1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EC1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uiPriority w:val="99"/>
    <w:semiHidden/>
    <w:unhideWhenUsed/>
    <w:rsid w:val="004B7E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7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EC1"/>
    <w:rPr>
      <w:rFonts w:ascii="Trebuchet MS" w:eastAsia="Times New Roman" w:hAnsi="Trebuchet MS" w:cs="Arial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EC1"/>
    <w:rPr>
      <w:rFonts w:ascii="Trebuchet MS" w:eastAsia="Times New Roman" w:hAnsi="Trebuchet MS" w:cs="Arial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232E0"/>
    <w:pPr>
      <w:spacing w:after="0" w:line="240" w:lineRule="auto"/>
    </w:pPr>
    <w:rPr>
      <w:rFonts w:ascii="Trebuchet MS" w:eastAsia="Times New Roman" w:hAnsi="Trebuchet MS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5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55"/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15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154D"/>
    <w:rPr>
      <w:rFonts w:ascii="Trebuchet MS" w:eastAsia="Times New Roman" w:hAnsi="Trebuchet MS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54D"/>
    <w:rPr>
      <w:rFonts w:ascii="Trebuchet MS" w:eastAsia="Times New Roman" w:hAnsi="Trebuchet MS" w:cs="Arial"/>
      <w:b/>
      <w:bCs/>
      <w:color w:val="000000"/>
      <w:sz w:val="20"/>
      <w:szCs w:val="20"/>
      <w:lang w:eastAsia="pl-PL"/>
    </w:rPr>
  </w:style>
  <w:style w:type="character" w:customStyle="1" w:styleId="cf01">
    <w:name w:val="cf01"/>
    <w:basedOn w:val="Domylnaczcionkaakapitu"/>
    <w:rsid w:val="006C32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z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Kozioł</dc:creator>
  <cp:keywords/>
  <dc:description/>
  <cp:lastModifiedBy>Agnieszka Kozioł</cp:lastModifiedBy>
  <cp:revision>4</cp:revision>
  <dcterms:created xsi:type="dcterms:W3CDTF">2022-08-24T11:49:00Z</dcterms:created>
  <dcterms:modified xsi:type="dcterms:W3CDTF">2022-08-24T11:50:00Z</dcterms:modified>
</cp:coreProperties>
</file>